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tb-20230630.htm"/>
      <w:bookmarkStart w:id="1" w:name="ksmtb20230630"/>
      <w:bookmarkEnd w:id="0"/>
      <w:bookmarkEnd w:id="1"/>
      <w:r>
        <w:rPr/>
        <w:t> </w:t>
      </w:r>
    </w:p>
    <w:p>
      <w:pPr>
        <w:pStyle w:val="TextBody"/>
        <w:pBdr>
          <w:top w:val="double" w:sz="6" w:space="1" w:color="000000"/>
        </w:pBdr>
        <w:bidi w:val="0"/>
        <w:spacing w:before="0" w:after="0"/>
        <w:jc w:val="both"/>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16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0" w:after="0"/>
        <w:jc w:val="center"/>
        <w:rPr/>
      </w:pPr>
      <w:r>
        <w:rPr/>
        <w:t> </w:t>
      </w:r>
    </w:p>
    <w:p>
      <w:pPr>
        <w:pStyle w:val="TextBody"/>
        <w:bidi w:val="0"/>
        <w:spacing w:before="160" w:after="0"/>
        <w:jc w:val="left"/>
        <w:rPr/>
      </w:pPr>
      <w:r>
        <w:rPr/>
        <w:t xml:space="preserve">☒ </w:t>
      </w:r>
      <w:r>
        <w:rPr>
          <w:rFonts w:ascii="Times New Roman;serif" w:hAnsi="Times New Roman;serif"/>
          <w:b/>
          <w:sz w:val="22"/>
        </w:rPr>
        <w:t>QUARTERLY REPORT PURSUANT TO SECTION 13 OR 15(d) OF THE SECURITIES EXCHANGE ACT OF 1934</w:t>
      </w:r>
    </w:p>
    <w:p>
      <w:pPr>
        <w:pStyle w:val="TextBody"/>
        <w:bidi w:val="0"/>
        <w:spacing w:before="160" w:after="0"/>
        <w:jc w:val="center"/>
        <w:rPr>
          <w:rFonts w:ascii="Times New Roman;serif" w:hAnsi="Times New Roman;serif"/>
          <w:b/>
          <w:sz w:val="18"/>
        </w:rPr>
      </w:pPr>
      <w:r>
        <w:rPr>
          <w:rFonts w:ascii="Times New Roman;serif" w:hAnsi="Times New Roman;serif"/>
          <w:b/>
          <w:sz w:val="18"/>
        </w:rPr>
        <w:t>For the quarterly period ended June 30, 2023</w:t>
      </w:r>
    </w:p>
    <w:p>
      <w:pPr>
        <w:pStyle w:val="TextBody"/>
        <w:bidi w:val="0"/>
        <w:spacing w:before="160" w:after="0"/>
        <w:jc w:val="center"/>
        <w:rPr>
          <w:rFonts w:ascii="Times New Roman;serif" w:hAnsi="Times New Roman;serif"/>
          <w:b/>
          <w:sz w:val="18"/>
        </w:rPr>
      </w:pPr>
      <w:r>
        <w:rPr>
          <w:rFonts w:ascii="Times New Roman;serif" w:hAnsi="Times New Roman;serif"/>
          <w:b/>
          <w:sz w:val="18"/>
        </w:rPr>
        <w:t>or</w:t>
      </w:r>
    </w:p>
    <w:p>
      <w:pPr>
        <w:pStyle w:val="TextBody"/>
        <w:bidi w:val="0"/>
        <w:spacing w:before="160" w:after="0"/>
        <w:jc w:val="left"/>
        <w:rPr/>
      </w:pPr>
      <w:r>
        <w:rPr/>
        <w:t xml:space="preserve">☐ </w:t>
      </w:r>
      <w:r>
        <w:rPr>
          <w:rFonts w:ascii="Times New Roman;serif" w:hAnsi="Times New Roman;serif"/>
          <w:b/>
          <w:sz w:val="22"/>
        </w:rPr>
        <w:t>TRANSITION REPORT PURSUANT TO SECTION 13 OR 15(d) OF THE SECURITIES EXCHANGE ACT OF 1934</w:t>
      </w:r>
    </w:p>
    <w:p>
      <w:pPr>
        <w:pStyle w:val="TextBody"/>
        <w:bidi w:val="0"/>
        <w:spacing w:before="160" w:after="0"/>
        <w:jc w:val="center"/>
        <w:rPr>
          <w:rFonts w:ascii="Times New Roman;serif" w:hAnsi="Times New Roman;serif"/>
          <w:b/>
          <w:sz w:val="18"/>
        </w:rPr>
      </w:pPr>
      <w:r>
        <w:rPr>
          <w:rFonts w:ascii="Times New Roman;serif" w:hAnsi="Times New Roman;serif"/>
          <w:b/>
          <w:sz w:val="18"/>
        </w:rPr>
        <w:t>Commission File Number 1-9861</w:t>
      </w:r>
    </w:p>
    <w:p>
      <w:pPr>
        <w:pStyle w:val="TextBody"/>
        <w:pBdr>
          <w:bottom w:val="single" w:sz="4" w:space="1" w:color="000000"/>
        </w:pBdr>
        <w:bidi w:val="0"/>
        <w:spacing w:before="0" w:after="0"/>
        <w:jc w:val="left"/>
        <w:rPr/>
      </w:pPr>
      <w:r>
        <w:rPr/>
        <w:t> </w:t>
      </w:r>
    </w:p>
    <w:p>
      <w:pPr>
        <w:pStyle w:val="TextBody"/>
        <w:bidi w:val="0"/>
        <w:spacing w:before="120" w:after="0"/>
        <w:jc w:val="center"/>
        <w:rPr>
          <w:rFonts w:ascii="Times New Roman;serif" w:hAnsi="Times New Roman;serif"/>
          <w:b/>
          <w:sz w:val="44"/>
        </w:rPr>
      </w:pPr>
      <w:r>
        <w:rPr>
          <w:rFonts w:ascii="Times New Roman;serif" w:hAnsi="Times New Roman;serif"/>
          <w:b/>
          <w:sz w:val="44"/>
        </w:rPr>
        <w:t>M&amp;T BANK CORPORATION</w:t>
      </w:r>
    </w:p>
    <w:p>
      <w:pPr>
        <w:pStyle w:val="TextBody"/>
        <w:bidi w:val="0"/>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bidi w:val="0"/>
        <w:spacing w:before="0" w:after="0"/>
        <w:jc w:val="center"/>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New York</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16-0968385</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left"/>
              <w:rPr/>
            </w:pPr>
            <w:r>
              <w:rPr/>
              <w:t> </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One M &amp; T Plaza</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Buffalo, New York</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14203</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6" w:type="dxa"/>
            <w:tcBorders/>
            <w:vAlign w:val="center"/>
          </w:tcPr>
          <w:p>
            <w:pPr>
              <w:pStyle w:val="TableContents"/>
              <w:bidi w:val="0"/>
              <w:spacing w:before="0" w:after="0"/>
              <w:ind w:left="0" w:right="0" w:hanging="0"/>
              <w:jc w:val="center"/>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12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60" w:after="60"/>
        <w:jc w:val="center"/>
        <w:rPr>
          <w:rFonts w:ascii="Times New Roman;serif" w:hAnsi="Times New Roman;serif"/>
          <w:b/>
          <w:sz w:val="20"/>
        </w:rPr>
      </w:pPr>
      <w:r>
        <w:rPr>
          <w:rFonts w:ascii="Times New Roman;serif" w:hAnsi="Times New Roman;serif"/>
          <w:b/>
          <w:sz w:val="20"/>
        </w:rPr>
        <w:t>(716) 635-4000</w:t>
      </w:r>
    </w:p>
    <w:p>
      <w:pPr>
        <w:pStyle w:val="TextBody"/>
        <w:bidi w:val="0"/>
        <w:spacing w:before="0" w:after="120"/>
        <w:jc w:val="center"/>
        <w:rPr>
          <w:rFonts w:ascii="Times New Roman;serif" w:hAnsi="Times New Roman;serif"/>
          <w:b/>
          <w:sz w:val="16"/>
        </w:rPr>
      </w:pPr>
      <w:r>
        <w:rPr>
          <w:rFonts w:ascii="Times New Roman;serif" w:hAnsi="Times New Roman;serif"/>
          <w:b/>
          <w:sz w:val="16"/>
        </w:rPr>
        <w:t>Securities registered pursuant to Section 12(b) of the Act:</w:t>
      </w:r>
    </w:p>
    <w:tbl>
      <w:tblPr>
        <w:tblW w:w="7863" w:type="dxa"/>
        <w:jc w:val="left"/>
        <w:tblInd w:w="0" w:type="dxa"/>
        <w:tblLayout w:type="fixed"/>
        <w:tblCellMar>
          <w:top w:w="28" w:type="dxa"/>
          <w:left w:w="28" w:type="dxa"/>
          <w:bottom w:w="28" w:type="dxa"/>
          <w:right w:w="28" w:type="dxa"/>
        </w:tblCellMar>
      </w:tblPr>
      <w:tblGrid>
        <w:gridCol w:w="3061"/>
        <w:gridCol w:w="1336"/>
        <w:gridCol w:w="3466"/>
      </w:tblGrid>
      <w:tr>
        <w:trPr/>
        <w:tc>
          <w:tcPr>
            <w:tcW w:w="306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center"/>
              <w:rPr>
                <w:rFonts w:ascii="Times New Roman;serif" w:hAnsi="Times New Roman;serif"/>
                <w:b/>
                <w:sz w:val="16"/>
                <w:u w:val="single"/>
              </w:rPr>
            </w:pPr>
            <w:r>
              <w:rPr>
                <w:rFonts w:ascii="Times New Roman;serif" w:hAnsi="Times New Roman;serif"/>
                <w:b/>
                <w:sz w:val="16"/>
                <w:u w:val="single"/>
              </w:rPr>
              <w:t>Title of Each Class</w:t>
            </w:r>
          </w:p>
        </w:tc>
        <w:tc>
          <w:tcPr>
            <w:tcW w:w="1336" w:type="dxa"/>
            <w:tcBorders/>
            <w:vAlign w:val="center"/>
          </w:tcPr>
          <w:p>
            <w:pPr>
              <w:pStyle w:val="TableContents"/>
              <w:bidi w:val="0"/>
              <w:spacing w:before="0" w:after="0"/>
              <w:ind w:left="0" w:right="0" w:hanging="0"/>
              <w:jc w:val="center"/>
              <w:rPr>
                <w:rFonts w:ascii="Times New Roman;serif" w:hAnsi="Times New Roman;serif"/>
                <w:b/>
                <w:sz w:val="16"/>
                <w:u w:val="single"/>
              </w:rPr>
            </w:pPr>
            <w:r>
              <w:rPr>
                <w:rFonts w:ascii="Times New Roman;serif" w:hAnsi="Times New Roman;serif"/>
                <w:b/>
                <w:sz w:val="16"/>
                <w:u w:val="single"/>
              </w:rPr>
              <w:t>Trading Symbols</w:t>
            </w:r>
          </w:p>
        </w:tc>
        <w:tc>
          <w:tcPr>
            <w:tcW w:w="34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u w:val="single"/>
              </w:rPr>
            </w:pPr>
            <w:r>
              <w:rPr>
                <w:rFonts w:ascii="Times New Roman;serif" w:hAnsi="Times New Roman;serif"/>
                <w:b/>
                <w:sz w:val="16"/>
                <w:u w:val="single"/>
              </w:rPr>
              <w:t>Name of Each Exchange on Which Registered</w:t>
            </w:r>
          </w:p>
        </w:tc>
      </w:tr>
      <w:tr>
        <w:trPr/>
        <w:tc>
          <w:tcPr>
            <w:tcW w:w="306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$.50 par value</w:t>
            </w:r>
          </w:p>
        </w:tc>
        <w:tc>
          <w:tcPr>
            <w:tcW w:w="133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MTB</w:t>
            </w:r>
          </w:p>
        </w:tc>
        <w:tc>
          <w:tcPr>
            <w:tcW w:w="346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New York Stock Exchange</w:t>
            </w:r>
          </w:p>
        </w:tc>
      </w:tr>
      <w:tr>
        <w:trPr/>
        <w:tc>
          <w:tcPr>
            <w:tcW w:w="306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Perpetual Fixed-to-Floating Rate</w:t>
              <w:br/>
              <w:t>Non-Cumulative Preferred Stock, Series H</w:t>
            </w:r>
          </w:p>
        </w:tc>
        <w:tc>
          <w:tcPr>
            <w:tcW w:w="133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MTBPrH</w:t>
            </w:r>
          </w:p>
        </w:tc>
        <w:tc>
          <w:tcPr>
            <w:tcW w:w="346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New York Stock Exchange</w:t>
            </w:r>
          </w:p>
        </w:tc>
      </w:tr>
    </w:tbl>
    <w:p>
      <w:pPr>
        <w:pStyle w:val="TextBody"/>
        <w:pBdr>
          <w:bottom w:val="single" w:sz="4" w:space="1" w:color="000000"/>
        </w:pBdr>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w:t>
      </w:r>
      <w:r>
        <w:rPr>
          <w:rFonts w:ascii="Times New Roman" w:hAnsi="Times New Roman"/>
          <w:sz w:val="20"/>
        </w:rPr>
        <w:t xml:space="preserve"> ☐ </w:t>
      </w:r>
      <w:r>
        <w:rPr>
          <w:rFonts w:ascii="Times New Roman;serif" w:hAnsi="Times New Roman;serif"/>
          <w:b w:val="false"/>
          <w:sz w:val="17"/>
        </w:rPr>
        <w:t>No</w:t>
      </w:r>
    </w:p>
    <w:p>
      <w:pPr>
        <w:pStyle w:val="TextBody"/>
        <w:bidi w:val="0"/>
        <w:spacing w:before="120" w:after="0"/>
        <w:jc w:val="both"/>
        <w:rPr>
          <w:rFonts w:ascii="Times New Roman;serif" w:hAnsi="Times New Roman;serif"/>
          <w:b w:val="false"/>
          <w:sz w:val="17"/>
        </w:rPr>
      </w:pPr>
      <w:r>
        <w:rPr>
          <w:rFonts w:ascii="Times New Roman;serif" w:hAnsi="Times New Roman;serif"/>
          <w:b w:val="false"/>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jc w:val="both"/>
        <w:rPr/>
      </w:pPr>
      <w:r>
        <w:rPr/>
        <w:t xml:space="preserve">☒ </w:t>
      </w:r>
      <w:r>
        <w:rPr>
          <w:rFonts w:ascii="Times New Roman;serif" w:hAnsi="Times New Roman;serif"/>
          <w:b w:val="false"/>
          <w:sz w:val="17"/>
        </w:rPr>
        <w:t>Yes</w:t>
      </w:r>
      <w:r>
        <w:rPr>
          <w:rFonts w:ascii="Times New Roman" w:hAnsi="Times New Roman"/>
          <w:sz w:val="20"/>
        </w:rPr>
        <w:t xml:space="preserve"> ☐ </w:t>
      </w:r>
      <w:r>
        <w:rPr>
          <w:rFonts w:ascii="Times New Roman;serif" w:hAnsi="Times New Roman;serif"/>
          <w:b w:val="false"/>
          <w:sz w:val="17"/>
        </w:rPr>
        <w:t>No</w:t>
      </w:r>
    </w:p>
    <w:p>
      <w:pPr>
        <w:pStyle w:val="TextBody"/>
        <w:bidi w:val="0"/>
        <w:spacing w:before="120" w:after="120"/>
        <w:jc w:val="both"/>
        <w:rPr>
          <w:rFonts w:ascii="Times New Roman;serif" w:hAnsi="Times New Roman;serif"/>
          <w:b w:val="false"/>
          <w:sz w:val="17"/>
        </w:rPr>
      </w:pPr>
      <w:r>
        <w:rPr>
          <w:rFonts w:ascii="Times New Roman;serif" w:hAnsi="Times New Roman;serif"/>
          <w:b w:val="false"/>
          <w:sz w:val="17"/>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21" w:type="dxa"/>
        <w:jc w:val="left"/>
        <w:tblInd w:w="0" w:type="dxa"/>
        <w:tblLayout w:type="fixed"/>
        <w:tblCellMar>
          <w:top w:w="28" w:type="dxa"/>
          <w:left w:w="28" w:type="dxa"/>
          <w:bottom w:w="28" w:type="dxa"/>
          <w:right w:w="28" w:type="dxa"/>
        </w:tblCellMar>
      </w:tblPr>
      <w:tblGrid>
        <w:gridCol w:w="2041"/>
        <w:gridCol w:w="146"/>
        <w:gridCol w:w="316"/>
        <w:gridCol w:w="146"/>
        <w:gridCol w:w="201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r>
      <w:tr>
        <w:trPr/>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center"/>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1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120" w:after="0"/>
        <w:jc w:val="both"/>
        <w:rPr>
          <w:rFonts w:ascii="Times New Roman;serif" w:hAnsi="Times New Roman;serif"/>
          <w:b w:val="false"/>
          <w:sz w:val="17"/>
        </w:rPr>
      </w:pPr>
      <w:r>
        <w:rPr>
          <w:rFonts w:ascii="Times New Roman;serif" w:hAnsi="Times New Roman;serif"/>
          <w:b w:val="false"/>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jc w:val="both"/>
        <w:rPr>
          <w:rFonts w:ascii="Times New Roman" w:hAnsi="Times New Roman"/>
          <w:sz w:val="20"/>
        </w:rPr>
      </w:pPr>
      <w:r>
        <w:rPr>
          <w:rFonts w:ascii="Times New Roman;serif" w:hAnsi="Times New Roman;serif"/>
          <w:b w:val="false"/>
          <w:sz w:val="17"/>
        </w:rPr>
        <w:t xml:space="preserve">Indicate by check mark whether the registrant is a shell company (as defined in Rule 12b-2 of the Exchange Act). ☐ Yes </w:t>
      </w:r>
      <w:r>
        <w:rPr>
          <w:rFonts w:ascii="Times New Roman" w:hAnsi="Times New Roman"/>
          <w:sz w:val="20"/>
        </w:rPr>
        <w:t xml:space="preserve">☒ </w:t>
      </w:r>
      <w:r>
        <w:rPr>
          <w:rFonts w:ascii="Times New Roman;serif" w:hAnsi="Times New Roman;serif"/>
          <w:b w:val="false"/>
          <w:sz w:val="17"/>
        </w:rPr>
        <w:t>No</w:t>
      </w:r>
    </w:p>
    <w:p>
      <w:pPr>
        <w:pStyle w:val="TextBody"/>
        <w:bidi w:val="0"/>
        <w:spacing w:before="120" w:after="0"/>
        <w:jc w:val="both"/>
        <w:rPr>
          <w:rFonts w:ascii="Times New Roman" w:hAnsi="Times New Roman"/>
          <w:sz w:val="20"/>
        </w:rPr>
      </w:pPr>
      <w:r>
        <w:rPr>
          <w:rFonts w:ascii="Times New Roman;serif" w:hAnsi="Times New Roman;serif"/>
          <w:b w:val="false"/>
          <w:sz w:val="17"/>
        </w:rPr>
        <w:t>Number of shares of the registrant's Common Stock, $0.50 par value, outstanding as of the close of business on August 1, 2023: 165,948,636</w:t>
      </w:r>
      <w:r>
        <w:rPr>
          <w:rFonts w:ascii="Times New Roman" w:hAnsi="Times New Roman"/>
          <w:sz w:val="20"/>
        </w:rPr>
        <w:t xml:space="preserve"> </w:t>
      </w:r>
      <w:r>
        <w:rPr>
          <w:rFonts w:ascii="Times New Roman;serif" w:hAnsi="Times New Roman;serif"/>
          <w:b w:val="false"/>
          <w:sz w:val="17"/>
        </w:rPr>
        <w:t>shares.</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u w:val="single"/>
        </w:rPr>
      </w:pPr>
      <w:r>
        <w:rPr>
          <w:rFonts w:ascii="Times New Roman;serif" w:hAnsi="Times New Roman;serif"/>
          <w:b w:val="false"/>
          <w:sz w:val="20"/>
          <w:u w:val="single"/>
        </w:rPr>
        <w:t>M&amp;T BANK CORPORATION</w:t>
      </w:r>
    </w:p>
    <w:p>
      <w:pPr>
        <w:pStyle w:val="TextBody"/>
        <w:bidi w:val="0"/>
        <w:spacing w:before="240" w:after="0"/>
        <w:jc w:val="center"/>
        <w:rPr>
          <w:rFonts w:ascii="Times New Roman;serif" w:hAnsi="Times New Roman;serif"/>
          <w:b w:val="false"/>
          <w:sz w:val="20"/>
          <w:u w:val="single"/>
        </w:rPr>
      </w:pPr>
      <w:r>
        <w:rPr>
          <w:rFonts w:ascii="Times New Roman;serif" w:hAnsi="Times New Roman;serif"/>
          <w:b w:val="false"/>
          <w:sz w:val="20"/>
          <w:u w:val="single"/>
        </w:rPr>
        <w:t>FORM 10-Q</w:t>
      </w:r>
    </w:p>
    <w:p>
      <w:pPr>
        <w:pStyle w:val="TextBody"/>
        <w:bidi w:val="0"/>
        <w:spacing w:before="240" w:after="0"/>
        <w:jc w:val="center"/>
        <w:rPr>
          <w:rFonts w:ascii="Times New Roman;serif" w:hAnsi="Times New Roman;serif"/>
          <w:b w:val="false"/>
          <w:sz w:val="20"/>
          <w:u w:val="single"/>
        </w:rPr>
      </w:pPr>
      <w:r>
        <w:rPr>
          <w:rFonts w:ascii="Times New Roman;serif" w:hAnsi="Times New Roman;serif"/>
          <w:b w:val="false"/>
          <w:sz w:val="20"/>
          <w:u w:val="single"/>
        </w:rPr>
        <w:t>For the Quarterly Period Ended June 30, 2023</w:t>
      </w:r>
    </w:p>
    <w:tbl>
      <w:tblPr>
        <w:tblW w:w="10205" w:type="dxa"/>
        <w:jc w:val="left"/>
        <w:tblInd w:w="0" w:type="dxa"/>
        <w:tblLayout w:type="fixed"/>
        <w:tblCellMar>
          <w:top w:w="28" w:type="dxa"/>
          <w:left w:w="28" w:type="dxa"/>
          <w:bottom w:w="28" w:type="dxa"/>
          <w:right w:w="28" w:type="dxa"/>
        </w:tblCellMar>
      </w:tblPr>
      <w:tblGrid>
        <w:gridCol w:w="717"/>
        <w:gridCol w:w="391"/>
        <w:gridCol w:w="8344"/>
        <w:gridCol w:w="146"/>
        <w:gridCol w:w="607"/>
      </w:tblGrid>
      <w:tr>
        <w:trPr/>
        <w:tc>
          <w:tcPr>
            <w:tcW w:w="7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9452" w:type="dxa"/>
            <w:gridSpan w:val="3"/>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Table of Contents of Information Required in Report</w:t>
            </w:r>
          </w:p>
        </w:tc>
        <w:tc>
          <w:tcPr>
            <w:tcW w:w="146" w:type="dxa"/>
            <w:tcBorders/>
            <w:vAlign w:val="center"/>
          </w:tcPr>
          <w:p>
            <w:pPr>
              <w:pStyle w:val="TableContents"/>
              <w:bidi w:val="0"/>
              <w:spacing w:before="0" w:after="0"/>
              <w:ind w:left="0" w:right="0" w:hanging="0"/>
              <w:jc w:val="left"/>
              <w:rPr/>
            </w:pPr>
            <w:r>
              <w:rPr/>
              <w:t> </w:t>
            </w:r>
          </w:p>
        </w:tc>
        <w:tc>
          <w:tcPr>
            <w:tcW w:w="6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Page</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r>
        <w:trPr/>
        <w:tc>
          <w:tcPr>
            <w:tcW w:w="9452" w:type="dxa"/>
            <w:gridSpan w:val="3"/>
            <w:tcBorders/>
            <w:vAlign w:val="center"/>
          </w:tcPr>
          <w:p>
            <w:pPr>
              <w:pStyle w:val="TableContents"/>
              <w:bidi w:val="0"/>
              <w:spacing w:before="0" w:after="0"/>
              <w:ind w:left="0" w:right="0" w:hanging="0"/>
              <w:jc w:val="left"/>
              <w:rPr/>
            </w:pPr>
            <w:hyperlink w:anchor="part_i_financial_information">
              <w:r>
                <w:rPr>
                  <w:rStyle w:val="InternetLink"/>
                  <w:rFonts w:ascii="Times New Roman;serif" w:hAnsi="Times New Roman;serif"/>
                  <w:b w:val="false"/>
                  <w:sz w:val="20"/>
                  <w:u w:val="single"/>
                </w:rPr>
                <w:t>Part I. FINANCIAL INFORMATION</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item_1_financial_statements">
              <w:r>
                <w:rPr>
                  <w:rStyle w:val="InternetLink"/>
                  <w:rFonts w:ascii="Times New Roman;serif" w:hAnsi="Times New Roman;serif"/>
                  <w:b w:val="false"/>
                  <w:sz w:val="20"/>
                  <w:u w:val="single"/>
                </w:rPr>
                <w:t>Financial Statements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consolidated_balance_sheet_unaudited">
              <w:r>
                <w:rPr>
                  <w:rStyle w:val="InternetLink"/>
                  <w:rFonts w:ascii="Times New Roman;serif" w:hAnsi="Times New Roman;serif"/>
                  <w:b w:val="false"/>
                  <w:sz w:val="20"/>
                  <w:u w:val="single"/>
                </w:rPr>
                <w:t>CONSOLIDATED BALANCE SHEET – June 30, 2023 and December 31, 2022</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3</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consolidated_statement_income_unaudited">
              <w:r>
                <w:rPr>
                  <w:rStyle w:val="InternetLink"/>
                  <w:rFonts w:ascii="Times New Roman;serif" w:hAnsi="Times New Roman;serif"/>
                  <w:b w:val="false"/>
                  <w:sz w:val="20"/>
                  <w:u w:val="single"/>
                </w:rPr>
                <w:t>CONSOLIDATED STATEMENT OF INCOME – Three and six months ended June 30, 2023 and 2022</w:t>
              </w:r>
            </w:hyperlink>
            <w:hyperlink w:anchor="consolidated_statement_income_unaudited">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4</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consolidated_statement_comprehensive_inc">
              <w:r>
                <w:rPr>
                  <w:rStyle w:val="InternetLink"/>
                  <w:rFonts w:ascii="Times New Roman;serif" w:hAnsi="Times New Roman;serif"/>
                  <w:b w:val="false"/>
                  <w:sz w:val="20"/>
                  <w:u w:val="single"/>
                </w:rPr>
                <w:t>CONSOLIDATED STATEMENT OF COMPREHENSIVE INCOME – Three and six months ended June 30, 2023 and 2022</w:t>
              </w:r>
            </w:hyperlink>
            <w:hyperlink w:anchor="consolidated_statement_comprehensive_inc">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5</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consolidated_statement_cash_flows_unaudi">
              <w:r>
                <w:rPr>
                  <w:rStyle w:val="InternetLink"/>
                  <w:rFonts w:ascii="Times New Roman;serif" w:hAnsi="Times New Roman;serif"/>
                  <w:b w:val="false"/>
                  <w:sz w:val="20"/>
                  <w:u w:val="single"/>
                </w:rPr>
                <w:t>CONSOLIDATED STATEMENT OF CASH FLOWS – Six months ended June 30, 2023 and 2022</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6</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consolidated_statement_changes_in_shareh">
              <w:r>
                <w:rPr>
                  <w:rStyle w:val="InternetLink"/>
                  <w:rFonts w:ascii="Times New Roman;serif" w:hAnsi="Times New Roman;serif"/>
                  <w:b w:val="false"/>
                  <w:sz w:val="20"/>
                  <w:u w:val="single"/>
                </w:rPr>
                <w:t>CONSOLIDATED STATEMENT OF CHANGES IN SHAREHOLDERS' EQUITY – Three and six months ended June 30, 2023 and 202</w:t>
              </w:r>
            </w:hyperlink>
            <w:r>
              <w:rPr>
                <w:rFonts w:ascii="Times New Roman;serif" w:hAnsi="Times New Roman;serif"/>
                <w:b w:val="false"/>
                <w:sz w:val="20"/>
                <w:u w:val="single"/>
              </w:rPr>
              <w:t>2</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7</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notes_to_financial_statements">
              <w:r>
                <w:rPr>
                  <w:rStyle w:val="InternetLink"/>
                  <w:rFonts w:ascii="Times New Roman;serif" w:hAnsi="Times New Roman;serif"/>
                  <w:b w:val="false"/>
                  <w:sz w:val="20"/>
                  <w:u w:val="single"/>
                </w:rPr>
                <w:t>NOTES TO FINANCIAL STATEMENTS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8</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50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vAlign w:val="center"/>
          </w:tcPr>
          <w:p>
            <w:pPr>
              <w:pStyle w:val="TableContents"/>
              <w:bidi w:val="0"/>
              <w:spacing w:before="0" w:after="0"/>
              <w:ind w:left="0" w:right="0" w:firstLine="245"/>
              <w:jc w:val="left"/>
              <w:rPr/>
            </w:pPr>
            <w:r>
              <w:rPr/>
              <w:t> </w:t>
            </w:r>
          </w:p>
        </w:tc>
        <w:tc>
          <w:tcPr>
            <w:tcW w:w="8344" w:type="dxa"/>
            <w:tcBorders/>
            <w:vAlign w:val="center"/>
          </w:tcPr>
          <w:p>
            <w:pPr>
              <w:pStyle w:val="TableContents"/>
              <w:pBdr/>
              <w:bidi w:val="0"/>
              <w:spacing w:before="0" w:after="0"/>
              <w:ind w:left="0" w:right="0" w:hanging="245"/>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89</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r>
        <w:trPr/>
        <w:tc>
          <w:tcPr>
            <w:tcW w:w="9452" w:type="dxa"/>
            <w:gridSpan w:val="3"/>
            <w:tcBorders/>
            <w:vAlign w:val="center"/>
          </w:tcPr>
          <w:p>
            <w:pPr>
              <w:pStyle w:val="TableContents"/>
              <w:bidi w:val="0"/>
              <w:spacing w:before="0" w:after="0"/>
              <w:ind w:left="0" w:right="0" w:hanging="0"/>
              <w:jc w:val="left"/>
              <w:rPr/>
            </w:pPr>
            <w:hyperlink w:anchor="part_ii_or_information">
              <w:r>
                <w:rPr>
                  <w:rStyle w:val="InternetLink"/>
                  <w:rFonts w:ascii="Times New Roman;serif" w:hAnsi="Times New Roman;serif"/>
                  <w:b w:val="false"/>
                  <w:sz w:val="20"/>
                  <w:u w:val="single"/>
                </w:rPr>
                <w:t>Part II. OTHER INFORMATION</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1.</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1A.</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1a">
              <w:r>
                <w:rPr>
                  <w:rStyle w:val="InternetLink"/>
                  <w:rFonts w:ascii="Times New Roman;serif" w:hAnsi="Times New Roman;serif"/>
                  <w:b w:val="false"/>
                  <w:sz w:val="20"/>
                  <w:u w:val="single"/>
                </w:rPr>
                <w:t>Risk Factors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2.</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2">
              <w:r>
                <w:rPr>
                  <w:rStyle w:val="InternetLink"/>
                  <w:rFonts w:ascii="Times New Roman;serif" w:hAnsi="Times New Roman;serif"/>
                  <w:b w:val="false"/>
                  <w:sz w:val="20"/>
                  <w:u w:val="single"/>
                </w:rPr>
                <w:t>Unregistered Sales of Equity Securities and Use of Proceeds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3.</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4.</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5.</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rFonts w:ascii="Times New Roman;serif" w:hAnsi="Times New Roman;serif"/>
                <w:b w:val="false"/>
                <w:sz w:val="20"/>
              </w:rPr>
            </w:pPr>
            <w:r>
              <w:rPr>
                <w:rFonts w:ascii="Times New Roman;serif" w:hAnsi="Times New Roman;serif"/>
                <w:b w:val="false"/>
                <w:sz w:val="20"/>
              </w:rPr>
              <w:t>90</w:t>
            </w:r>
          </w:p>
        </w:tc>
      </w:tr>
      <w:tr>
        <w:trPr/>
        <w:tc>
          <w:tcPr>
            <w:tcW w:w="717" w:type="dxa"/>
            <w:tcBorders/>
            <w:vAlign w:val="center"/>
          </w:tcPr>
          <w:p>
            <w:pPr>
              <w:pStyle w:val="TableContents"/>
              <w:bidi w:val="0"/>
              <w:spacing w:before="0" w:after="0"/>
              <w:ind w:left="245"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firstLine="245"/>
              <w:jc w:val="right"/>
              <w:rPr/>
            </w:pPr>
            <w:r>
              <w:rPr/>
              <w:t> </w:t>
            </w:r>
          </w:p>
        </w:tc>
      </w:tr>
      <w:tr>
        <w:trPr/>
        <w:tc>
          <w:tcPr>
            <w:tcW w:w="717" w:type="dxa"/>
            <w:tcBorders/>
            <w:vAlign w:val="center"/>
          </w:tcPr>
          <w:p>
            <w:pPr>
              <w:pStyle w:val="TableContents"/>
              <w:bidi w:val="0"/>
              <w:spacing w:before="0" w:after="0"/>
              <w:ind w:left="245" w:right="0" w:hanging="0"/>
              <w:jc w:val="left"/>
              <w:rPr>
                <w:rFonts w:ascii="Times New Roman;serif" w:hAnsi="Times New Roman;serif"/>
                <w:b w:val="false"/>
                <w:sz w:val="20"/>
              </w:rPr>
            </w:pPr>
            <w:r>
              <w:rPr>
                <w:rFonts w:ascii="Times New Roman;serif" w:hAnsi="Times New Roman;serif"/>
                <w:b w:val="false"/>
                <w:sz w:val="20"/>
              </w:rPr>
              <w:t>Item 6.</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r>
        <w:trPr/>
        <w:tc>
          <w:tcPr>
            <w:tcW w:w="9452" w:type="dxa"/>
            <w:gridSpan w:val="3"/>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w:t>
            </w:r>
          </w:p>
        </w:tc>
      </w:tr>
      <w:tr>
        <w:trPr/>
        <w:tc>
          <w:tcPr>
            <w:tcW w:w="717"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c>
          <w:tcPr>
            <w:tcW w:w="834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bookmarkStart w:id="2" w:name="part_i_financial_information"/>
      <w:bookmarkEnd w:id="2"/>
      <w:r>
        <w:rPr>
          <w:rFonts w:ascii="Times New Roman;serif" w:hAnsi="Times New Roman;serif"/>
          <w:b w:val="false"/>
          <w:sz w:val="23"/>
        </w:rPr>
        <w:t>PART I. FINANCIAL INFORMATION</w:t>
      </w:r>
    </w:p>
    <w:p>
      <w:pPr>
        <w:pStyle w:val="TextBody"/>
        <w:bidi w:val="0"/>
        <w:spacing w:before="120" w:after="0"/>
        <w:jc w:val="left"/>
        <w:rPr>
          <w:rFonts w:ascii="Times New Roman;serif" w:hAnsi="Times New Roman;serif"/>
          <w:b w:val="false"/>
          <w:sz w:val="23"/>
        </w:rPr>
      </w:pPr>
      <w:bookmarkStart w:id="3" w:name="item_1_financial_statements"/>
      <w:bookmarkEnd w:id="3"/>
      <w:r>
        <w:rPr>
          <w:rFonts w:ascii="Times New Roman;serif" w:hAnsi="Times New Roman;serif"/>
          <w:b w:val="false"/>
          <w:sz w:val="23"/>
        </w:rPr>
        <w:t>Item 1. Financial Statements.</w:t>
      </w:r>
    </w:p>
    <w:p>
      <w:pPr>
        <w:pStyle w:val="TextBody"/>
        <w:bidi w:val="0"/>
        <w:spacing w:before="12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120" w:after="0"/>
        <w:jc w:val="center"/>
        <w:rPr>
          <w:rFonts w:ascii="Times New Roman;serif" w:hAnsi="Times New Roman;serif"/>
          <w:b w:val="false"/>
          <w:sz w:val="23"/>
        </w:rPr>
      </w:pPr>
      <w:bookmarkStart w:id="4" w:name="consolidated_balance_sheet_unaudited"/>
      <w:bookmarkEnd w:id="4"/>
      <w:r>
        <w:rPr>
          <w:rFonts w:ascii="Times New Roman;serif" w:hAnsi="Times New Roman;serif"/>
          <w:b w:val="false"/>
          <w:sz w:val="23"/>
        </w:rPr>
        <w:t>CONSOLIDATED BALANCE SHEET (Unaudited)</w:t>
      </w:r>
    </w:p>
    <w:p>
      <w:pPr>
        <w:pStyle w:val="TextBody"/>
        <w:bidi w:val="0"/>
        <w:spacing w:before="0" w:after="0"/>
        <w:jc w:val="center"/>
        <w:rPr/>
      </w:pPr>
      <w:r>
        <w:rPr/>
        <w:t> </w:t>
      </w:r>
    </w:p>
    <w:tbl>
      <w:tblPr>
        <w:tblW w:w="9999" w:type="dxa"/>
        <w:jc w:val="left"/>
        <w:tblInd w:w="0" w:type="dxa"/>
        <w:tblLayout w:type="fixed"/>
        <w:tblCellMar>
          <w:top w:w="28" w:type="dxa"/>
          <w:left w:w="28" w:type="dxa"/>
          <w:bottom w:w="28" w:type="dxa"/>
          <w:right w:w="28" w:type="dxa"/>
        </w:tblCellMar>
      </w:tblPr>
      <w:tblGrid>
        <w:gridCol w:w="6526"/>
        <w:gridCol w:w="146"/>
        <w:gridCol w:w="196"/>
        <w:gridCol w:w="1006"/>
        <w:gridCol w:w="166"/>
        <w:gridCol w:w="146"/>
        <w:gridCol w:w="196"/>
        <w:gridCol w:w="1006"/>
        <w:gridCol w:w="611"/>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 except per share)</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Cash and due from banks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1,848,386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1,517,244</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27,106,899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24,958,719</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Federal funds sold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3,000</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Trading account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137,240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117,847</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Investment securities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52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7"/>
              </w:rPr>
              <w:t>Available for sale (cost: $11,248,458</w:t>
            </w:r>
            <w:r>
              <w:rPr>
                <w:rFonts w:ascii="Times New Roman" w:hAnsi="Times New Roman"/>
                <w:sz w:val="20"/>
              </w:rPr>
              <w:t> </w:t>
            </w:r>
            <w:r>
              <w:rPr>
                <w:rFonts w:ascii="Times New Roman;serif" w:hAnsi="Times New Roman;serif"/>
                <w:b w:val="false"/>
                <w:sz w:val="17"/>
              </w:rPr>
              <w:t>at June 30, 2023;</w:t>
              <w:br/>
              <w:t>   $11,193,152</w:t>
            </w:r>
            <w:r>
              <w:rPr>
                <w:rFonts w:ascii="Times New Roman" w:hAnsi="Times New Roman"/>
                <w:sz w:val="20"/>
              </w:rPr>
              <w:t> </w:t>
            </w:r>
            <w:r>
              <w:rPr>
                <w:rFonts w:ascii="Times New Roman;serif" w:hAnsi="Times New Roman;serif"/>
                <w:b w:val="false"/>
                <w:sz w:val="17"/>
              </w:rPr>
              <w:t>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10,807,659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10,748,961</w:t>
            </w:r>
          </w:p>
        </w:tc>
        <w:tc>
          <w:tcPr>
            <w:tcW w:w="611" w:type="dxa"/>
            <w:tcBorders/>
            <w:vAlign w:val="center"/>
          </w:tcPr>
          <w:p>
            <w:pPr>
              <w:pStyle w:val="TableContents"/>
              <w:bidi w:val="0"/>
              <w:spacing w:before="0" w:after="0"/>
              <w:ind w:left="0" w:right="0" w:firstLine="200"/>
              <w:jc w:val="left"/>
              <w:rPr/>
            </w:pPr>
            <w:r>
              <w:rPr/>
              <w:t> </w:t>
            </w:r>
          </w:p>
        </w:tc>
      </w:tr>
      <w:tr>
        <w:trPr/>
        <w:tc>
          <w:tcPr>
            <w:tcW w:w="652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7"/>
              </w:rPr>
              <w:t>Held to maturity (fair value: $14,713,496</w:t>
            </w:r>
            <w:r>
              <w:rPr>
                <w:rFonts w:ascii="Times New Roman" w:hAnsi="Times New Roman"/>
                <w:sz w:val="20"/>
              </w:rPr>
              <w:t> </w:t>
            </w:r>
            <w:r>
              <w:rPr>
                <w:rFonts w:ascii="Times New Roman;serif" w:hAnsi="Times New Roman;serif"/>
                <w:b w:val="false"/>
                <w:sz w:val="17"/>
              </w:rPr>
              <w:t>at June 30, 2023;</w:t>
              <w:br/>
              <w:t>   $12,375,420</w:t>
            </w:r>
            <w:r>
              <w:rPr>
                <w:rFonts w:ascii="Times New Roman" w:hAnsi="Times New Roman"/>
                <w:sz w:val="20"/>
              </w:rPr>
              <w:t> </w:t>
            </w:r>
            <w:r>
              <w:rPr>
                <w:rFonts w:ascii="Times New Roman;serif" w:hAnsi="Times New Roman;serif"/>
                <w:b w:val="false"/>
                <w:sz w:val="17"/>
              </w:rPr>
              <w:t>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15,918,106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13,529,969</w:t>
            </w:r>
          </w:p>
        </w:tc>
        <w:tc>
          <w:tcPr>
            <w:tcW w:w="611" w:type="dxa"/>
            <w:tcBorders/>
            <w:vAlign w:val="center"/>
          </w:tcPr>
          <w:p>
            <w:pPr>
              <w:pStyle w:val="TableContents"/>
              <w:bidi w:val="0"/>
              <w:spacing w:before="0" w:after="0"/>
              <w:ind w:left="0" w:right="0" w:firstLine="200"/>
              <w:jc w:val="left"/>
              <w:rPr/>
            </w:pPr>
            <w:r>
              <w:rPr/>
              <w:t> </w:t>
            </w:r>
          </w:p>
        </w:tc>
      </w:tr>
      <w:tr>
        <w:trPr/>
        <w:tc>
          <w:tcPr>
            <w:tcW w:w="6526"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7"/>
              </w:rPr>
              <w:t>Equity and other securities (cost: $1,191,927</w:t>
            </w:r>
            <w:r>
              <w:rPr>
                <w:rFonts w:ascii="Times New Roman" w:hAnsi="Times New Roman"/>
                <w:sz w:val="20"/>
              </w:rPr>
              <w:t> </w:t>
            </w:r>
            <w:r>
              <w:rPr>
                <w:rFonts w:ascii="Times New Roman;serif" w:hAnsi="Times New Roman;serif"/>
                <w:b w:val="false"/>
                <w:sz w:val="17"/>
              </w:rPr>
              <w:t xml:space="preserve">at June 30, 2023; </w:t>
              <w:br/>
              <w:t>   $933,766</w:t>
            </w:r>
            <w:r>
              <w:rPr>
                <w:rFonts w:ascii="Times New Roman" w:hAnsi="Times New Roman"/>
                <w:sz w:val="20"/>
              </w:rPr>
              <w:t> </w:t>
            </w:r>
            <w:r>
              <w:rPr>
                <w:rFonts w:ascii="Times New Roman;serif" w:hAnsi="Times New Roman;serif"/>
                <w:b w:val="false"/>
                <w:sz w:val="17"/>
              </w:rPr>
              <w:t>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1,190,690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931,941</w:t>
            </w:r>
          </w:p>
        </w:tc>
        <w:tc>
          <w:tcPr>
            <w:tcW w:w="611" w:type="dxa"/>
            <w:tcBorders/>
            <w:vAlign w:val="center"/>
          </w:tcPr>
          <w:p>
            <w:pPr>
              <w:pStyle w:val="TableContents"/>
              <w:bidi w:val="0"/>
              <w:spacing w:before="0" w:after="0"/>
              <w:ind w:left="0" w:right="0" w:firstLine="400"/>
              <w:jc w:val="left"/>
              <w:rPr/>
            </w:pPr>
            <w:r>
              <w:rPr/>
              <w:t> </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investment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27,916,455</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25,210,871</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Loans and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134,061,568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132,074,156</w:t>
            </w:r>
          </w:p>
        </w:tc>
        <w:tc>
          <w:tcPr>
            <w:tcW w:w="611" w:type="dxa"/>
            <w:tcBorders/>
            <w:vAlign w:val="center"/>
          </w:tcPr>
          <w:p>
            <w:pPr>
              <w:pStyle w:val="TableContents"/>
              <w:bidi w:val="0"/>
              <w:spacing w:before="0" w:after="0"/>
              <w:ind w:left="0" w:right="0" w:firstLine="200"/>
              <w:jc w:val="left"/>
              <w:rPr/>
            </w:pPr>
            <w:r>
              <w:rPr/>
              <w:t> </w:t>
            </w:r>
          </w:p>
        </w:tc>
      </w:tr>
      <w:tr>
        <w:trPr/>
        <w:tc>
          <w:tcPr>
            <w:tcW w:w="652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Unearned discount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(717,839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(509,993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17"/>
              </w:rPr>
            </w:pPr>
            <w:r>
              <w:rPr>
                <w:rFonts w:ascii="Times New Roman;serif" w:hAnsi="Times New Roman;serif"/>
                <w:b w:val="false"/>
                <w:sz w:val="17"/>
              </w:rPr>
              <w:t>)</w:t>
            </w:r>
          </w:p>
        </w:tc>
      </w:tr>
      <w:tr>
        <w:trPr/>
        <w:tc>
          <w:tcPr>
            <w:tcW w:w="6526" w:type="dxa"/>
            <w:tcBorders/>
            <w:vAlign w:val="center"/>
          </w:tcPr>
          <w:p>
            <w:pPr>
              <w:pStyle w:val="TableContents"/>
              <w:bidi w:val="0"/>
              <w:spacing w:before="0" w:after="0"/>
              <w:ind w:left="300" w:right="0" w:hanging="0"/>
              <w:jc w:val="left"/>
              <w:rPr>
                <w:rFonts w:ascii="Times New Roman;serif" w:hAnsi="Times New Roman;serif"/>
                <w:b w:val="false"/>
                <w:sz w:val="17"/>
              </w:rPr>
            </w:pPr>
            <w:r>
              <w:rPr>
                <w:rFonts w:ascii="Times New Roman;serif" w:hAnsi="Times New Roman;serif"/>
                <w:b w:val="false"/>
                <w:sz w:val="17"/>
              </w:rPr>
              <w:t>Loans and leases, net of unearned discount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133,343,729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131,564,163</w:t>
            </w:r>
          </w:p>
        </w:tc>
        <w:tc>
          <w:tcPr>
            <w:tcW w:w="611" w:type="dxa"/>
            <w:tcBorders/>
            <w:vAlign w:val="center"/>
          </w:tcPr>
          <w:p>
            <w:pPr>
              <w:pStyle w:val="TableContents"/>
              <w:bidi w:val="0"/>
              <w:spacing w:before="0" w:after="0"/>
              <w:ind w:left="0" w:right="0" w:firstLine="200"/>
              <w:jc w:val="left"/>
              <w:rPr/>
            </w:pPr>
            <w:r>
              <w:rPr/>
              <w:t> </w:t>
            </w:r>
          </w:p>
        </w:tc>
      </w:tr>
      <w:tr>
        <w:trPr/>
        <w:tc>
          <w:tcPr>
            <w:tcW w:w="6526"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(1,998,366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(1,925,331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rFonts w:ascii="Times New Roman;serif" w:hAnsi="Times New Roman;serif"/>
                <w:b w:val="false"/>
                <w:sz w:val="17"/>
              </w:rPr>
            </w:pPr>
            <w:r>
              <w:rPr>
                <w:rFonts w:ascii="Times New Roman;serif" w:hAnsi="Times New Roman;serif"/>
                <w:b w:val="false"/>
                <w:sz w:val="17"/>
              </w:rPr>
              <w:t>)</w:t>
            </w:r>
          </w:p>
        </w:tc>
      </w:tr>
      <w:tr>
        <w:trPr/>
        <w:tc>
          <w:tcPr>
            <w:tcW w:w="6526" w:type="dxa"/>
            <w:tcBorders/>
            <w:vAlign w:val="center"/>
          </w:tcPr>
          <w:p>
            <w:pPr>
              <w:pStyle w:val="TableContents"/>
              <w:bidi w:val="0"/>
              <w:spacing w:before="0" w:after="0"/>
              <w:ind w:left="300" w:right="0" w:hanging="0"/>
              <w:jc w:val="left"/>
              <w:rPr>
                <w:rFonts w:ascii="Times New Roman;serif" w:hAnsi="Times New Roman;serif"/>
                <w:b w:val="false"/>
                <w:sz w:val="17"/>
              </w:rPr>
            </w:pPr>
            <w:r>
              <w:rPr>
                <w:rFonts w:ascii="Times New Roman;serif" w:hAnsi="Times New Roman;serif"/>
                <w:b w:val="false"/>
                <w:sz w:val="17"/>
              </w:rPr>
              <w:t>Loans and leases,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131,345,363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129,638,832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Premises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1,672,998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1,653,628</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Goodwill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8,465,089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8,490,089</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177,221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209,374</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Accrued interest and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9,002,078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8,930,237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207,671,729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200,729,841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54,937,913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65,501,860</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88,046,247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87,911,463</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Time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19,074,220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10,101,545</w:t>
            </w:r>
          </w:p>
        </w:tc>
        <w:tc>
          <w:tcPr>
            <w:tcW w:w="611" w:type="dxa"/>
            <w:tcBorders/>
            <w:vAlign w:val="center"/>
          </w:tcPr>
          <w:p>
            <w:pPr>
              <w:pStyle w:val="TableContents"/>
              <w:bidi w:val="0"/>
              <w:spacing w:before="0" w:after="0"/>
              <w:ind w:left="0" w:right="0" w:firstLine="400"/>
              <w:jc w:val="left"/>
              <w:rPr/>
            </w:pPr>
            <w:r>
              <w:rPr/>
              <w:t> </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deposits</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162,058,380</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163,514,868</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Short-term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7,907,884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3,554,951</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Accrued interest and other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4,487,894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4,377,495</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Long-term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7,416,638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3,964,537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181,870,796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175,411,851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Shareholders' equity</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0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5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Preferred stock, $1.00</w:t>
            </w:r>
            <w:r>
              <w:rPr>
                <w:rFonts w:ascii="Times New Roman" w:hAnsi="Times New Roman"/>
                <w:sz w:val="20"/>
              </w:rPr>
              <w:t> </w:t>
            </w:r>
            <w:r>
              <w:rPr>
                <w:rFonts w:ascii="Times New Roman;serif" w:hAnsi="Times New Roman;serif"/>
                <w:b w:val="false"/>
                <w:sz w:val="17"/>
              </w:rPr>
              <w:t>par, 20,000,000</w:t>
            </w:r>
            <w:r>
              <w:rPr>
                <w:rFonts w:ascii="Times New Roman" w:hAnsi="Times New Roman"/>
                <w:sz w:val="20"/>
              </w:rPr>
              <w:t> </w:t>
            </w:r>
            <w:r>
              <w:rPr>
                <w:rFonts w:ascii="Times New Roman;serif" w:hAnsi="Times New Roman;serif"/>
                <w:b w:val="false"/>
                <w:sz w:val="17"/>
              </w:rPr>
              <w:t>shares authorized;</w:t>
              <w:br/>
              <w:t>   Issued and outstanding: Liquidation preference of $1,000</w:t>
            </w:r>
            <w:r>
              <w:rPr>
                <w:rFonts w:ascii="Times New Roman" w:hAnsi="Times New Roman"/>
                <w:sz w:val="20"/>
              </w:rPr>
              <w:t> </w:t>
            </w:r>
            <w:r>
              <w:rPr>
                <w:rFonts w:ascii="Times New Roman;serif" w:hAnsi="Times New Roman;serif"/>
                <w:b w:val="false"/>
                <w:sz w:val="17"/>
              </w:rPr>
              <w:t>per share: 350,000</w:t>
              <w:br/>
              <w:t xml:space="preserve">   shares at June 30, 2023 and December 31, 2022; Liquidation preference of </w:t>
              <w:br/>
              <w:t>   $10,000</w:t>
            </w:r>
            <w:r>
              <w:rPr>
                <w:rFonts w:ascii="Times New Roman" w:hAnsi="Times New Roman"/>
                <w:sz w:val="20"/>
              </w:rPr>
              <w:t> </w:t>
            </w:r>
            <w:r>
              <w:rPr>
                <w:rFonts w:ascii="Times New Roman;serif" w:hAnsi="Times New Roman;serif"/>
                <w:b w:val="false"/>
                <w:sz w:val="17"/>
              </w:rPr>
              <w:t>per share: 140,000</w:t>
            </w:r>
            <w:r>
              <w:rPr>
                <w:rFonts w:ascii="Times New Roman" w:hAnsi="Times New Roman"/>
                <w:sz w:val="20"/>
              </w:rPr>
              <w:t> </w:t>
            </w:r>
            <w:r>
              <w:rPr>
                <w:rFonts w:ascii="Times New Roman;serif" w:hAnsi="Times New Roman;serif"/>
                <w:b w:val="false"/>
                <w:sz w:val="17"/>
              </w:rPr>
              <w:t xml:space="preserve">shares at June 30, 2023 and December 31, 2022; Liquidation </w:t>
              <w:br/>
              <w:t>   preference of $25</w:t>
            </w:r>
            <w:r>
              <w:rPr>
                <w:rFonts w:ascii="Times New Roman" w:hAnsi="Times New Roman"/>
                <w:sz w:val="20"/>
              </w:rPr>
              <w:t> </w:t>
            </w:r>
            <w:r>
              <w:rPr>
                <w:rFonts w:ascii="Times New Roman;serif" w:hAnsi="Times New Roman;serif"/>
                <w:b w:val="false"/>
                <w:sz w:val="17"/>
              </w:rPr>
              <w:t>per share: 10,000,000</w:t>
            </w:r>
            <w:r>
              <w:rPr>
                <w:rFonts w:ascii="Times New Roman" w:hAnsi="Times New Roman"/>
                <w:sz w:val="20"/>
              </w:rPr>
              <w:t> </w:t>
            </w:r>
            <w:r>
              <w:rPr>
                <w:rFonts w:ascii="Times New Roman;serif" w:hAnsi="Times New Roman;serif"/>
                <w:b w:val="false"/>
                <w:sz w:val="17"/>
              </w:rPr>
              <w:t>shares at June 30, 2023 and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2,010,600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2,010,600</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Common stock, $.50</w:t>
            </w:r>
            <w:r>
              <w:rPr>
                <w:rFonts w:ascii="Times New Roman" w:hAnsi="Times New Roman"/>
                <w:sz w:val="20"/>
              </w:rPr>
              <w:t> </w:t>
            </w:r>
            <w:r>
              <w:rPr>
                <w:rFonts w:ascii="Times New Roman;serif" w:hAnsi="Times New Roman;serif"/>
                <w:b w:val="false"/>
                <w:sz w:val="17"/>
              </w:rPr>
              <w:t>par, 250,000,000</w:t>
            </w:r>
            <w:r>
              <w:rPr>
                <w:rFonts w:ascii="Times New Roman" w:hAnsi="Times New Roman"/>
                <w:sz w:val="20"/>
              </w:rPr>
              <w:t> </w:t>
            </w:r>
            <w:r>
              <w:rPr>
                <w:rFonts w:ascii="Times New Roman;serif" w:hAnsi="Times New Roman;serif"/>
                <w:b w:val="false"/>
                <w:sz w:val="17"/>
              </w:rPr>
              <w:t>shares authorized,</w:t>
              <w:br/>
              <w:t>   179,436,779</w:t>
            </w:r>
            <w:r>
              <w:rPr>
                <w:rFonts w:ascii="Times New Roman" w:hAnsi="Times New Roman"/>
                <w:sz w:val="20"/>
              </w:rPr>
              <w:t> </w:t>
            </w:r>
            <w:r>
              <w:rPr>
                <w:rFonts w:ascii="Times New Roman;serif" w:hAnsi="Times New Roman;serif"/>
                <w:b w:val="false"/>
                <w:sz w:val="17"/>
              </w:rPr>
              <w:t xml:space="preserve">shares issued at June 30, 2023 and </w:t>
              <w:br/>
              <w: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89,718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89,718</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Common stock issuable, 12,124</w:t>
            </w:r>
            <w:r>
              <w:rPr>
                <w:rFonts w:ascii="Times New Roman" w:hAnsi="Times New Roman"/>
                <w:sz w:val="20"/>
              </w:rPr>
              <w:t> </w:t>
            </w:r>
            <w:r>
              <w:rPr>
                <w:rFonts w:ascii="Times New Roman;serif" w:hAnsi="Times New Roman;serif"/>
                <w:b w:val="false"/>
                <w:sz w:val="17"/>
              </w:rPr>
              <w:t>shares at June 30, 2023;</w:t>
              <w:br/>
              <w:t>   14,031</w:t>
            </w:r>
            <w:r>
              <w:rPr>
                <w:rFonts w:ascii="Times New Roman" w:hAnsi="Times New Roman"/>
                <w:sz w:val="20"/>
              </w:rPr>
              <w:t> </w:t>
            </w:r>
            <w:r>
              <w:rPr>
                <w:rFonts w:ascii="Times New Roman;serif" w:hAnsi="Times New Roman;serif"/>
                <w:b w:val="false"/>
                <w:sz w:val="17"/>
              </w:rPr>
              <w:t>shares 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1,112</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Additional paid-in capital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10,000,335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10,002,891</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Retained earnings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16,836,810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15,753,978</w:t>
            </w:r>
          </w:p>
        </w:tc>
        <w:tc>
          <w:tcPr>
            <w:tcW w:w="611" w:type="dxa"/>
            <w:tcBorders/>
            <w:vAlign w:val="center"/>
          </w:tcPr>
          <w:p>
            <w:pPr>
              <w:pStyle w:val="TableContents"/>
              <w:bidi w:val="0"/>
              <w:spacing w:before="0" w:after="0"/>
              <w:ind w:left="0" w:right="0" w:hanging="0"/>
              <w:jc w:val="left"/>
              <w:rPr/>
            </w:pPr>
            <w:r>
              <w:rPr/>
              <w:t> </w:t>
            </w:r>
          </w:p>
        </w:tc>
      </w:tr>
      <w:tr>
        <w:trPr/>
        <w:tc>
          <w:tcPr>
            <w:tcW w:w="652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Accumulated other comprehensive income (loss),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(864,800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(790,030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652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7"/>
              </w:rPr>
              <w:t>Treasury stock — common, at cost — 13,555,383</w:t>
            </w:r>
            <w:r>
              <w:rPr>
                <w:rFonts w:ascii="Times New Roman" w:hAnsi="Times New Roman"/>
                <w:sz w:val="20"/>
              </w:rPr>
              <w:t> </w:t>
            </w:r>
            <w:r>
              <w:rPr>
                <w:rFonts w:ascii="Times New Roman;serif" w:hAnsi="Times New Roman;serif"/>
                <w:b w:val="false"/>
                <w:sz w:val="17"/>
              </w:rPr>
              <w:t xml:space="preserve">shares at June 30, 2023; </w:t>
              <w:br/>
              <w:t>   10,165,419</w:t>
            </w:r>
            <w:r>
              <w:rPr>
                <w:rFonts w:ascii="Times New Roman" w:hAnsi="Times New Roman"/>
                <w:sz w:val="20"/>
              </w:rPr>
              <w:t> </w:t>
            </w:r>
            <w:r>
              <w:rPr>
                <w:rFonts w:ascii="Times New Roman;serif" w:hAnsi="Times New Roman;serif"/>
                <w:b w:val="false"/>
                <w:sz w:val="17"/>
              </w:rPr>
              <w:t>shares at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(2,272,702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(1,750,279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7"/>
              </w:rPr>
            </w:pPr>
            <w:r>
              <w:rPr>
                <w:rFonts w:ascii="Times New Roman;serif" w:hAnsi="Times New Roman;serif"/>
                <w:b w:val="false"/>
                <w:sz w:val="17"/>
              </w:rPr>
              <w:t>)</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25,800,933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25,317,990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526"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207,671,729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200,729,841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center"/>
        <w:rPr>
          <w:rFonts w:ascii="Times New Roman;serif" w:hAnsi="Times New Roman;serif"/>
          <w:b w:val="false"/>
          <w:i/>
          <w:sz w:val="23"/>
        </w:rPr>
      </w:pPr>
      <w:r>
        <w:rPr>
          <w:rFonts w:ascii="Times New Roman;serif" w:hAnsi="Times New Roman;serif"/>
          <w:b w:val="false"/>
          <w:i/>
          <w:sz w:val="23"/>
        </w:rPr>
        <w:t>See accompanying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60" w:after="0"/>
        <w:jc w:val="center"/>
        <w:rPr>
          <w:rFonts w:ascii="Times New Roman" w:hAnsi="Times New Roman"/>
          <w:sz w:val="20"/>
        </w:rPr>
      </w:pPr>
      <w:bookmarkStart w:id="5" w:name="consolidated_statement_income_unaudited"/>
      <w:bookmarkEnd w:id="5"/>
      <w:r>
        <w:rPr>
          <w:rFonts w:ascii="Times New Roman;serif" w:hAnsi="Times New Roman;serif"/>
          <w:b w:val="false"/>
          <w:sz w:val="23"/>
        </w:rPr>
        <w:t>CONSOLIDATED STATEMENT</w:t>
      </w:r>
      <w:r>
        <w:rPr>
          <w:rFonts w:ascii="Times New Roman" w:hAnsi="Times New Roman"/>
          <w:sz w:val="20"/>
        </w:rPr>
        <w:t xml:space="preserve"> </w:t>
      </w:r>
      <w:r>
        <w:rPr>
          <w:rFonts w:ascii="Times New Roman;serif" w:hAnsi="Times New Roman;serif"/>
          <w:b w:val="false"/>
          <w:sz w:val="23"/>
        </w:rPr>
        <w:t>OF INCOME (Unaudited)</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004"/>
        <w:gridCol w:w="146"/>
        <w:gridCol w:w="211"/>
        <w:gridCol w:w="931"/>
        <w:gridCol w:w="146"/>
        <w:gridCol w:w="146"/>
        <w:gridCol w:w="211"/>
        <w:gridCol w:w="931"/>
        <w:gridCol w:w="166"/>
        <w:gridCol w:w="146"/>
        <w:gridCol w:w="211"/>
        <w:gridCol w:w="931"/>
        <w:gridCol w:w="146"/>
        <w:gridCol w:w="146"/>
        <w:gridCol w:w="211"/>
        <w:gridCol w:w="931"/>
        <w:gridCol w:w="591"/>
      </w:tblGrid>
      <w:tr>
        <w:trPr/>
        <w:tc>
          <w:tcPr>
            <w:tcW w:w="4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 thousands, except per share)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9"/>
              </w:rPr>
            </w:pPr>
            <w:r>
              <w:rPr>
                <w:rFonts w:ascii="Times New Roman;serif" w:hAnsi="Times New Roman;serif"/>
                <w:b/>
                <w:sz w:val="19"/>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Interest income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Loans and leases, including fees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1,997,809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1,246,742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3,847,465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2,117,342</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Investment securities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4004"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Fully taxable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197,882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119,392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379,469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158,524</w:t>
            </w:r>
          </w:p>
        </w:tc>
        <w:tc>
          <w:tcPr>
            <w:tcW w:w="591" w:type="dxa"/>
            <w:tcBorders/>
            <w:vAlign w:val="center"/>
          </w:tcPr>
          <w:p>
            <w:pPr>
              <w:pStyle w:val="TableContents"/>
              <w:bidi w:val="0"/>
              <w:spacing w:before="0" w:after="0"/>
              <w:ind w:left="0" w:right="0" w:firstLine="200"/>
              <w:jc w:val="left"/>
              <w:rPr/>
            </w:pPr>
            <w:r>
              <w:rPr/>
              <w:t> </w:t>
            </w:r>
          </w:p>
        </w:tc>
      </w:tr>
      <w:tr>
        <w:trPr/>
        <w:tc>
          <w:tcPr>
            <w:tcW w:w="4004"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Exempt from federal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17,783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17,833</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Deposits at banks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302,429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80,773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580,846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99,053</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2,515,625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1,465,142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4,842,610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2,393,398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Interest expense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368,362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27,907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645,430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34,654</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Time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239,534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2,624</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Short-term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95,996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153,772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3,420</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Long-term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101,801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186,481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36,809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716,496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53,425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1,225,217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77,507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i/>
                <w:sz w:val="19"/>
              </w:rPr>
            </w:pPr>
            <w:r>
              <w:rPr>
                <w:rFonts w:ascii="Times New Roman;serif" w:hAnsi="Times New Roman;serif"/>
                <w:b w:val="false"/>
                <w:i/>
                <w:sz w:val="19"/>
              </w:rPr>
              <w:t>Net interest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1,799,129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1,411,717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3,617,393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2,315,891</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302,000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312,000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interest income after provision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1,649,129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1,109,717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3,347,393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2,003,891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Other income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Mortgage banking revenues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107,112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82,926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192,097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192,074</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Service charges on deposit accounts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232,243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225,677</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Trust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172,463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190,084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359,297</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Brokerage services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49,167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44,328</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Trading account and other non-hedging derivative gains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7,662</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Gain (loss) on bank investment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revenues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362,015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147,551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521,515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283,754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other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803,171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571,100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1,390,304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1,111,987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Other expense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Salaries and employee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737,665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776,201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1,545,607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1,353,721</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Equipment and net occupancy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128,689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124,655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255,593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210,467</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Outside data processing and software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106,438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93,820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212,218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173,539</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FDIC assessments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22,585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38,161</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Advertising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59,416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36,659</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Printing, postage and supplies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15,570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25,720</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Amortization of 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18,384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19,640</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Other costs of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234,338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331,304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460,730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504,988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Total other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1,292,559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1,403,154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2,651,789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2,362,895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before taxes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1,159,741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277,663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2,085,908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752,983</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292,707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60,141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517,250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173,287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val="false"/>
                <w:i/>
                <w:sz w:val="19"/>
              </w:rPr>
            </w:pPr>
            <w:r>
              <w:rPr>
                <w:rFonts w:ascii="Times New Roman;serif" w:hAnsi="Times New Roman;serif"/>
                <w:b w:val="false"/>
                <w:i/>
                <w:sz w:val="19"/>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867,034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217,522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1,568,658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579,696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Net income available to common shareholders</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840,520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192,236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1,516,046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531,914</w:t>
            </w:r>
          </w:p>
        </w:tc>
        <w:tc>
          <w:tcPr>
            <w:tcW w:w="591" w:type="dxa"/>
            <w:tcBorders/>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840,524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192,236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1,516,052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531,916</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Net income per common share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3.47</w:t>
            </w:r>
          </w:p>
        </w:tc>
        <w:tc>
          <w:tcPr>
            <w:tcW w:w="591" w:type="dxa"/>
            <w:tcBorders/>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3.45</w:t>
            </w:r>
          </w:p>
        </w:tc>
        <w:tc>
          <w:tcPr>
            <w:tcW w:w="591" w:type="dxa"/>
            <w:tcBorders/>
            <w:vAlign w:val="center"/>
          </w:tcPr>
          <w:p>
            <w:pPr>
              <w:pStyle w:val="TableContents"/>
              <w:bidi w:val="0"/>
              <w:spacing w:before="0" w:after="0"/>
              <w:ind w:left="0" w:right="0" w:hanging="0"/>
              <w:jc w:val="left"/>
              <w:rPr/>
            </w:pPr>
            <w:r>
              <w:rPr/>
              <w:t> </w:t>
            </w:r>
          </w:p>
        </w:tc>
      </w:tr>
      <w:tr>
        <w:trPr/>
        <w:tc>
          <w:tcPr>
            <w:tcW w:w="4004"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Average common shares outstanding</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Basic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165,842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177,367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166,782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153,290</w:t>
            </w:r>
          </w:p>
        </w:tc>
        <w:tc>
          <w:tcPr>
            <w:tcW w:w="591" w:type="dxa"/>
            <w:tcBorders/>
            <w:vAlign w:val="center"/>
          </w:tcPr>
          <w:p>
            <w:pPr>
              <w:pStyle w:val="TableContents"/>
              <w:bidi w:val="0"/>
              <w:spacing w:before="0" w:after="0"/>
              <w:ind w:left="0" w:right="0" w:firstLine="400"/>
              <w:jc w:val="left"/>
              <w:rPr/>
            </w:pPr>
            <w:r>
              <w:rPr/>
              <w:t> </w:t>
            </w:r>
          </w:p>
        </w:tc>
      </w:tr>
      <w:tr>
        <w:trPr/>
        <w:tc>
          <w:tcPr>
            <w:tcW w:w="4004" w:type="dxa"/>
            <w:tcBorders/>
            <w:vAlign w:val="center"/>
          </w:tcPr>
          <w:p>
            <w:pPr>
              <w:pStyle w:val="TableContents"/>
              <w:bidi w:val="0"/>
              <w:spacing w:before="0" w:after="0"/>
              <w:ind w:left="400" w:right="0" w:hanging="0"/>
              <w:jc w:val="left"/>
              <w:rPr>
                <w:rFonts w:ascii="Times New Roman;serif" w:hAnsi="Times New Roman;serif"/>
                <w:b w:val="false"/>
                <w:sz w:val="19"/>
              </w:rPr>
            </w:pPr>
            <w:r>
              <w:rPr>
                <w:rFonts w:ascii="Times New Roman;serif" w:hAnsi="Times New Roman;serif"/>
                <w:b w:val="false"/>
                <w:sz w:val="19"/>
              </w:rPr>
              <w:t>Diluted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166,320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178,277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167,359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153,981</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60" w:after="0"/>
        <w:jc w:val="center"/>
        <w:rPr>
          <w:rFonts w:ascii="Times New Roman;serif" w:hAnsi="Times New Roman;serif"/>
          <w:b w:val="false"/>
          <w:i/>
          <w:sz w:val="23"/>
        </w:rPr>
      </w:pPr>
      <w:r>
        <w:rPr>
          <w:rFonts w:ascii="Times New Roman;serif" w:hAnsi="Times New Roman;serif"/>
          <w:b w:val="false"/>
          <w:i/>
          <w:sz w:val="23"/>
        </w:rPr>
        <w:t>See accompanying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120" w:after="0"/>
        <w:jc w:val="center"/>
        <w:rPr>
          <w:rFonts w:ascii="Times New Roman;serif" w:hAnsi="Times New Roman;serif"/>
          <w:b w:val="false"/>
          <w:sz w:val="23"/>
        </w:rPr>
      </w:pPr>
      <w:bookmarkStart w:id="6" w:name="consolidated_statement_comprehensive_inc"/>
      <w:bookmarkEnd w:id="6"/>
      <w:r>
        <w:rPr>
          <w:rFonts w:ascii="Times New Roman;serif" w:hAnsi="Times New Roman;serif"/>
          <w:b w:val="false"/>
          <w:sz w:val="23"/>
        </w:rPr>
        <w:t>CONSOLIDATED STATEMENT OF COMPREHENSIVE INCOME (Unaudited)</w:t>
      </w:r>
    </w:p>
    <w:tbl>
      <w:tblPr>
        <w:tblW w:w="10205" w:type="dxa"/>
        <w:jc w:val="left"/>
        <w:tblInd w:w="0" w:type="dxa"/>
        <w:tblLayout w:type="fixed"/>
        <w:tblCellMar>
          <w:top w:w="28" w:type="dxa"/>
          <w:left w:w="28" w:type="dxa"/>
          <w:bottom w:w="28" w:type="dxa"/>
          <w:right w:w="28" w:type="dxa"/>
        </w:tblCellMar>
      </w:tblPr>
      <w:tblGrid>
        <w:gridCol w:w="4214"/>
        <w:gridCol w:w="146"/>
        <w:gridCol w:w="211"/>
        <w:gridCol w:w="841"/>
        <w:gridCol w:w="166"/>
        <w:gridCol w:w="146"/>
        <w:gridCol w:w="211"/>
        <w:gridCol w:w="841"/>
        <w:gridCol w:w="166"/>
        <w:gridCol w:w="146"/>
        <w:gridCol w:w="211"/>
        <w:gridCol w:w="931"/>
        <w:gridCol w:w="166"/>
        <w:gridCol w:w="146"/>
        <w:gridCol w:w="211"/>
        <w:gridCol w:w="841"/>
        <w:gridCol w:w="611"/>
      </w:tblGrid>
      <w:tr>
        <w:trPr/>
        <w:tc>
          <w:tcPr>
            <w:tcW w:w="4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611" w:type="dxa"/>
            <w:tcBorders/>
            <w:vAlign w:val="center"/>
          </w:tcPr>
          <w:p>
            <w:pPr>
              <w:pStyle w:val="TableContents"/>
              <w:bidi w:val="0"/>
              <w:spacing w:before="0" w:after="0"/>
              <w:ind w:left="0" w:right="0" w:hanging="0"/>
              <w:jc w:val="center"/>
              <w:rPr/>
            </w:pPr>
            <w:r>
              <w:rPr/>
              <w:t> </w:t>
            </w:r>
          </w:p>
        </w:tc>
      </w:tr>
      <w:tr>
        <w:trPr/>
        <w:tc>
          <w:tcPr>
            <w:tcW w:w="421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4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867,034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579,696</w:t>
            </w:r>
          </w:p>
        </w:tc>
        <w:tc>
          <w:tcPr>
            <w:tcW w:w="611" w:type="dxa"/>
            <w:tcBorders/>
            <w:vAlign w:val="center"/>
          </w:tcPr>
          <w:p>
            <w:pPr>
              <w:pStyle w:val="TableContents"/>
              <w:bidi w:val="0"/>
              <w:spacing w:before="0" w:after="0"/>
              <w:ind w:left="0" w:right="0" w:hanging="0"/>
              <w:jc w:val="left"/>
              <w:rPr/>
            </w:pPr>
            <w:r>
              <w:rPr/>
              <w:t> </w:t>
            </w:r>
          </w:p>
        </w:tc>
      </w:tr>
      <w:tr>
        <w:trPr/>
        <w:tc>
          <w:tcPr>
            <w:tcW w:w="4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Other comprehensive income (loss), net of tax and </w:t>
              <w:br/>
              <w:t>   reclassification adjustments: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42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unrealized gains (losses) on investment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(206,918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flow hedges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(156,290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(172,249</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(5,912</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Defined benefit plans liability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2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(378,912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2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647,239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88,417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1,493,888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200,784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3"/>
        </w:rPr>
      </w:pPr>
      <w:r>
        <w:rPr>
          <w:rFonts w:ascii="Times New Roman;serif" w:hAnsi="Times New Roman;serif"/>
          <w:b w:val="false"/>
          <w:i/>
          <w:sz w:val="23"/>
        </w:rPr>
        <w:t>See accompanying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120" w:after="0"/>
        <w:jc w:val="center"/>
        <w:rPr>
          <w:rFonts w:ascii="Times New Roman;serif" w:hAnsi="Times New Roman;serif"/>
          <w:b w:val="false"/>
          <w:sz w:val="23"/>
        </w:rPr>
      </w:pPr>
      <w:bookmarkStart w:id="7" w:name="consolidated_statement_cash_flows_unaudi"/>
      <w:bookmarkEnd w:id="7"/>
      <w:r>
        <w:rPr>
          <w:rFonts w:ascii="Times New Roman;serif" w:hAnsi="Times New Roman;serif"/>
          <w:b w:val="false"/>
          <w:sz w:val="23"/>
        </w:rPr>
        <w:t>CONSOLIDATED STATEMENT OF CASH FLOWS (Unaudited)</w:t>
      </w:r>
    </w:p>
    <w:tbl>
      <w:tblPr>
        <w:tblW w:w="9274" w:type="dxa"/>
        <w:jc w:val="left"/>
        <w:tblInd w:w="0" w:type="dxa"/>
        <w:tblLayout w:type="fixed"/>
        <w:tblCellMar>
          <w:top w:w="28" w:type="dxa"/>
          <w:left w:w="28" w:type="dxa"/>
          <w:bottom w:w="28" w:type="dxa"/>
          <w:right w:w="28" w:type="dxa"/>
        </w:tblCellMar>
      </w:tblPr>
      <w:tblGrid>
        <w:gridCol w:w="5971"/>
        <w:gridCol w:w="146"/>
        <w:gridCol w:w="196"/>
        <w:gridCol w:w="886"/>
        <w:gridCol w:w="166"/>
        <w:gridCol w:w="146"/>
        <w:gridCol w:w="196"/>
        <w:gridCol w:w="976"/>
        <w:gridCol w:w="59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66" w:type="dxa"/>
            <w:gridSpan w:val="6"/>
            <w:tcBorders/>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Six Months Ended June 30</w:t>
            </w:r>
          </w:p>
        </w:tc>
        <w:tc>
          <w:tcPr>
            <w:tcW w:w="591" w:type="dxa"/>
            <w:tcBorders/>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(In thousands)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1,568,658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579,696</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Adjustments to reconcile net income to 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270,000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312,000</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Depreciation and amortization of premises and equipment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148,806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134,949</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Amortization of capitalized servicing rights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57,442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50,998</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Amortization of 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19,640</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Provision for deferred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(77,346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Asset write-downs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3,469</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gain on sales of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(234,388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(10,856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change in accrued interest receivable,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259,115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10,834</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change in other accrued income and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(72,168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(32,412</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change in loans originated for sale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(339,702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571,879</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change in trading account and other non-hedging derivative assets and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920,288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cash provided by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1,685,087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2,483,139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Proceeds from sales of investment securities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Equity and other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614,355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26,286</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Proceeds from maturities of investment securities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Available for sale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298,136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467,788</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Held to maturity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570,742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572,192</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Purchases of investment securities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Available for sale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(343,946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(4,588,013</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Held to maturity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(2,947,627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(796,312</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Equity and other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(872,516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(26,505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increase in loans and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(1,645,467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(265,684</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(increase) decrease in interest-bearing deposits at banks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(2,148,180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17,628,196</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Capital expenditures,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(101,379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(87,742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decrease in loan servicing advances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285,706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1,039,029</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Acquisition, net of cash consideration</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Bank and bank holding company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393,923</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(359,299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(324,594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cash provided (used) by investing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(6,649,475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14,038,564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decrease in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(1,454,879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(14,151,849</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increase (decrease) in short-term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4,352,933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(72,595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Proceeds from long-term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3,485,675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Payments on long-term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(900,096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Purchases of treasury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(594,000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(600,000</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Dividends paid — common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(436,369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(369,822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Dividends paid — preferred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(49,881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(47,046</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Other,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(29,598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Net cash provided (used) by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5,292,530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(16,171,006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328,142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350,697</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1,520,244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1,337,577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1,848,386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1,688,274</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Interest received during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4,813,949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2,416,362</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Interest paid during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922,988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86,713</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Income taxes paid during the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329,200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231,687</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sz w:val="17"/>
              </w:rPr>
            </w:pPr>
            <w:r>
              <w:rPr>
                <w:rFonts w:ascii="Times New Roman;serif" w:hAnsi="Times New Roman;serif"/>
                <w:b/>
                <w:sz w:val="17"/>
              </w:rPr>
              <w:t>Supplemental schedule of 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Real estate acquired in settlement of loans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11,612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8,800</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Additions to right-of-use assets under operating leases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68,672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31,013</w:t>
            </w:r>
          </w:p>
        </w:tc>
        <w:tc>
          <w:tcPr>
            <w:tcW w:w="591" w:type="dxa"/>
            <w:tcBorders/>
            <w:vAlign w:val="center"/>
          </w:tcPr>
          <w:p>
            <w:pPr>
              <w:pStyle w:val="TableContents"/>
              <w:bidi w:val="0"/>
              <w:spacing w:before="0" w:after="0"/>
              <w:ind w:left="0" w:right="0" w:hanging="0"/>
              <w:jc w:val="left"/>
              <w:rPr/>
            </w:pPr>
            <w:r>
              <w:rPr/>
              <w:t> </w:t>
            </w:r>
          </w:p>
        </w:tc>
      </w:tr>
      <w:tr>
        <w:trPr/>
        <w:tc>
          <w:tcPr>
            <w:tcW w:w="5971" w:type="dxa"/>
            <w:tcBorders/>
            <w:vAlign w:val="center"/>
          </w:tcPr>
          <w:p>
            <w:pPr>
              <w:pStyle w:val="TableContents"/>
              <w:bidi w:val="0"/>
              <w:spacing w:before="0" w:after="0"/>
              <w:ind w:left="0" w:right="0" w:hanging="0"/>
              <w:jc w:val="left"/>
              <w:rPr>
                <w:rFonts w:ascii="Times New Roman;serif" w:hAnsi="Times New Roman;serif"/>
                <w:b w:val="false"/>
                <w:sz w:val="17"/>
              </w:rPr>
            </w:pPr>
            <w:r>
              <w:rPr>
                <w:rFonts w:ascii="Times New Roman;serif" w:hAnsi="Times New Roman;serif"/>
                <w:b w:val="false"/>
                <w:sz w:val="17"/>
              </w:rPr>
              <w:t>Acquisition of bank and bank holding company</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Common stock issued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8,286,515</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Common stock awards converted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104,810</w:t>
            </w:r>
          </w:p>
        </w:tc>
        <w:tc>
          <w:tcPr>
            <w:tcW w:w="591" w:type="dxa"/>
            <w:tcBorders/>
            <w:vAlign w:val="center"/>
          </w:tcPr>
          <w:p>
            <w:pPr>
              <w:pStyle w:val="TableContents"/>
              <w:bidi w:val="0"/>
              <w:spacing w:before="0" w:after="0"/>
              <w:ind w:left="0" w:right="0" w:firstLine="200"/>
              <w:jc w:val="left"/>
              <w:rPr/>
            </w:pPr>
            <w:r>
              <w:rPr/>
              <w:t> </w:t>
            </w:r>
          </w:p>
        </w:tc>
      </w:tr>
      <w:tr>
        <w:trPr/>
        <w:tc>
          <w:tcPr>
            <w:tcW w:w="5971" w:type="dxa"/>
            <w:tcBorders/>
            <w:vAlign w:val="center"/>
          </w:tcPr>
          <w:p>
            <w:pPr>
              <w:pStyle w:val="TableContents"/>
              <w:bidi w:val="0"/>
              <w:spacing w:before="0" w:after="0"/>
              <w:ind w:left="200" w:right="0" w:hanging="0"/>
              <w:jc w:val="left"/>
              <w:rPr>
                <w:rFonts w:ascii="Times New Roman;serif" w:hAnsi="Times New Roman;serif"/>
                <w:b w:val="false"/>
                <w:sz w:val="17"/>
              </w:rPr>
            </w:pPr>
            <w:r>
              <w:rPr>
                <w:rFonts w:ascii="Times New Roman;serif" w:hAnsi="Times New Roman;serif"/>
                <w:b w:val="false"/>
                <w:sz w:val="17"/>
              </w:rPr>
              <w:t>Fair value of</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7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5971"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Assets acquired (noncash)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63,757,316</w:t>
            </w:r>
          </w:p>
        </w:tc>
        <w:tc>
          <w:tcPr>
            <w:tcW w:w="591" w:type="dxa"/>
            <w:tcBorders/>
            <w:vAlign w:val="center"/>
          </w:tcPr>
          <w:p>
            <w:pPr>
              <w:pStyle w:val="TableContents"/>
              <w:bidi w:val="0"/>
              <w:spacing w:before="0" w:after="0"/>
              <w:ind w:left="0" w:right="0" w:firstLine="400"/>
              <w:jc w:val="left"/>
              <w:rPr/>
            </w:pPr>
            <w:r>
              <w:rPr/>
              <w:t> </w:t>
            </w:r>
          </w:p>
        </w:tc>
      </w:tr>
      <w:tr>
        <w:trPr/>
        <w:tc>
          <w:tcPr>
            <w:tcW w:w="5971"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Liabilities assumed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55,499,314</w:t>
            </w:r>
          </w:p>
        </w:tc>
        <w:tc>
          <w:tcPr>
            <w:tcW w:w="591" w:type="dxa"/>
            <w:tcBorders/>
            <w:vAlign w:val="center"/>
          </w:tcPr>
          <w:p>
            <w:pPr>
              <w:pStyle w:val="TableContents"/>
              <w:bidi w:val="0"/>
              <w:spacing w:before="0" w:after="0"/>
              <w:ind w:left="0" w:right="0" w:firstLine="400"/>
              <w:jc w:val="left"/>
              <w:rPr/>
            </w:pPr>
            <w:r>
              <w:rPr/>
              <w:t> </w:t>
            </w:r>
          </w:p>
        </w:tc>
      </w:tr>
      <w:tr>
        <w:trPr/>
        <w:tc>
          <w:tcPr>
            <w:tcW w:w="5971" w:type="dxa"/>
            <w:tcBorders/>
            <w:vAlign w:val="center"/>
          </w:tcPr>
          <w:p>
            <w:pPr>
              <w:pStyle w:val="TableContents"/>
              <w:bidi w:val="0"/>
              <w:spacing w:before="0" w:after="0"/>
              <w:ind w:left="400" w:right="0" w:hanging="0"/>
              <w:jc w:val="left"/>
              <w:rPr>
                <w:rFonts w:ascii="Times New Roman;serif" w:hAnsi="Times New Roman;serif"/>
                <w:b w:val="false"/>
                <w:sz w:val="17"/>
              </w:rPr>
            </w:pPr>
            <w:r>
              <w:rPr>
                <w:rFonts w:ascii="Times New Roman;serif" w:hAnsi="Times New Roman;serif"/>
                <w:b w:val="false"/>
                <w:sz w:val="17"/>
              </w:rPr>
              <w:t>Preferred stock converted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serif" w:hAnsi="Times New Roman;serif"/>
                <w:b w:val="false"/>
                <w:sz w:val="17"/>
              </w:rPr>
            </w:pPr>
            <w:r>
              <w:rPr>
                <w:rFonts w:ascii="Times New Roman;serif" w:hAnsi="Times New Roman;serif"/>
                <w:b w:val="false"/>
                <w:sz w:val="17"/>
              </w:rPr>
              <w:t>260,600</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i/>
          <w:sz w:val="23"/>
        </w:rPr>
      </w:pPr>
      <w:r>
        <w:rPr>
          <w:rFonts w:ascii="Times New Roman;serif" w:hAnsi="Times New Roman;serif"/>
          <w:b w:val="false"/>
          <w:i/>
          <w:sz w:val="23"/>
        </w:rPr>
        <w:t>See accompanying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120" w:after="0"/>
        <w:jc w:val="center"/>
        <w:rPr>
          <w:rFonts w:ascii="Times New Roman;serif" w:hAnsi="Times New Roman;serif"/>
          <w:b w:val="false"/>
          <w:sz w:val="23"/>
        </w:rPr>
      </w:pPr>
      <w:bookmarkStart w:id="8" w:name="consolidated_statement_changes_in_shareh"/>
      <w:bookmarkEnd w:id="8"/>
      <w:r>
        <w:rPr>
          <w:rFonts w:ascii="Times New Roman;serif" w:hAnsi="Times New Roman;serif"/>
          <w:b w:val="false"/>
          <w:sz w:val="23"/>
        </w:rPr>
        <w:t>CONSOLIDATED STATEMENT OF CHANGES IN SHAREHOLDERS’ EQUITY (Unaudited)</w:t>
      </w:r>
    </w:p>
    <w:p>
      <w:pPr>
        <w:pStyle w:val="TextBody"/>
        <w:bidi w:val="0"/>
        <w:spacing w:before="0" w:after="0"/>
        <w:jc w:val="left"/>
        <w:rPr/>
      </w:pPr>
      <w:r>
        <w:rPr/>
        <w:t> </w:t>
      </w:r>
    </w:p>
    <w:tbl>
      <w:tblPr>
        <w:tblW w:w="10571" w:type="dxa"/>
        <w:jc w:val="left"/>
        <w:tblInd w:w="0" w:type="dxa"/>
        <w:tblLayout w:type="fixed"/>
        <w:tblCellMar>
          <w:top w:w="28" w:type="dxa"/>
          <w:left w:w="28" w:type="dxa"/>
          <w:bottom w:w="28" w:type="dxa"/>
          <w:right w:w="28" w:type="dxa"/>
        </w:tblCellMar>
      </w:tblPr>
      <w:tblGrid>
        <w:gridCol w:w="991"/>
        <w:gridCol w:w="146"/>
        <w:gridCol w:w="181"/>
        <w:gridCol w:w="691"/>
        <w:gridCol w:w="146"/>
        <w:gridCol w:w="146"/>
        <w:gridCol w:w="181"/>
        <w:gridCol w:w="511"/>
        <w:gridCol w:w="146"/>
        <w:gridCol w:w="146"/>
        <w:gridCol w:w="185"/>
        <w:gridCol w:w="446"/>
        <w:gridCol w:w="151"/>
        <w:gridCol w:w="146"/>
        <w:gridCol w:w="181"/>
        <w:gridCol w:w="766"/>
        <w:gridCol w:w="151"/>
        <w:gridCol w:w="146"/>
        <w:gridCol w:w="181"/>
        <w:gridCol w:w="766"/>
        <w:gridCol w:w="151"/>
        <w:gridCol w:w="146"/>
        <w:gridCol w:w="227"/>
        <w:gridCol w:w="794"/>
        <w:gridCol w:w="151"/>
        <w:gridCol w:w="146"/>
        <w:gridCol w:w="181"/>
        <w:gridCol w:w="736"/>
        <w:gridCol w:w="151"/>
        <w:gridCol w:w="146"/>
        <w:gridCol w:w="181"/>
        <w:gridCol w:w="766"/>
        <w:gridCol w:w="3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Preferred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Common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Retained</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Income</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Treasury</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u w:val="single"/>
              </w:rPr>
            </w:pPr>
            <w:r>
              <w:rPr>
                <w:rFonts w:ascii="Times New Roman;serif" w:hAnsi="Times New Roman;serif"/>
                <w:b/>
                <w:sz w:val="14"/>
                <w:u w:val="single"/>
              </w:rPr>
              <w:t>Dollars in thousands, except per share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Issuable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Earnings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 Net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Three Months Ended June 30, 2023</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April 1, 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9,986,325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16,212,095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(645,005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(2,277,519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25,377,171</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comprehensive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867,034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(219,795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647,239</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 cash dividends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(24,940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(24,940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Purchases of treasury stock (b)</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Stock-based compensation </w:t>
              <w:br/>
              <w:t>   transactions, net (b)</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18,367</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 xml:space="preserve">Common stock cash dividends — </w:t>
              <w:br/>
              <w:t>   $1.30</w:t>
            </w:r>
            <w:r>
              <w:rPr>
                <w:rFonts w:ascii="Times New Roman" w:hAnsi="Times New Roman"/>
                <w:sz w:val="20"/>
              </w:rPr>
              <w:t> </w:t>
            </w:r>
            <w:r>
              <w:rPr>
                <w:rFonts w:ascii="Times New Roman;serif" w:hAnsi="Times New Roman;serif"/>
                <w:b w:val="false"/>
                <w:sz w:val="14"/>
              </w:rPr>
              <w:t>per share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(216,904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(216,904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10,000,335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16,836,810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(864,800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(2,272,702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25,800,933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January 1, 2023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10,002,891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15,753,978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(790,030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(1,750,279</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25,317,990</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comprehensive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1,568,658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(74,770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1,493,888</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 cash dividends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(49,881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(49,881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Purchases of treasury stock (b)</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(599,940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(599,940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Stock-based compensation </w:t>
              <w:br/>
              <w:t>   transactions, net (b)</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77,517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73,875</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 xml:space="preserve">Common stock cash dividends — </w:t>
              <w:br/>
              <w:t>   $2.60</w:t>
            </w:r>
            <w:r>
              <w:rPr>
                <w:rFonts w:ascii="Times New Roman" w:hAnsi="Times New Roman"/>
                <w:sz w:val="20"/>
              </w:rPr>
              <w:t> </w:t>
            </w:r>
            <w:r>
              <w:rPr>
                <w:rFonts w:ascii="Times New Roman;serif" w:hAnsi="Times New Roman;serif"/>
                <w:b w:val="false"/>
                <w:sz w:val="14"/>
              </w:rPr>
              <w:t>per share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(434,999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(434,999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10,000,335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16,836,810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(864,800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(2,272,702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25,800,933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Three Months Ended June 30, 2022</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April 1, 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1,074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6,611,659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14,830,671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(377,385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(5,019,870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17,876,020</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comprehensive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217,522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(129,105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88,417</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Acquisition of People's United Financial, Inc.:</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Common stock issued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3,256,821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5,019,870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8,286,515</w:t>
            </w:r>
          </w:p>
        </w:tc>
        <w:tc>
          <w:tcPr>
            <w:tcW w:w="391" w:type="dxa"/>
            <w:tcBorders/>
            <w:vAlign w:val="center"/>
          </w:tcPr>
          <w:p>
            <w:pPr>
              <w:pStyle w:val="TableContents"/>
              <w:bidi w:val="0"/>
              <w:spacing w:before="0" w:after="0"/>
              <w:ind w:left="0" w:right="0" w:firstLine="200"/>
              <w:jc w:val="lef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Common stock awards converted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104,810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104,810</w:t>
            </w:r>
          </w:p>
        </w:tc>
        <w:tc>
          <w:tcPr>
            <w:tcW w:w="391" w:type="dxa"/>
            <w:tcBorders/>
            <w:vAlign w:val="center"/>
          </w:tcPr>
          <w:p>
            <w:pPr>
              <w:pStyle w:val="TableContents"/>
              <w:bidi w:val="0"/>
              <w:spacing w:before="0" w:after="0"/>
              <w:ind w:left="0" w:right="0" w:firstLine="200"/>
              <w:jc w:val="lef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Conversion of Series H preferred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260,600</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 cash dividends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(24,941</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(24,941</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Purchases of treasury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(600,000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(600,000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Stock-based compensation </w:t>
              <w:br/>
              <w:t>   transactions, net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13,591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17,412</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 xml:space="preserve">Common stock cash dividends — </w:t>
              <w:br/>
              <w:t>   $1.20</w:t>
            </w:r>
            <w:r>
              <w:rPr>
                <w:rFonts w:ascii="Times New Roman" w:hAnsi="Times New Roman"/>
                <w:sz w:val="20"/>
              </w:rPr>
              <w:t> </w:t>
            </w:r>
            <w:r>
              <w:rPr>
                <w:rFonts w:ascii="Times New Roman;serif" w:hAnsi="Times New Roman;serif"/>
                <w:b w:val="false"/>
                <w:sz w:val="14"/>
              </w:rPr>
              <w:t>per share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(214,302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righ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(214,302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June 30, 2022</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9,986,881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14,808,637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(506,490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(595,905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25,794,531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Six Months Ended June 30, 2022</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January 1, 2022</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79,871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6,635,000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14,646,448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(127,578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(5,081,548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17,903,405</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comprehensive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579,696</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(378,912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200,784</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Acquisition of People's United Financial, Inc.:</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Common stock issued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3,256,821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5,019,870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8,286,515</w:t>
            </w:r>
          </w:p>
        </w:tc>
        <w:tc>
          <w:tcPr>
            <w:tcW w:w="391" w:type="dxa"/>
            <w:tcBorders/>
            <w:vAlign w:val="center"/>
          </w:tcPr>
          <w:p>
            <w:pPr>
              <w:pStyle w:val="TableContents"/>
              <w:bidi w:val="0"/>
              <w:spacing w:before="0" w:after="0"/>
              <w:ind w:left="0" w:right="0" w:firstLine="200"/>
              <w:jc w:val="lef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Common stock awards converted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104,810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104,810</w:t>
            </w:r>
          </w:p>
        </w:tc>
        <w:tc>
          <w:tcPr>
            <w:tcW w:w="391" w:type="dxa"/>
            <w:tcBorders/>
            <w:vAlign w:val="center"/>
          </w:tcPr>
          <w:p>
            <w:pPr>
              <w:pStyle w:val="TableContents"/>
              <w:bidi w:val="0"/>
              <w:spacing w:before="0" w:after="0"/>
              <w:ind w:left="0" w:right="0" w:firstLine="200"/>
              <w:jc w:val="left"/>
              <w:rPr/>
            </w:pPr>
            <w:r>
              <w:rPr/>
              <w:t> </w:t>
            </w:r>
          </w:p>
        </w:tc>
      </w:tr>
      <w:tr>
        <w:trPr/>
        <w:tc>
          <w:tcPr>
            <w:tcW w:w="991" w:type="dxa"/>
            <w:tcBorders/>
            <w:vAlign w:val="center"/>
          </w:tcPr>
          <w:p>
            <w:pPr>
              <w:pStyle w:val="TableContents"/>
              <w:bidi w:val="0"/>
              <w:spacing w:before="0" w:after="0"/>
              <w:ind w:left="200" w:right="0" w:hanging="0"/>
              <w:jc w:val="left"/>
              <w:rPr>
                <w:rFonts w:ascii="Times New Roman;serif" w:hAnsi="Times New Roman;serif"/>
                <w:b w:val="false"/>
                <w:sz w:val="14"/>
              </w:rPr>
            </w:pPr>
            <w:r>
              <w:rPr>
                <w:rFonts w:ascii="Times New Roman;serif" w:hAnsi="Times New Roman;serif"/>
                <w:b w:val="false"/>
                <w:sz w:val="14"/>
              </w:rPr>
              <w:t>Conversion of Series H preferred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260,600</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 cash dividends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(46,706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(46,706</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Purchases of treasury stock</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(600,000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(600,000</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Stock-based compensation transactions, net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44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(9,750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(643</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94"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65,773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55,281</w:t>
            </w:r>
          </w:p>
        </w:tc>
        <w:tc>
          <w:tcPr>
            <w:tcW w:w="3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4"/>
              </w:rPr>
              <w:t xml:space="preserve">Common stock cash dividends — </w:t>
              <w:br/>
              <w:t>   $2.40</w:t>
            </w:r>
            <w:r>
              <w:rPr>
                <w:rFonts w:ascii="Times New Roman" w:hAnsi="Times New Roman"/>
                <w:sz w:val="20"/>
              </w:rPr>
              <w:t> </w:t>
            </w:r>
            <w:r>
              <w:rPr>
                <w:rFonts w:ascii="Times New Roman;serif" w:hAnsi="Times New Roman;serif"/>
                <w:b w:val="false"/>
                <w:sz w:val="14"/>
              </w:rPr>
              <w:t>per share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(370,158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(370,158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Balance — June 30, 2022</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2,010,600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89,718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9,986,881</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14,808,637</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(506,490</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(595,905</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25,794,531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5"/>
        </w:rPr>
      </w:pPr>
      <w:r>
        <w:rPr>
          <w:rFonts w:ascii="Times New Roman" w:hAnsi="Times New Roman"/>
          <w:b w:val="false"/>
          <w:i/>
          <w:sz w:val="15"/>
        </w:rPr>
        <w:t>(a)</w:t>
      </w:r>
    </w:p>
    <w:p>
      <w:pPr>
        <w:pStyle w:val="TextBody"/>
        <w:bidi w:val="0"/>
        <w:spacing w:before="0" w:after="0"/>
        <w:jc w:val="both"/>
        <w:rPr/>
      </w:pPr>
      <w:r>
        <w:rPr>
          <w:rFonts w:ascii="Times New Roman;serif" w:hAnsi="Times New Roman;serif"/>
          <w:b w:val="false"/>
          <w:i/>
          <w:sz w:val="16"/>
        </w:rPr>
        <w:t>For the three-month and six-month periods ended June 30, 2023, dividends per preferred share were: Preferred Series E - $16.125</w:t>
      </w:r>
      <w:r>
        <w:rPr/>
        <w:t xml:space="preserve"> </w:t>
      </w:r>
      <w:r>
        <w:rPr>
          <w:rFonts w:ascii="Times New Roman;serif" w:hAnsi="Times New Roman;serif"/>
          <w:b w:val="false"/>
          <w:i/>
          <w:sz w:val="16"/>
        </w:rPr>
        <w:t>and $32.25, respectively; Preferred Series F - $128.125</w:t>
      </w:r>
      <w:r>
        <w:rPr/>
        <w:t xml:space="preserve"> </w:t>
      </w:r>
      <w:r>
        <w:rPr>
          <w:rFonts w:ascii="Times New Roman;serif" w:hAnsi="Times New Roman;serif"/>
          <w:b w:val="false"/>
          <w:i/>
          <w:sz w:val="16"/>
        </w:rPr>
        <w:t>and $256.25, respectively; Preferred Series G - $125.00</w:t>
      </w:r>
      <w:r>
        <w:rPr/>
        <w:t xml:space="preserve"> </w:t>
      </w:r>
      <w:r>
        <w:rPr>
          <w:rFonts w:ascii="Times New Roman;serif" w:hAnsi="Times New Roman;serif"/>
          <w:b w:val="false"/>
          <w:i/>
          <w:sz w:val="16"/>
        </w:rPr>
        <w:t>and $250.00, respectively; Preferred Series H - $0.3516</w:t>
      </w:r>
      <w:r>
        <w:rPr/>
        <w:t xml:space="preserve"> </w:t>
      </w:r>
      <w:r>
        <w:rPr>
          <w:rFonts w:ascii="Times New Roman;serif" w:hAnsi="Times New Roman;serif"/>
          <w:b w:val="false"/>
          <w:i/>
          <w:sz w:val="16"/>
        </w:rPr>
        <w:t>and $0.7031, respectively; and Preferred Series I - $87.50</w:t>
      </w:r>
      <w:r>
        <w:rPr/>
        <w:t xml:space="preserve"> </w:t>
      </w:r>
      <w:r>
        <w:rPr>
          <w:rFonts w:ascii="Times New Roman;serif" w:hAnsi="Times New Roman;serif"/>
          <w:b w:val="false"/>
          <w:i/>
          <w:sz w:val="16"/>
        </w:rPr>
        <w:t>and $175.00, respectively. Dividends per preferred share for the three-month and six-month periods ended June 30, 2022</w:t>
      </w:r>
      <w:r>
        <w:rPr/>
        <w:t xml:space="preserve"> </w:t>
      </w:r>
      <w:r>
        <w:rPr>
          <w:rFonts w:ascii="Times New Roman;serif" w:hAnsi="Times New Roman;serif"/>
          <w:b w:val="false"/>
          <w:i/>
          <w:sz w:val="16"/>
        </w:rPr>
        <w:t>were: Preferred Series E - $16.125</w:t>
      </w:r>
      <w:r>
        <w:rPr/>
        <w:t xml:space="preserve"> </w:t>
      </w:r>
      <w:r>
        <w:rPr>
          <w:rFonts w:ascii="Times New Roman;serif" w:hAnsi="Times New Roman;serif"/>
          <w:b w:val="false"/>
          <w:i/>
          <w:sz w:val="16"/>
        </w:rPr>
        <w:t>and $32.25, respectively; Preferred Series F - $128.125</w:t>
      </w:r>
      <w:r>
        <w:rPr/>
        <w:t xml:space="preserve"> </w:t>
      </w:r>
      <w:r>
        <w:rPr>
          <w:rFonts w:ascii="Times New Roman;serif" w:hAnsi="Times New Roman;serif"/>
          <w:b w:val="false"/>
          <w:i/>
          <w:sz w:val="16"/>
        </w:rPr>
        <w:t>and $256.25, respectively; Preferred Series G - $125.00</w:t>
      </w:r>
      <w:r>
        <w:rPr/>
        <w:t xml:space="preserve"> </w:t>
      </w:r>
      <w:r>
        <w:rPr>
          <w:rFonts w:ascii="Times New Roman;serif" w:hAnsi="Times New Roman;serif"/>
          <w:b w:val="false"/>
          <w:i/>
          <w:sz w:val="16"/>
        </w:rPr>
        <w:t>and $250.00, respectively; and Preferred Series I - $87.50. and $181.81, respectively.</w:t>
      </w:r>
    </w:p>
    <w:p>
      <w:pPr>
        <w:pStyle w:val="TextBody"/>
        <w:bidi w:val="0"/>
        <w:spacing w:before="0" w:after="0"/>
        <w:jc w:val="both"/>
        <w:rPr>
          <w:rFonts w:ascii="Times New Roman" w:hAnsi="Times New Roman"/>
          <w:b w:val="false"/>
          <w:i/>
          <w:sz w:val="15"/>
        </w:rPr>
      </w:pPr>
      <w:r>
        <w:rPr>
          <w:rFonts w:ascii="Times New Roman" w:hAnsi="Times New Roman"/>
          <w:b w:val="false"/>
          <w:i/>
          <w:sz w:val="15"/>
        </w:rPr>
        <w:t>(b)</w:t>
      </w:r>
    </w:p>
    <w:p>
      <w:pPr>
        <w:pStyle w:val="TextBody"/>
        <w:bidi w:val="0"/>
        <w:jc w:val="both"/>
        <w:rPr>
          <w:rFonts w:ascii="Times New Roman;serif" w:hAnsi="Times New Roman;serif"/>
          <w:b w:val="false"/>
          <w:i/>
          <w:sz w:val="16"/>
        </w:rPr>
      </w:pPr>
      <w:r>
        <w:rPr>
          <w:rFonts w:ascii="Times New Roman;serif" w:hAnsi="Times New Roman;serif"/>
          <w:b w:val="false"/>
          <w:i/>
          <w:sz w:val="16"/>
        </w:rPr>
        <w:t>Effective January 1, 2023 amounts are inclusive of 1% U.S. government excise taxes receivable or payable.</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3"/>
        </w:rPr>
      </w:pPr>
      <w:r>
        <w:rPr>
          <w:rFonts w:ascii="Times New Roman;serif" w:hAnsi="Times New Roman;serif"/>
          <w:b w:val="false"/>
          <w:i/>
          <w:sz w:val="23"/>
        </w:rPr>
        <w:t>See accompanying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3"/>
        </w:rPr>
      </w:pPr>
      <w:bookmarkStart w:id="9" w:name="notes_to_financial_statements"/>
      <w:bookmarkEnd w:id="9"/>
      <w:r>
        <w:rPr>
          <w:rFonts w:ascii="Times New Roman;serif" w:hAnsi="Times New Roman;serif"/>
          <w:b w:val="false"/>
          <w:sz w:val="23"/>
        </w:rPr>
        <w:t>NOTES TO FINANCIAL STATEMENTS</w:t>
      </w:r>
    </w:p>
    <w:p>
      <w:pPr>
        <w:pStyle w:val="TextBody"/>
        <w:bidi w:val="0"/>
        <w:spacing w:before="120" w:after="0"/>
        <w:jc w:val="both"/>
        <w:rPr>
          <w:rFonts w:ascii="Times New Roman;serif" w:hAnsi="Times New Roman;serif"/>
          <w:b/>
          <w:sz w:val="23"/>
        </w:rPr>
      </w:pPr>
      <w:r>
        <w:rPr>
          <w:rFonts w:ascii="Times New Roman;serif" w:hAnsi="Times New Roman;serif"/>
          <w:b/>
          <w:sz w:val="23"/>
        </w:rPr>
        <w:t>1. Significant accounting policies</w:t>
      </w:r>
    </w:p>
    <w:p>
      <w:pPr>
        <w:pStyle w:val="TextBody"/>
        <w:bidi w:val="0"/>
        <w:spacing w:before="120" w:after="0"/>
        <w:jc w:val="both"/>
        <w:rPr>
          <w:rFonts w:ascii="Times New Roman" w:hAnsi="Times New Roman"/>
          <w:sz w:val="20"/>
        </w:rPr>
      </w:pPr>
      <w:r>
        <w:rPr>
          <w:rFonts w:ascii="Times New Roman;serif" w:hAnsi="Times New Roman;serif"/>
          <w:b w:val="false"/>
          <w:sz w:val="23"/>
        </w:rPr>
        <w:t>The consolidated interim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2022 (“2022</w:t>
      </w:r>
      <w:r>
        <w:rPr>
          <w:rFonts w:ascii="Times New Roman" w:hAnsi="Times New Roman"/>
          <w:sz w:val="20"/>
        </w:rPr>
        <w:t xml:space="preserve"> </w:t>
      </w:r>
      <w:r>
        <w:rPr>
          <w:rFonts w:ascii="Times New Roman;serif" w:hAnsi="Times New Roman;serif"/>
          <w:b w:val="false"/>
          <w:sz w:val="23"/>
        </w:rPr>
        <w:t>Annual Report”), except as disclosed in note 16 of Notes to Financial Statements herein. The financial statements contain all adjustments which are, in the opinion of management, necessary for a fair statement of the Company's financial position, results of operations and cash flows for the interim periods presented.</w:t>
      </w:r>
      <w:r>
        <w:rPr>
          <w:rFonts w:ascii="Times New Roman" w:hAnsi="Times New Roman"/>
          <w:sz w:val="20"/>
        </w:rPr>
        <w:t xml:space="preserve"> </w:t>
      </w:r>
    </w:p>
    <w:p>
      <w:pPr>
        <w:pStyle w:val="TextBody"/>
        <w:bidi w:val="0"/>
        <w:spacing w:before="120" w:after="0"/>
        <w:jc w:val="both"/>
        <w:rPr>
          <w:rFonts w:ascii="Times New Roman;serif" w:hAnsi="Times New Roman;serif"/>
          <w:b/>
          <w:sz w:val="23"/>
        </w:rPr>
      </w:pPr>
      <w:r>
        <w:rPr>
          <w:rFonts w:ascii="Times New Roman;serif" w:hAnsi="Times New Roman;serif"/>
          <w:b/>
          <w:sz w:val="23"/>
        </w:rPr>
        <w:t>2. Acquisition and divestiture</w:t>
      </w:r>
    </w:p>
    <w:p>
      <w:pPr>
        <w:pStyle w:val="TextBody"/>
        <w:bidi w:val="0"/>
        <w:spacing w:before="120" w:after="0"/>
        <w:jc w:val="both"/>
        <w:rPr>
          <w:rFonts w:ascii="Times New Roman;serif" w:hAnsi="Times New Roman;serif"/>
          <w:b w:val="false"/>
          <w:i/>
          <w:sz w:val="23"/>
        </w:rPr>
      </w:pPr>
      <w:r>
        <w:rPr>
          <w:rFonts w:ascii="Times New Roman;serif" w:hAnsi="Times New Roman;serif"/>
          <w:b w:val="false"/>
          <w:i/>
          <w:sz w:val="23"/>
        </w:rPr>
        <w:t>Acquisition</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On April 1, 2022, M&amp;T completed the acquisition of People's United Financial, Inc. ("People's United"). Through subsidiaries, People's United provided commercial banking, retail banking and wealth management services to individual, corporate and municipal customers through a network of branches located in Connecticut, southeastern New York, Massachusetts, Vermont, New Hampshire and Maine. Following the merger, People's United Bank, National Association, a national banking association and a wholly owned subsidiary of People's United, merged with and into Manufacturers and Traders Trust Company ("M&amp;T Bank"), the principal banking subsidiary of M&amp;T, with M&amp;T Bank as the surviving entity. The results of operations acquired from People's United have been included in the Company's financial results since April 1, 2022.</w:t>
      </w:r>
    </w:p>
    <w:p>
      <w:pPr>
        <w:pStyle w:val="TextBody"/>
        <w:bidi w:val="0"/>
        <w:spacing w:before="120" w:after="0"/>
        <w:jc w:val="both"/>
        <w:rPr>
          <w:rFonts w:ascii="Times New Roman" w:hAnsi="Times New Roman"/>
          <w:sz w:val="20"/>
        </w:rPr>
      </w:pPr>
      <w:r>
        <w:rPr>
          <w:rFonts w:ascii="Times New Roman;serif" w:hAnsi="Times New Roman;serif"/>
          <w:b w:val="false"/>
          <w:sz w:val="23"/>
        </w:rPr>
        <w:t>Pursuant to the terms of the merger agreement dated February 22, 2021, People’s United shareholders received consideration valued at .118</w:t>
      </w:r>
      <w:r>
        <w:rPr>
          <w:rFonts w:ascii="Times New Roman" w:hAnsi="Times New Roman"/>
          <w:sz w:val="20"/>
        </w:rPr>
        <w:t xml:space="preserve"> </w:t>
      </w:r>
      <w:r>
        <w:rPr>
          <w:rFonts w:ascii="Times New Roman;serif" w:hAnsi="Times New Roman;serif"/>
          <w:b w:val="false"/>
          <w:sz w:val="23"/>
        </w:rPr>
        <w:t>of an M&amp;T common share in exchange for each common share of People’s United. The purchase price totaled approximately $8.4</w:t>
      </w:r>
      <w:r>
        <w:rPr>
          <w:rFonts w:ascii="Times New Roman" w:hAnsi="Times New Roman"/>
          <w:sz w:val="20"/>
        </w:rPr>
        <w:t xml:space="preserve"> </w:t>
      </w:r>
      <w:r>
        <w:rPr>
          <w:rFonts w:ascii="Times New Roman;serif" w:hAnsi="Times New Roman;serif"/>
          <w:b w:val="false"/>
          <w:sz w:val="23"/>
        </w:rPr>
        <w:t>billion (with the price based on M&amp;T’s closing price of $164.66</w:t>
      </w:r>
      <w:r>
        <w:rPr>
          <w:rFonts w:ascii="Times New Roman" w:hAnsi="Times New Roman"/>
          <w:sz w:val="20"/>
        </w:rPr>
        <w:t xml:space="preserve"> </w:t>
      </w:r>
      <w:r>
        <w:rPr>
          <w:rFonts w:ascii="Times New Roman;serif" w:hAnsi="Times New Roman;serif"/>
          <w:b w:val="false"/>
          <w:sz w:val="23"/>
        </w:rPr>
        <w:t>per share as of April 1, 2022). M&amp;T issued 50,325,004</w:t>
      </w:r>
      <w:r>
        <w:rPr>
          <w:rFonts w:ascii="Times New Roman" w:hAnsi="Times New Roman"/>
          <w:sz w:val="20"/>
        </w:rPr>
        <w:t xml:space="preserve"> </w:t>
      </w:r>
      <w:r>
        <w:rPr>
          <w:rFonts w:ascii="Times New Roman;serif" w:hAnsi="Times New Roman;serif"/>
          <w:b w:val="false"/>
          <w:sz w:val="23"/>
        </w:rPr>
        <w:t>common shares in completing the transaction. Additionally, People’s United outstanding preferred stock was converted into new shares of Series H Preferred Stock of M&amp;T. The acquisition of People's United expanded the Company's geographical footprint and management expects the Company will benefit from greater geographical diversity and the advantages of scale associated with a larger company.</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2. Acquisition and divestiture,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People’s United transaction has been accounted for using the acquisition method of accounting and, accordingly, assets acquired, liabilities assumed and preferred stock converted were recorded at estimated fair value on the acquisition date. The consideration paid for People’s United common equity and the amounts of identifiable assets acquired, liabilities assumed and preferred stock converted as of the acquisition date follows:</w:t>
      </w:r>
    </w:p>
    <w:tbl>
      <w:tblPr>
        <w:tblW w:w="5625" w:type="dxa"/>
        <w:jc w:val="left"/>
        <w:tblInd w:w="0" w:type="dxa"/>
        <w:tblLayout w:type="fixed"/>
        <w:tblCellMar>
          <w:top w:w="28" w:type="dxa"/>
          <w:left w:w="28" w:type="dxa"/>
          <w:bottom w:w="28" w:type="dxa"/>
          <w:right w:w="28" w:type="dxa"/>
        </w:tblCellMar>
      </w:tblPr>
      <w:tblGrid>
        <w:gridCol w:w="3541"/>
        <w:gridCol w:w="146"/>
        <w:gridCol w:w="211"/>
        <w:gridCol w:w="1036"/>
        <w:gridCol w:w="6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691" w:type="dxa"/>
            <w:tcBorders/>
            <w:vAlign w:val="center"/>
          </w:tcPr>
          <w:p>
            <w:pPr>
              <w:pStyle w:val="TableContents"/>
              <w:bidi w:val="0"/>
              <w:spacing w:before="0" w:after="0"/>
              <w:ind w:left="0" w:right="0" w:hanging="0"/>
              <w:jc w:val="center"/>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35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issued (50,325,004</w:t>
            </w:r>
            <w:r>
              <w:rPr>
                <w:rFonts w:ascii="Times New Roman" w:hAnsi="Times New Roman"/>
                <w:sz w:val="20"/>
              </w:rPr>
              <w:t> </w:t>
            </w:r>
            <w:r>
              <w:rPr>
                <w:rFonts w:ascii="Times New Roman;serif" w:hAnsi="Times New Roman;serif"/>
                <w:b w:val="false"/>
                <w:sz w:val="20"/>
              </w:rPr>
              <w:t>shares)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8,286,515</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stock awards converted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104,810</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54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consideration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8,393,149</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541" w:type="dxa"/>
            <w:tcBorders/>
            <w:vAlign w:val="center"/>
          </w:tcPr>
          <w:p>
            <w:pPr>
              <w:pStyle w:val="TableContents"/>
              <w:bidi w:val="0"/>
              <w:spacing w:before="0" w:after="0"/>
              <w:ind w:left="5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Identifiable assets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due from banks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395,747</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9,193,346</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11,574,689</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and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35,840,648</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261,000</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2,979,388</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identifiable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60,244,818</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Liabilities and preferred stock</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firstLine="200"/>
              <w:jc w:val="righ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52,967,915</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1,389,012</w:t>
            </w:r>
          </w:p>
        </w:tc>
        <w:tc>
          <w:tcPr>
            <w:tcW w:w="691" w:type="dxa"/>
            <w:tcBorders/>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1,142,387</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541" w:type="dxa"/>
            <w:tcBorders/>
            <w:vAlign w:val="center"/>
          </w:tcPr>
          <w:p>
            <w:pPr>
              <w:pStyle w:val="TableContents"/>
              <w:bidi w:val="0"/>
              <w:spacing w:before="0" w:after="0"/>
              <w:ind w:left="500" w:right="0" w:hanging="0"/>
              <w:jc w:val="left"/>
              <w:rPr>
                <w:rFonts w:ascii="Times New Roman;serif" w:hAnsi="Times New Roman;serif"/>
                <w:b w:val="false"/>
                <w:sz w:val="20"/>
              </w:rPr>
            </w:pPr>
            <w:r>
              <w:rPr>
                <w:rFonts w:ascii="Times New Roman;serif" w:hAnsi="Times New Roman;serif"/>
                <w:b w:val="false"/>
                <w:sz w:val="20"/>
              </w:rPr>
              <w:t>Total liabilities assumed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55,499,314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Preferred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260,600</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preferred stock</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55,759,914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acquired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4,484,904</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3,908,245</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both"/>
        <w:rPr>
          <w:rFonts w:ascii="Times New Roman" w:hAnsi="Times New Roman"/>
          <w:sz w:val="20"/>
        </w:rPr>
      </w:pPr>
      <w:r>
        <w:rPr>
          <w:rFonts w:ascii="Times New Roman;serif" w:hAnsi="Times New Roman;serif"/>
          <w:b w:val="false"/>
          <w:sz w:val="23"/>
        </w:rPr>
        <w:t>GAAP requires loans and leases obtained through an acquisition that have experienced a more-than-insignificant deterioration in credit quality since origination be considered purchased credit deteriorated (“PCD”). The Company considered several factors in the determination of PCD loans, including loan grades assigned to acquired commercial loans and leases and commercial real estate loans utilizing the Company's loan grading system and delinquency status and history for acquired loans backed by residential real estate. For PCD loans and leases the initial estimate of expected credit losses of $99</w:t>
      </w:r>
      <w:r>
        <w:rPr>
          <w:rFonts w:ascii="Times New Roman" w:hAnsi="Times New Roman"/>
          <w:sz w:val="20"/>
        </w:rPr>
        <w:t xml:space="preserve"> </w:t>
      </w:r>
      <w:r>
        <w:rPr>
          <w:rFonts w:ascii="Times New Roman;serif" w:hAnsi="Times New Roman;serif"/>
          <w:b w:val="false"/>
          <w:sz w:val="23"/>
        </w:rPr>
        <w:t>million was established through an adjustment to increase both the initial carrying value and allowance for credit losses. GAAP also provides that an allowance for credit losses on loans acquired, but not classified as PCD, also be recognized above and beyond the impact of forecasted losses used in determining fair value. Accordingly, the Company recorded $242</w:t>
      </w:r>
      <w:r>
        <w:rPr>
          <w:rFonts w:ascii="Times New Roman" w:hAnsi="Times New Roman"/>
          <w:sz w:val="20"/>
        </w:rPr>
        <w:t xml:space="preserve"> </w:t>
      </w:r>
      <w:r>
        <w:rPr>
          <w:rFonts w:ascii="Times New Roman;serif" w:hAnsi="Times New Roman;serif"/>
          <w:b w:val="false"/>
          <w:sz w:val="23"/>
        </w:rPr>
        <w:t>million of provision for credit losses for non-PCD acquired loans and leases at the acquisition date. The following table reconciles the unpaid principal balance to the fair value of loans and leases at April 1, 2022:</w:t>
      </w:r>
    </w:p>
    <w:tbl>
      <w:tblPr>
        <w:tblW w:w="7064" w:type="dxa"/>
        <w:jc w:val="left"/>
        <w:tblInd w:w="0" w:type="dxa"/>
        <w:tblLayout w:type="fixed"/>
        <w:tblCellMar>
          <w:top w:w="28" w:type="dxa"/>
          <w:left w:w="28" w:type="dxa"/>
          <w:bottom w:w="28" w:type="dxa"/>
          <w:right w:w="28" w:type="dxa"/>
        </w:tblCellMar>
      </w:tblPr>
      <w:tblGrid>
        <w:gridCol w:w="3451"/>
        <w:gridCol w:w="211"/>
        <w:gridCol w:w="931"/>
        <w:gridCol w:w="166"/>
        <w:gridCol w:w="316"/>
        <w:gridCol w:w="211"/>
        <w:gridCol w:w="1036"/>
        <w:gridCol w:w="166"/>
        <w:gridCol w:w="576"/>
      </w:tblGrid>
      <w:tr>
        <w:trPr/>
        <w:tc>
          <w:tcPr>
            <w:tcW w:w="3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PCD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Non-PCD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6"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pPr>
            <w:r>
              <w:rPr/>
              <w:t> </w:t>
            </w:r>
          </w:p>
        </w:tc>
        <w:tc>
          <w:tcPr>
            <w:tcW w:w="287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57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Unpaid principal balance</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3,410,506</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32,896,454</w:t>
            </w:r>
          </w:p>
        </w:tc>
        <w:tc>
          <w:tcPr>
            <w:tcW w:w="16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for credit losses at acquisition</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(a)</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discount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(106,814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6" w:type="dxa"/>
            <w:tcBorders/>
            <w:vAlign w:val="center"/>
          </w:tcPr>
          <w:p>
            <w:pPr>
              <w:pStyle w:val="TableContents"/>
              <w:bidi w:val="0"/>
              <w:spacing w:before="0" w:after="0"/>
              <w:ind w:left="0" w:right="0" w:firstLine="200"/>
              <w:jc w:val="center"/>
              <w:rPr>
                <w:rFonts w:ascii="Times New Roman;serif" w:hAnsi="Times New Roman;serif"/>
                <w:b w:val="false"/>
                <w:sz w:val="20"/>
              </w:rPr>
            </w:pPr>
            <w:r>
              <w:rPr>
                <w:rFonts w:ascii="Times New Roman;serif" w:hAnsi="Times New Roman;serif"/>
                <w:b w:val="false"/>
                <w:sz w:val="20"/>
              </w:rPr>
              <w:t>(b)</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Fair value</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3,204,692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32,635,956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spacing w:before="0" w:after="0"/>
        <w:jc w:val="both"/>
        <w:rPr>
          <w:rFonts w:ascii="Calibri;sans-serif" w:hAnsi="Calibri;sans-serif"/>
          <w:sz w:val="22"/>
        </w:rPr>
      </w:pPr>
      <w:r>
        <w:rPr>
          <w:rFonts w:ascii="Times New Roman;serif" w:hAnsi="Times New Roman;serif"/>
          <w:b w:val="false"/>
          <w:i/>
          <w:sz w:val="16"/>
        </w:rPr>
        <w:t>The unpaid principal balance and allowance for credit losses at acquisition is net of charge-offs of $33</w:t>
      </w:r>
      <w:r>
        <w:rPr>
          <w:rFonts w:ascii="Calibri;sans-serif" w:hAnsi="Calibri;sans-serif"/>
          <w:sz w:val="22"/>
        </w:rPr>
        <w:t xml:space="preserve"> </w:t>
      </w:r>
      <w:r>
        <w:rPr>
          <w:rFonts w:ascii="Times New Roman;serif" w:hAnsi="Times New Roman;serif"/>
          <w:b w:val="false"/>
          <w:i/>
          <w:sz w:val="16"/>
        </w:rPr>
        <w:t>million recognized on the PCD loans.</w:t>
      </w:r>
    </w:p>
    <w:p>
      <w:pPr>
        <w:pStyle w:val="TextBody"/>
        <w:bidi w:val="0"/>
        <w:spacing w:before="0" w:after="0"/>
        <w:jc w:val="both"/>
        <w:rPr>
          <w:rFonts w:ascii="Times New Roman" w:hAnsi="Times New Roman"/>
          <w:b w:val="false"/>
          <w:i/>
          <w:sz w:val="16"/>
        </w:rPr>
      </w:pPr>
      <w:r>
        <w:rPr>
          <w:rFonts w:ascii="Times New Roman" w:hAnsi="Times New Roman"/>
          <w:b w:val="false"/>
          <w:i/>
          <w:sz w:val="16"/>
        </w:rPr>
        <w:t>(b)</w:t>
      </w:r>
    </w:p>
    <w:p>
      <w:pPr>
        <w:pStyle w:val="TextBody"/>
        <w:bidi w:val="0"/>
        <w:jc w:val="both"/>
        <w:rPr>
          <w:rFonts w:ascii="Calibri;sans-serif" w:hAnsi="Calibri;sans-serif"/>
          <w:sz w:val="22"/>
        </w:rPr>
      </w:pPr>
      <w:r>
        <w:rPr>
          <w:rFonts w:ascii="Times New Roman;serif" w:hAnsi="Times New Roman;serif"/>
          <w:b w:val="false"/>
          <w:i/>
          <w:sz w:val="16"/>
        </w:rPr>
        <w:t>Includes approximately $242</w:t>
      </w:r>
      <w:r>
        <w:rPr>
          <w:rFonts w:ascii="Calibri;sans-serif" w:hAnsi="Calibri;sans-serif"/>
          <w:sz w:val="22"/>
        </w:rPr>
        <w:t xml:space="preserve"> </w:t>
      </w:r>
      <w:r>
        <w:rPr>
          <w:rFonts w:ascii="Times New Roman;serif" w:hAnsi="Times New Roman;serif"/>
          <w:b w:val="false"/>
          <w:i/>
          <w:sz w:val="16"/>
        </w:rPr>
        <w:t>million of principal balances not expected to be collected.</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2. Acquisition and divestiture, continued</w:t>
      </w:r>
    </w:p>
    <w:p>
      <w:pPr>
        <w:pStyle w:val="TextBody"/>
        <w:bidi w:val="0"/>
        <w:spacing w:before="120" w:after="120"/>
        <w:jc w:val="both"/>
        <w:rPr>
          <w:rFonts w:ascii="Times New Roman" w:hAnsi="Times New Roman"/>
          <w:sz w:val="20"/>
        </w:rPr>
      </w:pPr>
      <w:r>
        <w:rPr>
          <w:rFonts w:ascii="Times New Roman;serif" w:hAnsi="Times New Roman;serif"/>
          <w:b w:val="false"/>
          <w:sz w:val="23"/>
        </w:rPr>
        <w:t>In connection with the acquisition, the Company recorded approximately $3.9</w:t>
      </w:r>
      <w:r>
        <w:rPr>
          <w:rFonts w:ascii="Times New Roman" w:hAnsi="Times New Roman"/>
          <w:sz w:val="20"/>
        </w:rPr>
        <w:t xml:space="preserve"> </w:t>
      </w:r>
      <w:r>
        <w:rPr>
          <w:rFonts w:ascii="Times New Roman;serif" w:hAnsi="Times New Roman;serif"/>
          <w:b w:val="false"/>
          <w:sz w:val="23"/>
        </w:rPr>
        <w:t>billion of goodwill, which represents the excess of the purchase price over the fair value of the net assets acquired, and $261</w:t>
      </w:r>
      <w:r>
        <w:rPr>
          <w:rFonts w:ascii="Times New Roman" w:hAnsi="Times New Roman"/>
          <w:sz w:val="20"/>
        </w:rPr>
        <w:t xml:space="preserve"> </w:t>
      </w:r>
      <w:r>
        <w:rPr>
          <w:rFonts w:ascii="Times New Roman;serif" w:hAnsi="Times New Roman;serif"/>
          <w:b w:val="false"/>
          <w:sz w:val="23"/>
        </w:rPr>
        <w:t>million of core deposit and other intangible assets. The core deposit and other intangible assets are being amortized over periods of three</w:t>
      </w:r>
      <w:r>
        <w:rPr>
          <w:rFonts w:ascii="Times New Roman" w:hAnsi="Times New Roman"/>
          <w:sz w:val="20"/>
        </w:rPr>
        <w:t xml:space="preserve"> </w:t>
      </w:r>
      <w:r>
        <w:rPr>
          <w:rFonts w:ascii="Times New Roman;serif" w:hAnsi="Times New Roman;serif"/>
          <w:b w:val="false"/>
          <w:sz w:val="23"/>
        </w:rPr>
        <w:t>to seven years.</w:t>
      </w:r>
    </w:p>
    <w:p>
      <w:pPr>
        <w:pStyle w:val="TextBody"/>
        <w:bidi w:val="0"/>
        <w:spacing w:before="120" w:after="120"/>
        <w:jc w:val="both"/>
        <w:rPr>
          <w:rFonts w:ascii="Times New Roman" w:hAnsi="Times New Roman"/>
          <w:sz w:val="20"/>
        </w:rPr>
      </w:pPr>
      <w:r>
        <w:rPr>
          <w:rFonts w:ascii="Times New Roman;serif" w:hAnsi="Times New Roman;serif"/>
          <w:b w:val="false"/>
          <w:sz w:val="23"/>
        </w:rPr>
        <w:t>The following table presents certain pro forma information as if People’s United had been acquired on January 1, 2021.</w:t>
      </w:r>
      <w:r>
        <w:rPr>
          <w:rFonts w:ascii="Times New Roman" w:hAnsi="Times New Roman"/>
          <w:sz w:val="20"/>
        </w:rPr>
        <w:t xml:space="preserve"> </w:t>
      </w:r>
      <w:r>
        <w:rPr>
          <w:rFonts w:ascii="Times New Roman;serif" w:hAnsi="Times New Roman;serif"/>
          <w:b w:val="false"/>
          <w:sz w:val="23"/>
        </w:rPr>
        <w:t>These results combine the historical results of People’s United into the Company’s Consolidated Statement of Income and, while adjustments were made for the estimated impact of certain fair valuation adjustments and other acquisition-related activity, they are not indicative of what would have occurred had the acquisition taken place as indicated. For example, merger-related expenses noted below are included in the periods where such expenses were incurred. Additionally, the Company expects to achieve operating cost savings and other business synergies as a result of the acquisition which are not reflected in the pro forma amounts that follow:</w:t>
      </w:r>
    </w:p>
    <w:tbl>
      <w:tblPr>
        <w:tblW w:w="4343" w:type="dxa"/>
        <w:jc w:val="left"/>
        <w:tblInd w:w="0" w:type="dxa"/>
        <w:tblLayout w:type="fixed"/>
        <w:tblCellMar>
          <w:top w:w="28" w:type="dxa"/>
          <w:left w:w="28" w:type="dxa"/>
          <w:bottom w:w="28" w:type="dxa"/>
          <w:right w:w="28" w:type="dxa"/>
        </w:tblCellMar>
      </w:tblPr>
      <w:tblGrid>
        <w:gridCol w:w="1576"/>
        <w:gridCol w:w="146"/>
        <w:gridCol w:w="449"/>
        <w:gridCol w:w="1981"/>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Pro forma</w:t>
            </w:r>
          </w:p>
        </w:tc>
        <w:tc>
          <w:tcPr>
            <w:tcW w:w="191" w:type="dxa"/>
            <w:tcBorders/>
            <w:vAlign w:val="center"/>
          </w:tcPr>
          <w:p>
            <w:pPr>
              <w:pStyle w:val="TableContents"/>
              <w:bidi w:val="0"/>
              <w:spacing w:before="0" w:after="0"/>
              <w:ind w:left="0" w:right="0" w:hanging="0"/>
              <w:jc w:val="center"/>
              <w:rPr/>
            </w:pPr>
            <w:r>
              <w:rPr/>
              <w:t> </w:t>
            </w:r>
          </w:p>
        </w:tc>
      </w:tr>
      <w:tr>
        <w:trPr/>
        <w:tc>
          <w:tcPr>
            <w:tcW w:w="1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1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revenues (a)</w:t>
            </w:r>
          </w:p>
        </w:tc>
        <w:tc>
          <w:tcPr>
            <w:tcW w:w="146"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3,900,483</w:t>
            </w:r>
          </w:p>
        </w:tc>
        <w:tc>
          <w:tcPr>
            <w:tcW w:w="191" w:type="dxa"/>
            <w:tcBorders/>
            <w:vAlign w:val="center"/>
          </w:tcPr>
          <w:p>
            <w:pPr>
              <w:pStyle w:val="TableContents"/>
              <w:bidi w:val="0"/>
              <w:spacing w:before="0" w:after="0"/>
              <w:ind w:left="0" w:right="0" w:hanging="0"/>
              <w:jc w:val="left"/>
              <w:rPr/>
            </w:pPr>
            <w:r>
              <w:rPr/>
              <w:t> </w:t>
            </w:r>
          </w:p>
        </w:tc>
      </w:tr>
      <w:tr>
        <w:trPr/>
        <w:tc>
          <w:tcPr>
            <w:tcW w:w="15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449"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757,459</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jc w:val="both"/>
        <w:rPr>
          <w:rFonts w:ascii="Times New Roman;serif" w:hAnsi="Times New Roman;serif"/>
          <w:b w:val="false"/>
          <w:i/>
          <w:sz w:val="16"/>
        </w:rPr>
      </w:pPr>
      <w:r>
        <w:rPr>
          <w:rFonts w:ascii="Times New Roman;serif" w:hAnsi="Times New Roman;serif"/>
          <w:b w:val="false"/>
          <w:i/>
          <w:sz w:val="16"/>
        </w:rPr>
        <w:t>Represents the total of net interest income and other income.</w:t>
      </w:r>
    </w:p>
    <w:p>
      <w:pPr>
        <w:pStyle w:val="TextBody"/>
        <w:bidi w:val="0"/>
        <w:spacing w:before="120" w:after="120"/>
        <w:jc w:val="both"/>
        <w:rPr>
          <w:rFonts w:ascii="Times New Roman" w:hAnsi="Times New Roman"/>
          <w:sz w:val="20"/>
        </w:rPr>
      </w:pPr>
      <w:r>
        <w:rPr>
          <w:rFonts w:ascii="Times New Roman;serif" w:hAnsi="Times New Roman;serif"/>
          <w:b w:val="false"/>
          <w:sz w:val="23"/>
        </w:rPr>
        <w:t>In connection with the People’s United acquisition, the Company incurred merger-related expenses related to systems conversions and other costs of integrating and conforming acquired operations with and into the Company. Those expenses consisted largely of professional services, temporary help fees and other costs associated with actual or planned systems conversions and/or integration of operations and the introduction of the Company to its new customers; costs related to termination of existing contractual arrangements for various services; initial marketing and promotion expenses designed to introduce M&amp;T Bank to its new customers; severance (for former People’s United employees); travel costs; and other costs of completing the transaction and commencing operations in new markets and offices. The Company did not incur any People's United merger-related expenses during the second quarter of 2023. Merger-related expenses incurred in the three and six months ended June 30, 2022 totaled approximately $223</w:t>
      </w:r>
      <w:r>
        <w:rPr>
          <w:rFonts w:ascii="Times New Roman" w:hAnsi="Times New Roman"/>
          <w:sz w:val="20"/>
        </w:rPr>
        <w:t xml:space="preserve"> </w:t>
      </w:r>
      <w:r>
        <w:rPr>
          <w:rFonts w:ascii="Times New Roman;serif" w:hAnsi="Times New Roman;serif"/>
          <w:b w:val="false"/>
          <w:sz w:val="23"/>
        </w:rPr>
        <w:t>million and $240</w:t>
      </w:r>
      <w:r>
        <w:rPr>
          <w:rFonts w:ascii="Times New Roman" w:hAnsi="Times New Roman"/>
          <w:sz w:val="20"/>
        </w:rPr>
        <w:t xml:space="preserve"> </w:t>
      </w:r>
      <w:r>
        <w:rPr>
          <w:rFonts w:ascii="Times New Roman;serif" w:hAnsi="Times New Roman;serif"/>
          <w:b w:val="false"/>
          <w:sz w:val="23"/>
        </w:rPr>
        <w:t>million, respectively, and consisted predominantly of professional services, including legal expenses and technology-related activities to prepare for planned integration efforts, and severance for former People's United employees. The Company also recognized a $242</w:t>
      </w:r>
      <w:r>
        <w:rPr>
          <w:rFonts w:ascii="Times New Roman" w:hAnsi="Times New Roman"/>
          <w:sz w:val="20"/>
        </w:rPr>
        <w:t xml:space="preserve"> </w:t>
      </w:r>
      <w:r>
        <w:rPr>
          <w:rFonts w:ascii="Times New Roman;serif" w:hAnsi="Times New Roman;serif"/>
          <w:b w:val="false"/>
          <w:sz w:val="23"/>
        </w:rPr>
        <w:t>million provision for credit losses on acquired loans that were not deemed to be PCD on April 1, 2022.</w:t>
      </w:r>
    </w:p>
    <w:p>
      <w:pPr>
        <w:pStyle w:val="TextBody"/>
        <w:bidi w:val="0"/>
        <w:spacing w:before="120" w:after="120"/>
        <w:jc w:val="left"/>
        <w:rPr>
          <w:rFonts w:ascii="Times New Roman;serif" w:hAnsi="Times New Roman;serif"/>
          <w:b w:val="false"/>
          <w:i/>
          <w:sz w:val="23"/>
        </w:rPr>
      </w:pPr>
      <w:r>
        <w:rPr>
          <w:rFonts w:ascii="Times New Roman;serif" w:hAnsi="Times New Roman;serif"/>
          <w:b w:val="false"/>
          <w:i/>
          <w:sz w:val="23"/>
        </w:rPr>
        <w:t>Divestiture</w:t>
      </w:r>
    </w:p>
    <w:p>
      <w:pPr>
        <w:pStyle w:val="TextBody"/>
        <w:bidi w:val="0"/>
        <w:spacing w:before="120" w:after="120"/>
        <w:jc w:val="both"/>
        <w:rPr>
          <w:rFonts w:ascii="Times New Roman" w:hAnsi="Times New Roman"/>
          <w:sz w:val="20"/>
        </w:rPr>
      </w:pPr>
      <w:r>
        <w:rPr>
          <w:rFonts w:ascii="Times New Roman;serif" w:hAnsi="Times New Roman;serif"/>
          <w:b w:val="false"/>
          <w:sz w:val="23"/>
        </w:rPr>
        <w:t>On December 19, 2022 the Company announced that it had entered into a definitive agreement to sell its Collective Investment Trust ("CIT") business to a private equity firm. The transaction was completed on April 29, 2023 and resulted in a pre-tax gain of $225</w:t>
      </w:r>
      <w:r>
        <w:rPr>
          <w:rFonts w:ascii="Times New Roman" w:hAnsi="Times New Roman"/>
          <w:sz w:val="20"/>
        </w:rPr>
        <w:t xml:space="preserve"> </w:t>
      </w:r>
      <w:r>
        <w:rPr>
          <w:rFonts w:ascii="Times New Roman;serif" w:hAnsi="Times New Roman;serif"/>
          <w:b w:val="false"/>
          <w:sz w:val="23"/>
        </w:rPr>
        <w:t>million that has been included in other revenues from operations in the Consolidated Statement of Income for the three-month and six-month periods ended June 30, 2023. Prior to the sale, the CIT business contributed $15</w:t>
      </w:r>
      <w:r>
        <w:rPr>
          <w:rFonts w:ascii="Times New Roman" w:hAnsi="Times New Roman"/>
          <w:sz w:val="20"/>
        </w:rPr>
        <w:t xml:space="preserve"> </w:t>
      </w:r>
      <w:r>
        <w:rPr>
          <w:rFonts w:ascii="Times New Roman;serif" w:hAnsi="Times New Roman;serif"/>
          <w:b w:val="false"/>
          <w:sz w:val="23"/>
        </w:rPr>
        <w:t>million and $40</w:t>
      </w:r>
      <w:r>
        <w:rPr>
          <w:rFonts w:ascii="Times New Roman" w:hAnsi="Times New Roman"/>
          <w:sz w:val="20"/>
        </w:rPr>
        <w:t xml:space="preserve"> </w:t>
      </w:r>
      <w:r>
        <w:rPr>
          <w:rFonts w:ascii="Times New Roman;serif" w:hAnsi="Times New Roman;serif"/>
          <w:b w:val="false"/>
          <w:sz w:val="23"/>
        </w:rPr>
        <w:t>million to trust income in the second quarters of 2023 and 2022, respectively, and $60</w:t>
      </w:r>
      <w:r>
        <w:rPr>
          <w:rFonts w:ascii="Times New Roman" w:hAnsi="Times New Roman"/>
          <w:sz w:val="20"/>
        </w:rPr>
        <w:t xml:space="preserve"> </w:t>
      </w:r>
      <w:r>
        <w:rPr>
          <w:rFonts w:ascii="Times New Roman;serif" w:hAnsi="Times New Roman;serif"/>
          <w:b w:val="false"/>
          <w:sz w:val="23"/>
        </w:rPr>
        <w:t>million and $81</w:t>
      </w:r>
      <w:r>
        <w:rPr>
          <w:rFonts w:ascii="Times New Roman" w:hAnsi="Times New Roman"/>
          <w:sz w:val="20"/>
        </w:rPr>
        <w:t xml:space="preserve"> </w:t>
      </w:r>
      <w:r>
        <w:rPr>
          <w:rFonts w:ascii="Times New Roman;serif" w:hAnsi="Times New Roman;serif"/>
          <w:b w:val="false"/>
          <w:sz w:val="23"/>
        </w:rPr>
        <w:t>million in the six months ended June 30, 2023 and 2022, respectively. After considering expenses, the results of operations from the CIT business were not material to the Company's consolidated results of operations in those periods.</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3. Investment securities</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amortized cost and estimated fair value of investment securities were as follows:</w:t>
      </w:r>
    </w:p>
    <w:tbl>
      <w:tblPr>
        <w:tblW w:w="10082" w:type="dxa"/>
        <w:jc w:val="left"/>
        <w:tblInd w:w="0" w:type="dxa"/>
        <w:tblLayout w:type="fixed"/>
        <w:tblCellMar>
          <w:top w:w="28" w:type="dxa"/>
          <w:left w:w="28" w:type="dxa"/>
          <w:bottom w:w="28" w:type="dxa"/>
          <w:right w:w="28" w:type="dxa"/>
        </w:tblCellMar>
      </w:tblPr>
      <w:tblGrid>
        <w:gridCol w:w="3946"/>
        <w:gridCol w:w="146"/>
        <w:gridCol w:w="211"/>
        <w:gridCol w:w="1036"/>
        <w:gridCol w:w="146"/>
        <w:gridCol w:w="146"/>
        <w:gridCol w:w="211"/>
        <w:gridCol w:w="676"/>
        <w:gridCol w:w="146"/>
        <w:gridCol w:w="146"/>
        <w:gridCol w:w="211"/>
        <w:gridCol w:w="931"/>
        <w:gridCol w:w="146"/>
        <w:gridCol w:w="146"/>
        <w:gridCol w:w="211"/>
        <w:gridCol w:w="1036"/>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9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7,930,292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7,692,452</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614,963</w:t>
            </w:r>
          </w:p>
        </w:tc>
        <w:tc>
          <w:tcPr>
            <w:tcW w:w="591" w:type="dxa"/>
            <w:tcBorders/>
            <w:vAlign w:val="center"/>
          </w:tcPr>
          <w:p>
            <w:pPr>
              <w:pStyle w:val="TableContents"/>
              <w:bidi w:val="0"/>
              <w:spacing w:before="0" w:after="0"/>
              <w:ind w:left="0" w:right="0" w:firstLine="400"/>
              <w:jc w:val="lef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2,340,028</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176,323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11,248,458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441,033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10,807,659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held to maturity:</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1,049,342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1,000,951</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2,549,551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2,448,216</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2,029,755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1,881,440</w:t>
            </w:r>
          </w:p>
        </w:tc>
        <w:tc>
          <w:tcPr>
            <w:tcW w:w="591" w:type="dxa"/>
            <w:tcBorders/>
            <w:vAlign w:val="center"/>
          </w:tcPr>
          <w:p>
            <w:pPr>
              <w:pStyle w:val="TableContents"/>
              <w:bidi w:val="0"/>
              <w:spacing w:before="0" w:after="0"/>
              <w:ind w:left="0" w:right="0" w:firstLine="400"/>
              <w:jc w:val="lef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10,241,181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9,332,131</w:t>
            </w:r>
          </w:p>
        </w:tc>
        <w:tc>
          <w:tcPr>
            <w:tcW w:w="5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Privately issued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49,117</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15,918,106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1,215,868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14,713,496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27,166,564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1,656,901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25,521,155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Readily marketable equity — at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218,168</w:t>
            </w:r>
          </w:p>
        </w:tc>
        <w:tc>
          <w:tcPr>
            <w:tcW w:w="5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 at cost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972,522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972,522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 and other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1,191,927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1,190,690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7,913,932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7,670,960</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574,299</w:t>
            </w:r>
          </w:p>
        </w:tc>
        <w:tc>
          <w:tcPr>
            <w:tcW w:w="591" w:type="dxa"/>
            <w:tcBorders/>
            <w:vAlign w:val="center"/>
          </w:tcPr>
          <w:p>
            <w:pPr>
              <w:pStyle w:val="TableContents"/>
              <w:bidi w:val="0"/>
              <w:spacing w:before="0" w:after="0"/>
              <w:ind w:left="0" w:right="0" w:firstLine="400"/>
              <w:jc w:val="lef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2,501,334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2,330,118</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173,584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11,193,152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444,706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10,748,961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held to maturity:</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1,054,035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1,008,288</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2,577,078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2,460,570</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912,431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808,903</w:t>
            </w:r>
          </w:p>
        </w:tc>
        <w:tc>
          <w:tcPr>
            <w:tcW w:w="591" w:type="dxa"/>
            <w:tcBorders/>
            <w:vAlign w:val="center"/>
          </w:tcPr>
          <w:p>
            <w:pPr>
              <w:pStyle w:val="TableContents"/>
              <w:bidi w:val="0"/>
              <w:spacing w:before="0" w:after="0"/>
              <w:ind w:left="0" w:right="0" w:firstLine="400"/>
              <w:jc w:val="left"/>
              <w:rPr/>
            </w:pPr>
            <w:r>
              <w:rPr/>
              <w:t> </w:t>
            </w:r>
          </w:p>
        </w:tc>
      </w:tr>
      <w:tr>
        <w:trPr/>
        <w:tc>
          <w:tcPr>
            <w:tcW w:w="39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8,934,918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8,045,306</w:t>
            </w:r>
          </w:p>
        </w:tc>
        <w:tc>
          <w:tcPr>
            <w:tcW w:w="5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Privately issued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50,588</w:t>
            </w:r>
          </w:p>
        </w:tc>
        <w:tc>
          <w:tcPr>
            <w:tcW w:w="591" w:type="dxa"/>
            <w:tcBorders/>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13,529,969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1,164,837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12,375,420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24,723,121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1,609,543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23,124,381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Readily marketable equity — at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151,458</w:t>
            </w:r>
          </w:p>
        </w:tc>
        <w:tc>
          <w:tcPr>
            <w:tcW w:w="591" w:type="dxa"/>
            <w:tcBorders/>
            <w:vAlign w:val="center"/>
          </w:tcPr>
          <w:p>
            <w:pPr>
              <w:pStyle w:val="TableContents"/>
              <w:bidi w:val="0"/>
              <w:spacing w:before="0" w:after="0"/>
              <w:ind w:left="0" w:right="0" w:firstLine="200"/>
              <w:jc w:val="left"/>
              <w:rPr/>
            </w:pPr>
            <w:r>
              <w:rPr/>
              <w:t> </w:t>
            </w:r>
          </w:p>
        </w:tc>
      </w:tr>
      <w:tr>
        <w:trPr/>
        <w:tc>
          <w:tcPr>
            <w:tcW w:w="39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 at cost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780,483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780,483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equity and other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933,766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931,941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3. Investment securities,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There were no</w:t>
      </w:r>
      <w:r>
        <w:rPr>
          <w:rFonts w:ascii="Times New Roman" w:hAnsi="Times New Roman"/>
          <w:sz w:val="20"/>
        </w:rPr>
        <w:t xml:space="preserve"> </w:t>
      </w:r>
      <w:r>
        <w:rPr>
          <w:rFonts w:ascii="Times New Roman;serif" w:hAnsi="Times New Roman;serif"/>
          <w:b w:val="false"/>
          <w:sz w:val="23"/>
        </w:rPr>
        <w:t>significant gross realized gains or losses from sales of investment securities for the three-month and six-month periods ended June 30, 2023 and 2022. Unrealized losses on equity securities are included in gain (loss) on bank investment securities in the Consolidated Statement of Income.</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At June 30, 2023, the amortized cost and estimated fair value of debt securities by contractual maturity were as follows:</w:t>
      </w:r>
    </w:p>
    <w:tbl>
      <w:tblPr>
        <w:tblW w:w="6919" w:type="dxa"/>
        <w:jc w:val="left"/>
        <w:tblInd w:w="0" w:type="dxa"/>
        <w:tblLayout w:type="fixed"/>
        <w:tblCellMar>
          <w:top w:w="28" w:type="dxa"/>
          <w:left w:w="28" w:type="dxa"/>
          <w:bottom w:w="28" w:type="dxa"/>
          <w:right w:w="28" w:type="dxa"/>
        </w:tblCellMar>
      </w:tblPr>
      <w:tblGrid>
        <w:gridCol w:w="3796"/>
        <w:gridCol w:w="146"/>
        <w:gridCol w:w="211"/>
        <w:gridCol w:w="1036"/>
        <w:gridCol w:w="146"/>
        <w:gridCol w:w="146"/>
        <w:gridCol w:w="211"/>
        <w:gridCol w:w="1036"/>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securities available for sale: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3,470,536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3,391,769</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one year through five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4,576,316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4,410,215</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five years through ten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26,430</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ten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8,106,615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7,852,668</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 available for sale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3,141,843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2,954,991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11,248,458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10,807,659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Debt securities held to maturity:</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in one year or less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76,153</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one year through five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1,132,418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1,082,030</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five years through ten years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1,162,463</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Due after ten years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1,200,359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1,130,162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3,600,534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3,450,808</w:t>
            </w:r>
          </w:p>
        </w:tc>
        <w:tc>
          <w:tcPr>
            <w:tcW w:w="191" w:type="dxa"/>
            <w:tcBorders/>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 held to maturity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12,317,572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11,262,688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15,918,106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14,713,496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3. Investment securities,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A summary of investment securities that as of June 30, 2023 and December 31, 2022 had been in a continuous unrealized loss position for less than twelve months and those that had been in a continuous unrealized loss position for twelve months or longer follows:</w:t>
      </w:r>
    </w:p>
    <w:tbl>
      <w:tblPr>
        <w:tblW w:w="10205" w:type="dxa"/>
        <w:jc w:val="left"/>
        <w:tblInd w:w="0" w:type="dxa"/>
        <w:tblLayout w:type="fixed"/>
        <w:tblCellMar>
          <w:top w:w="28" w:type="dxa"/>
          <w:left w:w="28" w:type="dxa"/>
          <w:bottom w:w="28" w:type="dxa"/>
          <w:right w:w="28" w:type="dxa"/>
        </w:tblCellMar>
      </w:tblPr>
      <w:tblGrid>
        <w:gridCol w:w="3814"/>
        <w:gridCol w:w="146"/>
        <w:gridCol w:w="211"/>
        <w:gridCol w:w="1036"/>
        <w:gridCol w:w="146"/>
        <w:gridCol w:w="146"/>
        <w:gridCol w:w="211"/>
        <w:gridCol w:w="931"/>
        <w:gridCol w:w="146"/>
        <w:gridCol w:w="146"/>
        <w:gridCol w:w="211"/>
        <w:gridCol w:w="1036"/>
        <w:gridCol w:w="146"/>
        <w:gridCol w:w="146"/>
        <w:gridCol w:w="211"/>
        <w:gridCol w:w="931"/>
        <w:gridCol w:w="591"/>
      </w:tblGrid>
      <w:tr>
        <w:trPr/>
        <w:tc>
          <w:tcPr>
            <w:tcW w:w="3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12 Months or More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br/>
              <w:t>Losses</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591" w:type="dxa"/>
            <w:tcBorders/>
            <w:vAlign w:val="center"/>
          </w:tcPr>
          <w:p>
            <w:pPr>
              <w:pStyle w:val="TableContents"/>
              <w:bidi w:val="0"/>
              <w:spacing w:before="0" w:after="0"/>
              <w:ind w:left="0" w:right="0" w:hanging="0"/>
              <w:jc w:val="center"/>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3,030,061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4,657,228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160,230</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17,811</w:t>
            </w:r>
          </w:p>
        </w:tc>
        <w:tc>
          <w:tcPr>
            <w:tcW w:w="591" w:type="dxa"/>
            <w:tcBorders/>
            <w:vAlign w:val="center"/>
          </w:tcPr>
          <w:p>
            <w:pPr>
              <w:pStyle w:val="TableContents"/>
              <w:bidi w:val="0"/>
              <w:spacing w:before="0" w:after="0"/>
              <w:ind w:left="0" w:right="0" w:firstLine="400"/>
              <w:jc w:val="lef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1,718,645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141,380</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149,121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3,719,891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7,055,068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335,251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held to maturity:</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951,895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47,425</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585,349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1,831,988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91,252</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105,603</w:t>
            </w:r>
          </w:p>
        </w:tc>
        <w:tc>
          <w:tcPr>
            <w:tcW w:w="591" w:type="dxa"/>
            <w:tcBorders/>
            <w:vAlign w:val="center"/>
          </w:tcPr>
          <w:p>
            <w:pPr>
              <w:pStyle w:val="TableContents"/>
              <w:bidi w:val="0"/>
              <w:spacing w:before="0" w:after="0"/>
              <w:ind w:left="0" w:right="0" w:firstLine="400"/>
              <w:jc w:val="lef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2,885,964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6,446,167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846,847</w:t>
            </w:r>
          </w:p>
        </w:tc>
        <w:tc>
          <w:tcPr>
            <w:tcW w:w="591" w:type="dxa"/>
            <w:tcBorders/>
            <w:vAlign w:val="center"/>
          </w:tcPr>
          <w:p>
            <w:pPr>
              <w:pStyle w:val="TableContents"/>
              <w:bidi w:val="0"/>
              <w:spacing w:before="0" w:after="0"/>
              <w:ind w:left="0" w:right="0" w:firstLine="200"/>
              <w:jc w:val="lef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Privately issued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4,593,230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10,075,292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1,097,813</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8,313,121</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223,837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17,130,360</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1,433,064</w:t>
            </w:r>
          </w:p>
        </w:tc>
        <w:tc>
          <w:tcPr>
            <w:tcW w:w="5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6,706,413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59,412</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2,295,873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1,792</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9,670,043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943,530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67,373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held to maturity:</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1,008,288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2,449,420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81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6,292,462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1,319,300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271,660</w:t>
            </w:r>
          </w:p>
        </w:tc>
        <w:tc>
          <w:tcPr>
            <w:tcW w:w="591" w:type="dxa"/>
            <w:tcBorders/>
            <w:vAlign w:val="center"/>
          </w:tcPr>
          <w:p>
            <w:pPr>
              <w:pStyle w:val="TableContents"/>
              <w:bidi w:val="0"/>
              <w:spacing w:before="0" w:after="0"/>
              <w:ind w:left="0" w:right="0" w:firstLine="200"/>
              <w:jc w:val="left"/>
              <w:rPr/>
            </w:pPr>
            <w:r>
              <w:rPr/>
              <w:t> </w:t>
            </w:r>
          </w:p>
        </w:tc>
      </w:tr>
      <w:tr>
        <w:trPr/>
        <w:tc>
          <w:tcPr>
            <w:tcW w:w="381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Privately issued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10,559,073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885,190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1,354,961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279,647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20,229,116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1,262,523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2,298,491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347,020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3. Investment securities,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owned 4,281</w:t>
      </w:r>
      <w:r>
        <w:rPr>
          <w:rFonts w:ascii="Times New Roman" w:hAnsi="Times New Roman"/>
          <w:sz w:val="20"/>
        </w:rPr>
        <w:t xml:space="preserve"> </w:t>
      </w:r>
      <w:r>
        <w:rPr>
          <w:rFonts w:ascii="Times New Roman;serif" w:hAnsi="Times New Roman;serif"/>
          <w:b w:val="false"/>
          <w:sz w:val="23"/>
        </w:rPr>
        <w:t>individual debt securities with aggregate gross unrealized losses of $1.7</w:t>
      </w:r>
      <w:r>
        <w:rPr>
          <w:rFonts w:ascii="Times New Roman" w:hAnsi="Times New Roman"/>
          <w:sz w:val="20"/>
        </w:rPr>
        <w:t xml:space="preserve"> </w:t>
      </w:r>
      <w:r>
        <w:rPr>
          <w:rFonts w:ascii="Times New Roman;serif" w:hAnsi="Times New Roman;serif"/>
          <w:b w:val="false"/>
          <w:sz w:val="23"/>
        </w:rPr>
        <w:t>billion at June 30, 2023. Based on a review of each of the securities in the investment securities portfolio at June 30, 2023, the Company concluded that it expected to recover the amortized cost basis of its investment. As of June 30, 2023, the Company does not intend to sell nor is it anticipated that it would be required to sell any of its impaired investment securities at a loss. At June 30, 2023, the Company has not identified events or changes in circumstances which may have a significant adverse effect on the fair value of the $973</w:t>
      </w:r>
      <w:r>
        <w:rPr>
          <w:rFonts w:ascii="Times New Roman" w:hAnsi="Times New Roman"/>
          <w:sz w:val="20"/>
        </w:rPr>
        <w:t xml:space="preserve"> </w:t>
      </w:r>
      <w:r>
        <w:rPr>
          <w:rFonts w:ascii="Times New Roman;serif" w:hAnsi="Times New Roman;serif"/>
          <w:b w:val="false"/>
          <w:sz w:val="23"/>
        </w:rPr>
        <w:t>million of cost method equity securities.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estimated no</w:t>
      </w:r>
      <w:r>
        <w:rPr>
          <w:rFonts w:ascii="Times New Roman" w:hAnsi="Times New Roman"/>
          <w:sz w:val="20"/>
        </w:rPr>
        <w:t xml:space="preserve"> </w:t>
      </w:r>
      <w:r>
        <w:rPr>
          <w:rFonts w:ascii="Times New Roman;serif" w:hAnsi="Times New Roman;serif"/>
          <w:b w:val="false"/>
          <w:sz w:val="23"/>
        </w:rPr>
        <w:t>material allowance for credit losses for its investment securities classified as held-to-maturity at June 30, 2023 or December 31, 2022.</w:t>
      </w:r>
    </w:p>
    <w:p>
      <w:pPr>
        <w:pStyle w:val="TextBody"/>
        <w:bidi w:val="0"/>
        <w:spacing w:before="120" w:after="0"/>
        <w:jc w:val="both"/>
        <w:rPr>
          <w:rFonts w:ascii="Times New Roman" w:hAnsi="Times New Roman"/>
          <w:sz w:val="20"/>
        </w:rPr>
      </w:pPr>
      <w:r>
        <w:rPr>
          <w:rFonts w:ascii="Times New Roman;serif" w:hAnsi="Times New Roman;serif"/>
          <w:b w:val="false"/>
          <w:sz w:val="23"/>
        </w:rPr>
        <w:t>At June 30, 2023 and December 31, 2022</w:t>
      </w:r>
      <w:r>
        <w:rPr>
          <w:rFonts w:ascii="Times New Roman" w:hAnsi="Times New Roman"/>
          <w:sz w:val="20"/>
        </w:rPr>
        <w:t xml:space="preserve"> </w:t>
      </w:r>
      <w:r>
        <w:rPr>
          <w:rFonts w:ascii="Times New Roman;serif" w:hAnsi="Times New Roman;serif"/>
          <w:b w:val="false"/>
          <w:sz w:val="23"/>
        </w:rPr>
        <w:t>investment securities with carrying values of $6.9</w:t>
      </w:r>
      <w:r>
        <w:rPr>
          <w:rFonts w:ascii="Times New Roman" w:hAnsi="Times New Roman"/>
          <w:sz w:val="20"/>
        </w:rPr>
        <w:t xml:space="preserve"> </w:t>
      </w:r>
      <w:r>
        <w:rPr>
          <w:rFonts w:ascii="Times New Roman;serif" w:hAnsi="Times New Roman;serif"/>
          <w:b w:val="false"/>
          <w:sz w:val="23"/>
        </w:rPr>
        <w:t>billion (including $548</w:t>
      </w:r>
      <w:r>
        <w:rPr>
          <w:rFonts w:ascii="Times New Roman" w:hAnsi="Times New Roman"/>
          <w:sz w:val="20"/>
        </w:rPr>
        <w:t xml:space="preserve"> </w:t>
      </w:r>
      <w:r>
        <w:rPr>
          <w:rFonts w:ascii="Times New Roman;serif" w:hAnsi="Times New Roman;serif"/>
          <w:b w:val="false"/>
          <w:sz w:val="23"/>
        </w:rPr>
        <w:t>million related to repurchase transactions) and $7.9</w:t>
      </w:r>
      <w:r>
        <w:rPr>
          <w:rFonts w:ascii="Times New Roman" w:hAnsi="Times New Roman"/>
          <w:sz w:val="20"/>
        </w:rPr>
        <w:t xml:space="preserve"> </w:t>
      </w:r>
      <w:r>
        <w:rPr>
          <w:rFonts w:ascii="Times New Roman;serif" w:hAnsi="Times New Roman;serif"/>
          <w:b w:val="false"/>
          <w:sz w:val="23"/>
        </w:rPr>
        <w:t>billion (including $567</w:t>
      </w:r>
      <w:r>
        <w:rPr>
          <w:rFonts w:ascii="Times New Roman" w:hAnsi="Times New Roman"/>
          <w:sz w:val="20"/>
        </w:rPr>
        <w:t xml:space="preserve"> </w:t>
      </w:r>
      <w:r>
        <w:rPr>
          <w:rFonts w:ascii="Times New Roman;serif" w:hAnsi="Times New Roman;serif"/>
          <w:b w:val="false"/>
          <w:sz w:val="23"/>
        </w:rPr>
        <w:t>million related to repurchase transactions), respectively, were pledged to secure borrowings, lines of credit and governmental deposits.</w:t>
      </w:r>
      <w:r>
        <w:rPr>
          <w:rFonts w:ascii="Times New Roman" w:hAnsi="Times New Roman"/>
          <w:sz w:val="20"/>
        </w:rPr>
        <w:t xml:space="preserve">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A summary of current, past due and nonaccrual loans as of June 30, 2023 and December 31, 2022 follows:</w:t>
      </w:r>
    </w:p>
    <w:tbl>
      <w:tblPr>
        <w:tblW w:w="10205" w:type="dxa"/>
        <w:jc w:val="left"/>
        <w:tblInd w:w="0" w:type="dxa"/>
        <w:tblLayout w:type="fixed"/>
        <w:tblCellMar>
          <w:top w:w="28" w:type="dxa"/>
          <w:left w:w="28" w:type="dxa"/>
          <w:bottom w:w="28" w:type="dxa"/>
          <w:right w:w="28" w:type="dxa"/>
        </w:tblCellMar>
      </w:tblPr>
      <w:tblGrid>
        <w:gridCol w:w="2520"/>
        <w:gridCol w:w="146"/>
        <w:gridCol w:w="211"/>
        <w:gridCol w:w="1141"/>
        <w:gridCol w:w="146"/>
        <w:gridCol w:w="146"/>
        <w:gridCol w:w="211"/>
        <w:gridCol w:w="931"/>
        <w:gridCol w:w="146"/>
        <w:gridCol w:w="146"/>
        <w:gridCol w:w="211"/>
        <w:gridCol w:w="781"/>
        <w:gridCol w:w="146"/>
        <w:gridCol w:w="146"/>
        <w:gridCol w:w="211"/>
        <w:gridCol w:w="931"/>
        <w:gridCol w:w="146"/>
        <w:gridCol w:w="146"/>
        <w:gridCol w:w="211"/>
        <w:gridCol w:w="1141"/>
        <w:gridCol w:w="391"/>
      </w:tblGrid>
      <w:tr>
        <w:trPr/>
        <w:tc>
          <w:tcPr>
            <w:tcW w:w="2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 Days</w:t>
              <w:br/>
              <w:t>Past Due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Accruing</w:t>
              <w:br/>
              <w:t>Loans</w:t>
            </w:r>
            <w:r>
              <w:rPr>
                <w:rFonts w:ascii="Times New Roman" w:hAnsi="Times New Roman"/>
                <w:sz w:val="16"/>
              </w:rPr>
              <w:t xml:space="preserve"> </w:t>
            </w:r>
            <w:r>
              <w:rPr>
                <w:rFonts w:ascii="Times New Roman;serif" w:hAnsi="Times New Roman;serif"/>
                <w:b/>
                <w:sz w:val="16"/>
              </w:rPr>
              <w:t>Past</w:t>
              <w:br/>
              <w:t>Due 90</w:t>
              <w:br/>
              <w:t>Days or</w:t>
              <w:br/>
              <w:t>More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48"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43,939,557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44,683,549</w:t>
            </w:r>
          </w:p>
        </w:tc>
        <w:tc>
          <w:tcPr>
            <w:tcW w:w="391"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34,861,282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36,732,086</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builder and developer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1,135,311</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construction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6,465,258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6,781,314</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21,666,324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284,410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22,771,049</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991,168</w:t>
            </w:r>
          </w:p>
        </w:tc>
        <w:tc>
          <w:tcPr>
            <w:tcW w:w="391"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4,669,522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4,773,090</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9,171,034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9,256,803</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4,020,722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4,083,487</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2,062,277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2,135,872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128,871,958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1,656,111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2,435,581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133,343,729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7148" w:type="dxa"/>
            <w:gridSpan w:val="18"/>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40,982,398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41,850,566</w:t>
            </w:r>
          </w:p>
        </w:tc>
        <w:tc>
          <w:tcPr>
            <w:tcW w:w="391"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34,972,627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36,748,173</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builder and developer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1,314,730</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construction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6,936,661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7,301,668</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21,491,506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595,897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345,402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22,704,895</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1,051,052</w:t>
            </w:r>
          </w:p>
        </w:tc>
        <w:tc>
          <w:tcPr>
            <w:tcW w:w="391"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4,891,311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5,006,886</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8,974,171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9,073,394</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4,393,206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4,477,276</w:t>
            </w:r>
          </w:p>
        </w:tc>
        <w:tc>
          <w:tcPr>
            <w:tcW w:w="391" w:type="dxa"/>
            <w:tcBorders/>
            <w:vAlign w:val="center"/>
          </w:tcPr>
          <w:p>
            <w:pPr>
              <w:pStyle w:val="TableContents"/>
              <w:bidi w:val="0"/>
              <w:spacing w:before="0" w:after="0"/>
              <w:ind w:left="0" w:right="0" w:firstLine="200"/>
              <w:jc w:val="left"/>
              <w:rPr/>
            </w:pPr>
            <w:r>
              <w:rPr/>
              <w:t> </w:t>
            </w:r>
          </w:p>
        </w:tc>
      </w:tr>
      <w:tr>
        <w:trPr/>
        <w:tc>
          <w:tcPr>
            <w:tcW w:w="25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1,958,196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2,035,523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126,855,656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1,779,054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491,018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2,438,435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131,564,163</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One-to-four family residential mortgage loans held for sale were $216</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$32</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at June 30, 2023 and December 31, 2022, respectively. Commercial real estate loans held for sale were $322</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at June 30, 2023 and $131</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at December 31, 2022.</w:t>
      </w:r>
    </w:p>
    <w:p>
      <w:pPr>
        <w:pStyle w:val="TextBody"/>
        <w:bidi w:val="0"/>
        <w:spacing w:before="120" w:after="0"/>
        <w:jc w:val="both"/>
        <w:rPr>
          <w:rFonts w:ascii="Times New Roman;serif" w:hAnsi="Times New Roman;serif"/>
          <w:b/>
          <w:i/>
          <w:sz w:val="23"/>
        </w:rPr>
      </w:pPr>
      <w:r>
        <w:rPr>
          <w:rFonts w:ascii="Times New Roman;serif" w:hAnsi="Times New Roman;serif"/>
          <w:b/>
          <w:i/>
          <w:sz w:val="23"/>
        </w:rPr>
        <w:t>Credit quality indicators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w:t>
      </w:r>
      <w:r>
        <w:rPr>
          <w:rFonts w:ascii="Times New Roman" w:hAnsi="Times New Roman"/>
          <w:sz w:val="20"/>
        </w:rPr>
        <w:t xml:space="preserve"> </w:t>
      </w:r>
      <w:r>
        <w:rPr>
          <w:rFonts w:ascii="Times New Roman;serif" w:hAnsi="Times New Roman;serif"/>
          <w:b w:val="false"/>
          <w:sz w:val="23"/>
        </w:rPr>
        <w:t>days or more.</w:t>
      </w:r>
    </w:p>
    <w:p>
      <w:pPr>
        <w:pStyle w:val="TextBody"/>
        <w:bidi w:val="0"/>
        <w:spacing w:before="120" w:after="0"/>
        <w:jc w:val="both"/>
        <w:rPr>
          <w:rFonts w:ascii="Times New Roman" w:hAnsi="Times New Roman"/>
          <w:sz w:val="20"/>
        </w:rPr>
      </w:pPr>
      <w:r>
        <w:rPr>
          <w:rFonts w:ascii="Times New Roman;serif" w:hAnsi="Times New Roman;serif"/>
          <w:b w:val="false"/>
          <w:sz w:val="23"/>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Factors considered in assigning loan grades include borrower-specific information related to expected future cash flows and operating results, collateral values, geographic location, financial condition and performance, payment status, and other information. The Company’s policy is that at least annually, updated financial information be obtained from commercial borrowers associated with pass grade loans and additional analysis performed. On a quarterly basis, the Company’s credit personnel review all criticized commercial loans and commercial real estate loans greater than $1</w:t>
      </w:r>
      <w:r>
        <w:rPr>
          <w:rFonts w:ascii="Times New Roman" w:hAnsi="Times New Roman"/>
          <w:sz w:val="20"/>
        </w:rPr>
        <w:t xml:space="preserve"> </w:t>
      </w:r>
      <w:r>
        <w:rPr>
          <w:rFonts w:ascii="Times New Roman;serif" w:hAnsi="Times New Roman;serif"/>
          <w:b w:val="false"/>
          <w:sz w:val="23"/>
        </w:rPr>
        <w:t>million to determine the appropriateness of the assigned loan grade, including whether the loan should be reported as accruing or nonaccruing.</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following table summarizes the loan grades applied at June 30, 2023 to the various classes of the Company’s commercial loans and commercial real estate loans and gross charge-offs for those types of loans for the three-month and six-month periods ended June 30, 2023 by origination year.</w:t>
      </w:r>
    </w:p>
    <w:tbl>
      <w:tblPr>
        <w:tblW w:w="11491" w:type="dxa"/>
        <w:jc w:val="left"/>
        <w:tblInd w:w="0" w:type="dxa"/>
        <w:tblLayout w:type="fixed"/>
        <w:tblCellMar>
          <w:top w:w="28" w:type="dxa"/>
          <w:left w:w="28" w:type="dxa"/>
          <w:bottom w:w="28" w:type="dxa"/>
          <w:right w:w="28" w:type="dxa"/>
        </w:tblCellMar>
      </w:tblPr>
      <w:tblGrid>
        <w:gridCol w:w="946"/>
        <w:gridCol w:w="146"/>
        <w:gridCol w:w="181"/>
        <w:gridCol w:w="691"/>
        <w:gridCol w:w="146"/>
        <w:gridCol w:w="146"/>
        <w:gridCol w:w="146"/>
        <w:gridCol w:w="691"/>
        <w:gridCol w:w="146"/>
        <w:gridCol w:w="146"/>
        <w:gridCol w:w="146"/>
        <w:gridCol w:w="691"/>
        <w:gridCol w:w="146"/>
        <w:gridCol w:w="146"/>
        <w:gridCol w:w="146"/>
        <w:gridCol w:w="691"/>
        <w:gridCol w:w="146"/>
        <w:gridCol w:w="146"/>
        <w:gridCol w:w="146"/>
        <w:gridCol w:w="691"/>
        <w:gridCol w:w="146"/>
        <w:gridCol w:w="146"/>
        <w:gridCol w:w="146"/>
        <w:gridCol w:w="766"/>
        <w:gridCol w:w="146"/>
        <w:gridCol w:w="146"/>
        <w:gridCol w:w="146"/>
        <w:gridCol w:w="766"/>
        <w:gridCol w:w="146"/>
        <w:gridCol w:w="146"/>
        <w:gridCol w:w="160"/>
        <w:gridCol w:w="561"/>
        <w:gridCol w:w="146"/>
        <w:gridCol w:w="146"/>
        <w:gridCol w:w="181"/>
        <w:gridCol w:w="766"/>
        <w:gridCol w:w="35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9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Term Loans 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 Loans Converted to Term</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48" w:type="dxa"/>
            <w:gridSpan w:val="34"/>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(In thousands)</w:t>
            </w:r>
          </w:p>
        </w:tc>
        <w:tc>
          <w:tcPr>
            <w:tcW w:w="351" w:type="dxa"/>
            <w:tcBorders/>
            <w:vAlign w:val="center"/>
          </w:tcPr>
          <w:p>
            <w:pPr>
              <w:pStyle w:val="TableContents"/>
              <w:bidi w:val="0"/>
              <w:spacing w:before="0" w:after="0"/>
              <w:ind w:left="0" w:right="0" w:hanging="0"/>
              <w:jc w:val="center"/>
              <w:rPr/>
            </w:pPr>
            <w:r>
              <w:rPr/>
              <w:t> </w:t>
            </w:r>
          </w:p>
        </w:tc>
      </w:tr>
      <w:tr>
        <w:trPr/>
        <w:tc>
          <w:tcPr>
            <w:tcW w:w="1964" w:type="dxa"/>
            <w:gridSpan w:val="4"/>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4,084,263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7,437,543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4,342,236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1,680,841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1,434,684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2,313,703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21,051,384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45,539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42,390,193</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89,277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242,232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245,040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169,817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108,865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282,663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715,380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1,877,334</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12,072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48,988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44,163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27,809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94,343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156,738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8,778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416,022</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commercial, </w:t>
              <w:br/>
              <w:t>   financial, leasing, etc.</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4,185,612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7,728,763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4,631,439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1,873,789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1,571,358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2,690,709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21,923,502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78,377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44,683,549</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6,854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4,705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21,258</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10,958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8,110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6,752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4,517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40,260</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Real estate: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Commercial:</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351" w:type="dxa"/>
            <w:tcBorders/>
            <w:vAlign w:val="center"/>
          </w:tcPr>
          <w:p>
            <w:pPr>
              <w:pStyle w:val="TableContents"/>
              <w:bidi w:val="0"/>
              <w:spacing w:before="0" w:after="0"/>
              <w:ind w:left="0" w:right="0" w:firstLine="160"/>
              <w:jc w:val="righ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2,087,296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3,865,108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3,188,161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3,200,526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4,693,259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12,993,821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797,521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30,825,692</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403,062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434,027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354,736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788,370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2,519,575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4,523,204</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50,989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25,903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258,813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146,925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894,172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6,388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1,383,190</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commercial real </w:t>
              <w:br/>
              <w:t>   estate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2,087,296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4,319,159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3,648,091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3,814,075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5,628,554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16,407,568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827,343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36,732,086</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51,516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49,433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101,373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77,906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130,241</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Residential builder and developer:</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215,809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518,867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99,364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9,681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126,638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992,685</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34,803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74,015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141,433</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1,193</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residential builder </w:t>
              <w:br/>
              <w:t>   and developer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216,822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525,366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134,842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12,010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81,655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35,805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128,811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1,135,311</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216</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1,733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Other commercial construction:</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391,286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1,373,928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1,025,430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952,484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550,745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271,623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15,867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4,581,363</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53,186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173,616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446,290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945,352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435,238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2,053,927</w:t>
            </w:r>
          </w:p>
        </w:tc>
        <w:tc>
          <w:tcPr>
            <w:tcW w:w="351" w:type="dxa"/>
            <w:tcBorders/>
            <w:vAlign w:val="center"/>
          </w:tcPr>
          <w:p>
            <w:pPr>
              <w:pStyle w:val="TableContents"/>
              <w:bidi w:val="0"/>
              <w:spacing w:before="0" w:after="0"/>
              <w:ind w:left="0" w:right="0" w:firstLine="160"/>
              <w:jc w:val="left"/>
              <w:rPr/>
            </w:pPr>
            <w:r>
              <w:rPr/>
              <w:t> </w:t>
            </w:r>
          </w:p>
        </w:tc>
      </w:tr>
      <w:tr>
        <w:trPr/>
        <w:tc>
          <w:tcPr>
            <w:tcW w:w="946"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10,202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42,275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63,702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146,024</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other commercial </w:t>
              <w:br/>
              <w:t>   construction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391,531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1,427,114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1,209,248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1,441,049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1,559,799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734,283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18,290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6,781,314</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46"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120" w:after="120"/>
        <w:jc w:val="both"/>
        <w:rPr>
          <w:rFonts w:ascii="Times New Roman" w:hAnsi="Times New Roman"/>
          <w:sz w:val="20"/>
        </w:rPr>
      </w:pPr>
      <w:r>
        <w:rPr>
          <w:rFonts w:ascii="Times New Roman;serif" w:hAnsi="Times New Roman;serif"/>
          <w:b w:val="false"/>
          <w:sz w:val="23"/>
        </w:rPr>
        <w:t>The Company considers repayment performance a significant indicator of credit quality for its residential real estate loan and consumer loan portfolios. A summary of loans in accrual and nonaccrual status at June 30, 2023 for the various classes of the Company’s residential real estate loans and consumer loans and gross charge-offs for those types of loans for the three-month and six-month periods ended June 30, 2023</w:t>
      </w:r>
      <w:r>
        <w:rPr>
          <w:rFonts w:ascii="Times New Roman;serif" w:hAnsi="Times New Roman;serif"/>
          <w:sz w:val="23"/>
        </w:rPr>
        <w:t xml:space="preserve"> </w:t>
      </w:r>
      <w:r>
        <w:rPr>
          <w:rFonts w:ascii="Times New Roman;serif" w:hAnsi="Times New Roman;serif"/>
          <w:b w:val="false"/>
          <w:sz w:val="23"/>
        </w:rPr>
        <w:t>by origination year follows.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- 16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tbl>
      <w:tblPr>
        <w:tblW w:w="10872" w:type="dxa"/>
        <w:jc w:val="left"/>
        <w:tblInd w:w="0" w:type="dxa"/>
        <w:tblLayout w:type="fixed"/>
        <w:tblCellMar>
          <w:top w:w="28" w:type="dxa"/>
          <w:left w:w="28" w:type="dxa"/>
          <w:bottom w:w="28" w:type="dxa"/>
          <w:right w:w="28" w:type="dxa"/>
        </w:tblCellMar>
      </w:tblPr>
      <w:tblGrid>
        <w:gridCol w:w="931"/>
        <w:gridCol w:w="146"/>
        <w:gridCol w:w="166"/>
        <w:gridCol w:w="586"/>
        <w:gridCol w:w="146"/>
        <w:gridCol w:w="146"/>
        <w:gridCol w:w="146"/>
        <w:gridCol w:w="646"/>
        <w:gridCol w:w="146"/>
        <w:gridCol w:w="146"/>
        <w:gridCol w:w="146"/>
        <w:gridCol w:w="646"/>
        <w:gridCol w:w="146"/>
        <w:gridCol w:w="146"/>
        <w:gridCol w:w="146"/>
        <w:gridCol w:w="646"/>
        <w:gridCol w:w="146"/>
        <w:gridCol w:w="146"/>
        <w:gridCol w:w="146"/>
        <w:gridCol w:w="646"/>
        <w:gridCol w:w="146"/>
        <w:gridCol w:w="146"/>
        <w:gridCol w:w="146"/>
        <w:gridCol w:w="646"/>
        <w:gridCol w:w="146"/>
        <w:gridCol w:w="146"/>
        <w:gridCol w:w="146"/>
        <w:gridCol w:w="646"/>
        <w:gridCol w:w="146"/>
        <w:gridCol w:w="146"/>
        <w:gridCol w:w="146"/>
        <w:gridCol w:w="586"/>
        <w:gridCol w:w="146"/>
        <w:gridCol w:w="146"/>
        <w:gridCol w:w="166"/>
        <w:gridCol w:w="706"/>
        <w:gridCol w:w="351"/>
      </w:tblGrid>
      <w:tr>
        <w:trPr/>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7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Term Loans 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Revolving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Revolving Loans Converted to Term</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44" w:type="dxa"/>
            <w:gridSpan w:val="34"/>
            <w:tcBorders/>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 thousands)</w:t>
            </w:r>
          </w:p>
        </w:tc>
        <w:tc>
          <w:tcPr>
            <w:tcW w:w="351" w:type="dxa"/>
            <w:tcBorders/>
            <w:vAlign w:val="center"/>
          </w:tcPr>
          <w:p>
            <w:pPr>
              <w:pStyle w:val="TableContents"/>
              <w:bidi w:val="0"/>
              <w:spacing w:before="0" w:after="0"/>
              <w:ind w:left="0" w:right="0" w:hanging="0"/>
              <w:jc w:val="center"/>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Residential:</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1,078,612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4,916,628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3,904,324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2,663,709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1,266,549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7,756,199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21,666,324</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581,806</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24,637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284,410</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194,394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238,509</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residential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1,083,740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5,031,169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3,995,065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2,715,220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1,312,134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8,546,652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87,069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22,771,049</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845</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2,410</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29" w:type="dxa"/>
            <w:gridSpan w:val="4"/>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Residential - limited documentation: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900,609</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23,945</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66,614</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 xml:space="preserve">Total residential - limited </w:t>
              <w:br/>
              <w:t>   documentation</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991,168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991,168</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Consumer:</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Home equity lines and loans:</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3,082,721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1,459,491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4,669,522</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26,478</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77,090</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home equity lines and loans</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3,083,861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1,553,490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4,773,090</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1,166</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3,199</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Recreational finance:</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2,572,098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2,047,511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1,420,955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866,786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1,152,059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9,171,034</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53,483</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32,286</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recreational finance</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1,113,524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2,584,365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2,066,503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1,437,272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879,182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1,175,957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9,256,803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14,480</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29,301</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29" w:type="dxa"/>
            <w:gridSpan w:val="4"/>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Automobile: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1,298,446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1,285,910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4,020,722</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40,974</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21,791</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automobile</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445,259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1,310,543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1,305,221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564,015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289,035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4,083,487</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4,931</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11,642</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Other:</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Current</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1,444,863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2,062,277</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30-89 days past due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15,769</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0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4,964</w:t>
            </w:r>
          </w:p>
        </w:tc>
        <w:tc>
          <w:tcPr>
            <w:tcW w:w="351" w:type="dxa"/>
            <w:tcBorders/>
            <w:vAlign w:val="center"/>
          </w:tcPr>
          <w:p>
            <w:pPr>
              <w:pStyle w:val="TableContents"/>
              <w:bidi w:val="0"/>
              <w:spacing w:before="0" w:after="0"/>
              <w:ind w:left="0" w:right="0" w:firstLine="160"/>
              <w:jc w:val="left"/>
              <w:rPr/>
            </w:pPr>
            <w:r>
              <w:rPr/>
              <w:t> </w:t>
            </w:r>
          </w:p>
        </w:tc>
      </w:tr>
      <w:tr>
        <w:trPr/>
        <w:tc>
          <w:tcPr>
            <w:tcW w:w="931" w:type="dxa"/>
            <w:tcBorders/>
            <w:vAlign w:val="center"/>
          </w:tcPr>
          <w:p>
            <w:pPr>
              <w:pStyle w:val="TableContents"/>
              <w:bidi w:val="0"/>
              <w:spacing w:before="0" w:after="0"/>
              <w:ind w:left="160" w:right="0" w:hanging="0"/>
              <w:jc w:val="left"/>
              <w:rPr>
                <w:rFonts w:ascii="Times New Roman;serif" w:hAnsi="Times New Roman;serif"/>
                <w:b w:val="false"/>
                <w:sz w:val="12"/>
              </w:rPr>
            </w:pPr>
            <w:r>
              <w:rPr>
                <w:rFonts w:ascii="Times New Roman;serif" w:hAnsi="Times New Roman;serif"/>
                <w:b w:val="false"/>
                <w:sz w:val="12"/>
              </w:rPr>
              <w:t>Nonaccrual</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49,565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52,862</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Total other</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158,542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225,018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1,508,190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2,135,872</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three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17,728</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Gross charge-offs six months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38,014</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 xml:space="preserve">Total loans and leases at </w:t>
              <w:br/>
              <w:t>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9,682,358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23,151,528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17,136,736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11,904,481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11,361,552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30,892,007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27,577,066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1,638,001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133,343,729</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 xml:space="preserve">Total gross charge-offs for </w:t>
              <w:br/>
              <w:t xml:space="preserve">   the three months </w:t>
              <w:br/>
              <w:t>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162,224</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 xml:space="preserve">Total gross charge-offs for </w:t>
              <w:br/>
              <w:t xml:space="preserve">   the six months </w:t>
              <w:br/>
              <w:t>   ended June 30, 2023</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91,123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7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257,163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following table summarizes the loan grades applied at December 31, 2022 to the various classes of the Company’s commercial loans and commercial real estate loans by origination year.</w:t>
      </w:r>
    </w:p>
    <w:tbl>
      <w:tblPr>
        <w:tblW w:w="11616" w:type="dxa"/>
        <w:jc w:val="left"/>
        <w:tblInd w:w="0" w:type="dxa"/>
        <w:tblLayout w:type="fixed"/>
        <w:tblCellMar>
          <w:top w:w="28" w:type="dxa"/>
          <w:left w:w="28" w:type="dxa"/>
          <w:bottom w:w="28" w:type="dxa"/>
          <w:right w:w="28" w:type="dxa"/>
        </w:tblCellMar>
      </w:tblPr>
      <w:tblGrid>
        <w:gridCol w:w="1231"/>
        <w:gridCol w:w="146"/>
        <w:gridCol w:w="181"/>
        <w:gridCol w:w="691"/>
        <w:gridCol w:w="146"/>
        <w:gridCol w:w="146"/>
        <w:gridCol w:w="146"/>
        <w:gridCol w:w="691"/>
        <w:gridCol w:w="146"/>
        <w:gridCol w:w="146"/>
        <w:gridCol w:w="146"/>
        <w:gridCol w:w="691"/>
        <w:gridCol w:w="146"/>
        <w:gridCol w:w="146"/>
        <w:gridCol w:w="146"/>
        <w:gridCol w:w="691"/>
        <w:gridCol w:w="146"/>
        <w:gridCol w:w="146"/>
        <w:gridCol w:w="146"/>
        <w:gridCol w:w="691"/>
        <w:gridCol w:w="146"/>
        <w:gridCol w:w="146"/>
        <w:gridCol w:w="146"/>
        <w:gridCol w:w="766"/>
        <w:gridCol w:w="146"/>
        <w:gridCol w:w="146"/>
        <w:gridCol w:w="146"/>
        <w:gridCol w:w="766"/>
        <w:gridCol w:w="146"/>
        <w:gridCol w:w="146"/>
        <w:gridCol w:w="160"/>
        <w:gridCol w:w="561"/>
        <w:gridCol w:w="146"/>
        <w:gridCol w:w="146"/>
        <w:gridCol w:w="181"/>
        <w:gridCol w:w="766"/>
        <w:gridCol w:w="19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9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Term Loans 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 Loans Converted to Term</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48" w:type="dxa"/>
            <w:gridSpan w:val="34"/>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2249" w:type="dxa"/>
            <w:gridSpan w:val="4"/>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8,575,130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4,952,758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2,024,603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1,796,047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817,569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1,970,947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19,444,247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40,471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39,621,772</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247,626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222,861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190,368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116,881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71,485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246,846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768,497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1,881,590</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18,379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52,067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37,608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36,241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35,689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59,146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100,972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7,102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347,204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commercial, </w:t>
              <w:br/>
              <w:t>   financial, leasing, etc.</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8,841,135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5,227,686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2,252,579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1,949,169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924,743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2,276,939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20,313,716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64,599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41,850,566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Real estate: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Commercial:</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4,136,890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3,379,900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3,388,590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4,557,065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3,293,380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10,905,956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869,981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30,531,762</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324,652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463,484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467,557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688,239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937,421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1,890,297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4,819,749</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11,541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22,459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183,986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297,106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170,382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688,079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1,396,662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commercial real </w:t>
              <w:br/>
              <w:t>   estate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4,473,083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3,865,843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4,040,133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5,542,410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4,401,183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13,484,332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941,189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36,748,173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Residential builder and developer:</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680,705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230,079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12,812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150,404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1,117,256</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9,952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108,968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15,069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30,815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196,245</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1,229</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residential builder </w:t>
              <w:br/>
              <w:t>   and developer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683,731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259,205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21,232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131,597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27,881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9,865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181,219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1,314,730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Other commercial construction:</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Loan grades: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Pass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1,032,774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1,080,141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1,225,845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1,185,685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366,686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297,355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5,204,061</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accrual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37,893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145,199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320,463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1,025,371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299,350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144,394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1,972,670</w:t>
            </w:r>
          </w:p>
        </w:tc>
        <w:tc>
          <w:tcPr>
            <w:tcW w:w="191" w:type="dxa"/>
            <w:tcBorders/>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3"/>
              </w:rPr>
              <w:t>Criticized 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9,992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44,037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35,841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10,542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22,099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124,937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3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other commercial </w:t>
              <w:br/>
              <w:t>   construction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1,070,667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1,235,332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1,590,345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2,246,897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676,578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463,848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18,001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7,301,668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A summary of loans in accrual and nonaccrual status at December 31, 2022 for the various classes of the Company’s residential real estate loans and consumer loans by origination year follows.</w:t>
      </w:r>
    </w:p>
    <w:tbl>
      <w:tblPr>
        <w:tblW w:w="12117" w:type="dxa"/>
        <w:jc w:val="left"/>
        <w:tblInd w:w="0" w:type="dxa"/>
        <w:tblLayout w:type="fixed"/>
        <w:tblCellMar>
          <w:top w:w="28" w:type="dxa"/>
          <w:left w:w="28" w:type="dxa"/>
          <w:bottom w:w="28" w:type="dxa"/>
          <w:right w:w="28" w:type="dxa"/>
        </w:tblCellMar>
      </w:tblPr>
      <w:tblGrid>
        <w:gridCol w:w="1081"/>
        <w:gridCol w:w="146"/>
        <w:gridCol w:w="181"/>
        <w:gridCol w:w="766"/>
        <w:gridCol w:w="146"/>
        <w:gridCol w:w="146"/>
        <w:gridCol w:w="146"/>
        <w:gridCol w:w="766"/>
        <w:gridCol w:w="146"/>
        <w:gridCol w:w="146"/>
        <w:gridCol w:w="146"/>
        <w:gridCol w:w="766"/>
        <w:gridCol w:w="146"/>
        <w:gridCol w:w="146"/>
        <w:gridCol w:w="146"/>
        <w:gridCol w:w="766"/>
        <w:gridCol w:w="146"/>
        <w:gridCol w:w="146"/>
        <w:gridCol w:w="146"/>
        <w:gridCol w:w="691"/>
        <w:gridCol w:w="146"/>
        <w:gridCol w:w="146"/>
        <w:gridCol w:w="146"/>
        <w:gridCol w:w="766"/>
        <w:gridCol w:w="146"/>
        <w:gridCol w:w="146"/>
        <w:gridCol w:w="146"/>
        <w:gridCol w:w="766"/>
        <w:gridCol w:w="146"/>
        <w:gridCol w:w="146"/>
        <w:gridCol w:w="146"/>
        <w:gridCol w:w="691"/>
        <w:gridCol w:w="146"/>
        <w:gridCol w:w="146"/>
        <w:gridCol w:w="181"/>
        <w:gridCol w:w="841"/>
        <w:gridCol w:w="35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9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Term Loans by Origination Year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Revolving Loans Converted to Term</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2018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Prior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Loans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39" w:type="dxa"/>
            <w:gridSpan w:val="34"/>
            <w:tcBorders/>
            <w:vAlign w:val="center"/>
          </w:tcPr>
          <w:p>
            <w:pPr>
              <w:pStyle w:val="TableContents"/>
              <w:bidi w:val="0"/>
              <w:spacing w:before="0" w:after="0"/>
              <w:ind w:left="0" w:right="0" w:hanging="0"/>
              <w:jc w:val="center"/>
              <w:rPr>
                <w:rFonts w:ascii="Times New Roman;serif" w:hAnsi="Times New Roman;serif"/>
                <w:b/>
                <w:sz w:val="13"/>
              </w:rPr>
            </w:pPr>
            <w:r>
              <w:rPr>
                <w:rFonts w:ascii="Times New Roman;serif" w:hAnsi="Times New Roman;serif"/>
                <w:b/>
                <w:sz w:val="13"/>
              </w:rPr>
              <w:t>(In thousands)</w:t>
            </w:r>
          </w:p>
        </w:tc>
        <w:tc>
          <w:tcPr>
            <w:tcW w:w="35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Residential:</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5,071,379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4,001,652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2,717,371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1,392,866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753,908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7,523,890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30,440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21,491,506</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59,477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51,308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40,337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399,301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595,897</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20,067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14,007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245,332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345,402</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5,686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10,865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2,583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9,860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231,093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7,353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272,090</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Total residential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5,148,554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4,103,759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2,780,358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1,438,625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795,691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8,399,616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38,292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22,704,895</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2174" w:type="dxa"/>
            <w:gridSpan w:val="4"/>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Residential - limited documentation: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950,782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950,782</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22,456</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77,814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77,814</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residential - limited </w:t>
              <w:br/>
              <w:t>   documentation</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1,051,052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1,051,052</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Consumer:</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Home equity lines and </w:t>
              <w:br/>
              <w:t>   loans: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97,282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3,262,533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1,487,334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4,891,311</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30,787</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6,458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74,646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84,788</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 xml:space="preserve">Total home equity lines and </w:t>
              <w:br/>
              <w:t>   loans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2,124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16,068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23,781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105,770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3,265,332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1,590,440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5,006,886</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2174" w:type="dxa"/>
            <w:gridSpan w:val="4"/>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Recreational finance: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2,842,091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2,280,627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1,587,629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963,907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486,964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812,953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8,974,171</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8,648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54,593</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3,533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7,440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9,427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7,625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5,344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11,261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44,630</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Total recreational finance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2,854,272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2,297,592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1,609,468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979,919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497,510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834,633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9,073,394</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2174" w:type="dxa"/>
            <w:gridSpan w:val="4"/>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Automobile: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1,491,076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1,557,676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702,711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378,962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167,438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95,343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4,393,206</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44,486</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10,698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7,372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7,520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5,620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5,881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39,584</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Total automobile</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1,500,495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1,581,698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717,367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393,721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178,522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105,473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4,477,276</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2174" w:type="dxa"/>
            <w:gridSpan w:val="4"/>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Current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274,530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172,238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58,339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23,163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1,375,049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1,958,196</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30-89 days past due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15,655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651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22,961</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Accruing loans past due</w:t>
              <w:br/>
              <w:t>    90 days or more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4,869</w:t>
            </w:r>
          </w:p>
        </w:tc>
        <w:tc>
          <w:tcPr>
            <w:tcW w:w="351" w:type="dxa"/>
            <w:tcBorders/>
            <w:vAlign w:val="center"/>
          </w:tcPr>
          <w:p>
            <w:pPr>
              <w:pStyle w:val="TableContents"/>
              <w:bidi w:val="0"/>
              <w:spacing w:before="0" w:after="0"/>
              <w:ind w:left="0" w:right="0" w:firstLine="160"/>
              <w:jc w:val="left"/>
              <w:rPr/>
            </w:pPr>
            <w:r>
              <w:rPr/>
              <w:t> </w:t>
            </w:r>
          </w:p>
        </w:tc>
      </w:tr>
      <w:tr>
        <w:trPr/>
        <w:tc>
          <w:tcPr>
            <w:tcW w:w="1081" w:type="dxa"/>
            <w:tcBorders/>
            <w:vAlign w:val="center"/>
          </w:tcPr>
          <w:p>
            <w:pPr>
              <w:pStyle w:val="TableContents"/>
              <w:bidi w:val="0"/>
              <w:spacing w:before="0" w:after="0"/>
              <w:ind w:left="160" w:right="0" w:hanging="0"/>
              <w:jc w:val="left"/>
              <w:rPr>
                <w:rFonts w:ascii="Times New Roman;serif" w:hAnsi="Times New Roman;serif"/>
                <w:b w:val="false"/>
                <w:sz w:val="13"/>
              </w:rPr>
            </w:pPr>
            <w:r>
              <w:rPr>
                <w:rFonts w:ascii="Times New Roman;serif" w:hAnsi="Times New Roman;serif"/>
                <w:b w:val="false"/>
                <w:sz w:val="13"/>
              </w:rPr>
              <w:t>Nonaccrual</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2,745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44,449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49,497</w:t>
            </w:r>
          </w:p>
        </w:tc>
        <w:tc>
          <w:tcPr>
            <w:tcW w:w="3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Total other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281,058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174,518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58,997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39,196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8,478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24,423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1,439,796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9,057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2,035,523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351" w:type="dxa"/>
            <w:tcBorders/>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rFonts w:ascii="Times New Roman;serif" w:hAnsi="Times New Roman;serif"/>
                <w:b/>
                <w:sz w:val="13"/>
              </w:rPr>
            </w:pPr>
            <w:r>
              <w:rPr>
                <w:rFonts w:ascii="Times New Roman;serif" w:hAnsi="Times New Roman;serif"/>
                <w:b/>
                <w:sz w:val="13"/>
              </w:rPr>
              <w:t xml:space="preserve">Total loans and leases at </w:t>
              <w:br/>
              <w:t>   December 31, 2022</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24,853,925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18,747,757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13,072,920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12,737,602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7,534,367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26,755,951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26,197,545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1,664,096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3"/>
              </w:rPr>
            </w:pPr>
            <w:r>
              <w:rPr>
                <w:rFonts w:ascii="Times New Roman;serif" w:hAnsi="Times New Roman;serif"/>
                <w:b w:val="false"/>
                <w:sz w:val="13"/>
              </w:rPr>
              <w:t>131,564,163</w:t>
            </w:r>
          </w:p>
        </w:tc>
        <w:tc>
          <w:tcPr>
            <w:tcW w:w="3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- 19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0"/>
        <w:jc w:val="both"/>
        <w:rPr>
          <w:rFonts w:ascii="Times New Roman" w:hAnsi="Times New Roman"/>
          <w:sz w:val="20"/>
        </w:rPr>
      </w:pPr>
      <w:r>
        <w:rPr>
          <w:rFonts w:ascii="Times New Roman;serif" w:hAnsi="Times New Roman;serif"/>
          <w:b/>
          <w:i/>
          <w:sz w:val="23"/>
        </w:rPr>
        <w:t>Allowance for credit losses</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For purposes of determining the level of the allowance for credit losses, the Company evaluates its loan and lease portfolio by type. Changes in the allowance for credit losses for the three months ended June 30, 2023 and 2022 were as follows:</w:t>
      </w:r>
    </w:p>
    <w:tbl>
      <w:tblPr>
        <w:tblW w:w="9514" w:type="dxa"/>
        <w:jc w:val="left"/>
        <w:tblInd w:w="0" w:type="dxa"/>
        <w:tblLayout w:type="fixed"/>
        <w:tblCellMar>
          <w:top w:w="28" w:type="dxa"/>
          <w:left w:w="28" w:type="dxa"/>
          <w:bottom w:w="28" w:type="dxa"/>
          <w:right w:w="28" w:type="dxa"/>
        </w:tblCellMar>
      </w:tblPr>
      <w:tblGrid>
        <w:gridCol w:w="2686"/>
        <w:gridCol w:w="146"/>
        <w:gridCol w:w="220"/>
        <w:gridCol w:w="816"/>
        <w:gridCol w:w="166"/>
        <w:gridCol w:w="146"/>
        <w:gridCol w:w="146"/>
        <w:gridCol w:w="845"/>
        <w:gridCol w:w="166"/>
        <w:gridCol w:w="146"/>
        <w:gridCol w:w="146"/>
        <w:gridCol w:w="781"/>
        <w:gridCol w:w="166"/>
        <w:gridCol w:w="146"/>
        <w:gridCol w:w="146"/>
        <w:gridCol w:w="781"/>
        <w:gridCol w:w="166"/>
        <w:gridCol w:w="146"/>
        <w:gridCol w:w="211"/>
        <w:gridCol w:w="931"/>
        <w:gridCol w:w="4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br/>
              <w:t>Financial,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Real Estate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Leasing, etc.</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Residential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Consumer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71"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June 30, 2023</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504,779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743,621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1,975,110</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411" w:type="dxa"/>
            <w:tcBorders/>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w:t>
            </w:r>
          </w:p>
        </w:tc>
        <w:tc>
          <w:tcPr>
            <w:tcW w:w="146" w:type="dxa"/>
            <w:tcBorders/>
            <w:vAlign w:val="center"/>
          </w:tcPr>
          <w:p>
            <w:pPr>
              <w:pStyle w:val="TableContents"/>
              <w:bidi w:val="0"/>
              <w:spacing w:before="0" w:after="0"/>
              <w:ind w:left="0" w:right="0" w:hanging="0"/>
              <w:jc w:val="left"/>
              <w:rPr/>
            </w:pPr>
            <w:r>
              <w:rPr/>
              <w:t> </w:t>
            </w:r>
          </w:p>
        </w:tc>
        <w:tc>
          <w:tcPr>
            <w:tcW w:w="10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8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(101,589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(162,224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35,480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 recoveries</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(126,744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511,929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765,676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602,369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1,998,366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616" w:type="dxa"/>
        <w:jc w:val="left"/>
        <w:tblInd w:w="0" w:type="dxa"/>
        <w:tblLayout w:type="fixed"/>
        <w:tblCellMar>
          <w:top w:w="28" w:type="dxa"/>
          <w:left w:w="28" w:type="dxa"/>
          <w:bottom w:w="28" w:type="dxa"/>
          <w:right w:w="28" w:type="dxa"/>
        </w:tblCellMar>
      </w:tblPr>
      <w:tblGrid>
        <w:gridCol w:w="2896"/>
        <w:gridCol w:w="146"/>
        <w:gridCol w:w="211"/>
        <w:gridCol w:w="781"/>
        <w:gridCol w:w="166"/>
        <w:gridCol w:w="146"/>
        <w:gridCol w:w="146"/>
        <w:gridCol w:w="781"/>
        <w:gridCol w:w="166"/>
        <w:gridCol w:w="146"/>
        <w:gridCol w:w="146"/>
        <w:gridCol w:w="781"/>
        <w:gridCol w:w="166"/>
        <w:gridCol w:w="146"/>
        <w:gridCol w:w="146"/>
        <w:gridCol w:w="781"/>
        <w:gridCol w:w="166"/>
        <w:gridCol w:w="146"/>
        <w:gridCol w:w="211"/>
        <w:gridCol w:w="931"/>
        <w:gridCol w:w="4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June 30, 2022</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307,055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539,444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553,279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1,472,359</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on acquired PCD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99,000</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 (a)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302,000</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(75,614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26,045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1,823,790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_____________________________________</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jc w:val="both"/>
        <w:rPr>
          <w:rFonts w:ascii="Times New Roman;serif" w:hAnsi="Times New Roman;serif"/>
          <w:sz w:val="23"/>
        </w:rPr>
      </w:pPr>
      <w:r>
        <w:rPr>
          <w:rFonts w:ascii="Times New Roman;serif" w:hAnsi="Times New Roman;serif"/>
          <w:b w:val="false"/>
          <w:i/>
          <w:sz w:val="16"/>
        </w:rPr>
        <w:t>Includes $242</w:t>
      </w:r>
      <w:r>
        <w:rPr>
          <w:rFonts w:ascii="Times New Roman;serif" w:hAnsi="Times New Roman;serif"/>
          <w:sz w:val="23"/>
        </w:rPr>
        <w:t xml:space="preserve"> </w:t>
      </w:r>
      <w:r>
        <w:rPr>
          <w:rFonts w:ascii="Times New Roman;serif" w:hAnsi="Times New Roman;serif"/>
          <w:b w:val="false"/>
          <w:i/>
          <w:sz w:val="16"/>
        </w:rPr>
        <w:t xml:space="preserve">million related to non-PCD acquired loans for the three months ended June 30, 2022. </w:t>
      </w:r>
    </w:p>
    <w:p>
      <w:pPr>
        <w:pStyle w:val="TextBody"/>
        <w:bidi w:val="0"/>
        <w:spacing w:before="40" w:after="0"/>
        <w:jc w:val="both"/>
        <w:rPr>
          <w:rFonts w:ascii="Times New Roman" w:hAnsi="Times New Roman"/>
          <w:sz w:val="20"/>
        </w:rPr>
      </w:pPr>
      <w:r>
        <w:rPr>
          <w:rFonts w:ascii="Times New Roman;serif" w:hAnsi="Times New Roman;serif"/>
          <w:b w:val="false"/>
          <w:i/>
          <w:sz w:val="16"/>
        </w:rPr>
        <w:t>(b) For the three months ended June 30, 2022, net charge-offs do not reflect $33</w:t>
      </w:r>
      <w:r>
        <w:rPr>
          <w:rFonts w:ascii="Times New Roman" w:hAnsi="Times New Roman"/>
          <w:sz w:val="20"/>
        </w:rPr>
        <w:t xml:space="preserve"> </w:t>
      </w:r>
      <w:r>
        <w:rPr>
          <w:rFonts w:ascii="Times New Roman;serif" w:hAnsi="Times New Roman;serif"/>
          <w:b w:val="false"/>
          <w:i/>
          <w:sz w:val="16"/>
        </w:rPr>
        <w:t>million of charge offs related to PCD acquired loans.</w:t>
      </w:r>
    </w:p>
    <w:p>
      <w:pPr>
        <w:pStyle w:val="TextBody"/>
        <w:bidi w:val="0"/>
        <w:spacing w:before="120" w:after="120"/>
        <w:jc w:val="both"/>
        <w:rPr>
          <w:rFonts w:ascii="Times New Roman" w:hAnsi="Times New Roman"/>
          <w:sz w:val="20"/>
        </w:rPr>
      </w:pPr>
      <w:r>
        <w:rPr>
          <w:rFonts w:ascii="Times New Roman;serif" w:hAnsi="Times New Roman;serif"/>
          <w:b w:val="false"/>
          <w:sz w:val="23"/>
        </w:rPr>
        <w:t>Changes in the allowance for credit losses for the six months ended June 30, 2023 and 2022 were as follows:</w:t>
      </w:r>
      <w:r>
        <w:rPr>
          <w:rFonts w:ascii="Times New Roman" w:hAnsi="Times New Roman"/>
          <w:sz w:val="20"/>
        </w:rPr>
        <w:t xml:space="preserve"> </w:t>
      </w:r>
    </w:p>
    <w:tbl>
      <w:tblPr>
        <w:tblW w:w="10083" w:type="dxa"/>
        <w:jc w:val="left"/>
        <w:tblInd w:w="0" w:type="dxa"/>
        <w:tblLayout w:type="fixed"/>
        <w:tblCellMar>
          <w:top w:w="28" w:type="dxa"/>
          <w:left w:w="28" w:type="dxa"/>
          <w:bottom w:w="28" w:type="dxa"/>
          <w:right w:w="28" w:type="dxa"/>
        </w:tblCellMar>
      </w:tblPr>
      <w:tblGrid>
        <w:gridCol w:w="2491"/>
        <w:gridCol w:w="146"/>
        <w:gridCol w:w="382"/>
        <w:gridCol w:w="1418"/>
        <w:gridCol w:w="166"/>
        <w:gridCol w:w="146"/>
        <w:gridCol w:w="146"/>
        <w:gridCol w:w="845"/>
        <w:gridCol w:w="166"/>
        <w:gridCol w:w="146"/>
        <w:gridCol w:w="146"/>
        <w:gridCol w:w="781"/>
        <w:gridCol w:w="166"/>
        <w:gridCol w:w="146"/>
        <w:gridCol w:w="146"/>
        <w:gridCol w:w="781"/>
        <w:gridCol w:w="166"/>
        <w:gridCol w:w="146"/>
        <w:gridCol w:w="211"/>
        <w:gridCol w:w="931"/>
        <w:gridCol w:w="41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 Financial,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Real Estate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Leasing, etc.</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Commercial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Residential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Consumer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35"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180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676,684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631,402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1,925,331</w:t>
            </w:r>
          </w:p>
        </w:tc>
        <w:tc>
          <w:tcPr>
            <w:tcW w:w="41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4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270,000</w:t>
            </w:r>
          </w:p>
        </w:tc>
        <w:tc>
          <w:tcPr>
            <w:tcW w:w="411" w:type="dxa"/>
            <w:tcBorders/>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w:t>
            </w:r>
          </w:p>
        </w:tc>
        <w:tc>
          <w:tcPr>
            <w:tcW w:w="146" w:type="dxa"/>
            <w:tcBorders/>
            <w:vAlign w:val="center"/>
          </w:tcPr>
          <w:p>
            <w:pPr>
              <w:pStyle w:val="TableContents"/>
              <w:bidi w:val="0"/>
              <w:spacing w:before="0" w:after="0"/>
              <w:ind w:left="0" w:right="0" w:hanging="0"/>
              <w:jc w:val="left"/>
              <w:rPr/>
            </w:pPr>
            <w:r>
              <w:rPr/>
              <w:t> </w:t>
            </w:r>
          </w:p>
        </w:tc>
        <w:tc>
          <w:tcPr>
            <w:tcW w:w="180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w:t>
            </w:r>
          </w:p>
        </w:tc>
        <w:tc>
          <w:tcPr>
            <w:tcW w:w="146" w:type="dxa"/>
            <w:tcBorders/>
            <w:vAlign w:val="center"/>
          </w:tcPr>
          <w:p>
            <w:pPr>
              <w:pStyle w:val="TableContents"/>
              <w:bidi w:val="0"/>
              <w:spacing w:before="0" w:after="0"/>
              <w:ind w:left="0" w:right="0" w:hanging="0"/>
              <w:jc w:val="left"/>
              <w:rPr/>
            </w:pPr>
            <w:r>
              <w:rPr/>
              <w:t> </w:t>
            </w:r>
          </w:p>
        </w:tc>
        <w:tc>
          <w:tcPr>
            <w:tcW w:w="382" w:type="dxa"/>
            <w:tcBorders/>
            <w:vAlign w:val="center"/>
          </w:tcPr>
          <w:p>
            <w:pPr>
              <w:pStyle w:val="TableContents"/>
              <w:bidi w:val="0"/>
              <w:spacing w:before="0" w:after="0"/>
              <w:ind w:left="0" w:right="0" w:hanging="0"/>
              <w:jc w:val="left"/>
              <w:rPr/>
            </w:pPr>
            <w:r>
              <w:rPr/>
              <w:t> </w:t>
            </w:r>
          </w:p>
        </w:tc>
        <w:tc>
          <w:tcPr>
            <w:tcW w:w="14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(131,974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(257,163</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60,198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 recoveries</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(196,965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left"/>
              <w:rPr/>
            </w:pPr>
            <w:r>
              <w:rPr/>
              <w:t> </w:t>
            </w:r>
          </w:p>
        </w:tc>
        <w:tc>
          <w:tcPr>
            <w:tcW w:w="3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511,929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765,676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602,369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1,998,366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both"/>
        <w:rPr/>
      </w:pPr>
      <w:r>
        <w:rPr/>
        <w:t> </w:t>
      </w:r>
    </w:p>
    <w:tbl>
      <w:tblPr>
        <w:tblW w:w="9616" w:type="dxa"/>
        <w:jc w:val="left"/>
        <w:tblInd w:w="0" w:type="dxa"/>
        <w:tblLayout w:type="fixed"/>
        <w:tblCellMar>
          <w:top w:w="28" w:type="dxa"/>
          <w:left w:w="28" w:type="dxa"/>
          <w:bottom w:w="28" w:type="dxa"/>
          <w:right w:w="28" w:type="dxa"/>
        </w:tblCellMar>
      </w:tblPr>
      <w:tblGrid>
        <w:gridCol w:w="2896"/>
        <w:gridCol w:w="146"/>
        <w:gridCol w:w="211"/>
        <w:gridCol w:w="781"/>
        <w:gridCol w:w="166"/>
        <w:gridCol w:w="146"/>
        <w:gridCol w:w="146"/>
        <w:gridCol w:w="781"/>
        <w:gridCol w:w="166"/>
        <w:gridCol w:w="146"/>
        <w:gridCol w:w="146"/>
        <w:gridCol w:w="781"/>
        <w:gridCol w:w="166"/>
        <w:gridCol w:w="146"/>
        <w:gridCol w:w="146"/>
        <w:gridCol w:w="781"/>
        <w:gridCol w:w="166"/>
        <w:gridCol w:w="146"/>
        <w:gridCol w:w="211"/>
        <w:gridCol w:w="931"/>
        <w:gridCol w:w="4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Six Months Ended June 30, 2022</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556,362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1,469,226</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Allowance on acquired PCD loans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99,000</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credit losses (a)</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312,000</w:t>
            </w:r>
          </w:p>
        </w:tc>
        <w:tc>
          <w:tcPr>
            <w:tcW w:w="411"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Charge-offs (b)</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(126,652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Recoveries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70,216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(charge-offs) recoveries</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(56,436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414,473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708,393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576,598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1,823,790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i/>
          <w:sz w:val="6"/>
        </w:rPr>
      </w:pPr>
      <w:r>
        <w:rPr>
          <w:rFonts w:ascii="Times New Roman;serif" w:hAnsi="Times New Roman;serif"/>
          <w:b w:val="false"/>
          <w:i/>
          <w:sz w:val="6"/>
        </w:rPr>
        <w:t>________________________________________________________________________________________________</w:t>
      </w:r>
    </w:p>
    <w:p>
      <w:pPr>
        <w:pStyle w:val="TextBody"/>
        <w:bidi w:val="0"/>
        <w:spacing w:before="60" w:after="0"/>
        <w:jc w:val="both"/>
        <w:rPr>
          <w:rFonts w:ascii="Times New Roman" w:hAnsi="Times New Roman"/>
          <w:b w:val="false"/>
          <w:i/>
          <w:sz w:val="16"/>
        </w:rPr>
      </w:pPr>
      <w:r>
        <w:rPr>
          <w:rFonts w:ascii="Times New Roman" w:hAnsi="Times New Roman"/>
          <w:b w:val="false"/>
          <w:i/>
          <w:sz w:val="16"/>
        </w:rPr>
        <w:t>(a)</w:t>
      </w:r>
    </w:p>
    <w:p>
      <w:pPr>
        <w:pStyle w:val="TextBody"/>
        <w:bidi w:val="0"/>
        <w:spacing w:before="60" w:after="283"/>
        <w:jc w:val="both"/>
        <w:rPr>
          <w:rFonts w:ascii="Times New Roman;serif" w:hAnsi="Times New Roman;serif"/>
          <w:sz w:val="23"/>
        </w:rPr>
      </w:pPr>
      <w:r>
        <w:rPr>
          <w:rFonts w:ascii="Times New Roman;serif" w:hAnsi="Times New Roman;serif"/>
          <w:b w:val="false"/>
          <w:i/>
          <w:sz w:val="16"/>
        </w:rPr>
        <w:t>Includes $242</w:t>
      </w:r>
      <w:r>
        <w:rPr>
          <w:rFonts w:ascii="Times New Roman;serif" w:hAnsi="Times New Roman;serif"/>
          <w:sz w:val="23"/>
        </w:rPr>
        <w:t xml:space="preserve"> </w:t>
      </w:r>
      <w:r>
        <w:rPr>
          <w:rFonts w:ascii="Times New Roman;serif" w:hAnsi="Times New Roman;serif"/>
          <w:b w:val="false"/>
          <w:i/>
          <w:sz w:val="16"/>
        </w:rPr>
        <w:t xml:space="preserve">million related to non-PCD acquired loans for the six months ended June 30, 2022. </w:t>
      </w:r>
    </w:p>
    <w:p>
      <w:pPr>
        <w:pStyle w:val="TextBody"/>
        <w:bidi w:val="0"/>
        <w:spacing w:before="40" w:after="0"/>
        <w:jc w:val="both"/>
        <w:rPr>
          <w:rFonts w:ascii="Times New Roman" w:hAnsi="Times New Roman"/>
          <w:sz w:val="20"/>
        </w:rPr>
      </w:pPr>
      <w:r>
        <w:rPr>
          <w:rFonts w:ascii="Times New Roman;serif" w:hAnsi="Times New Roman;serif"/>
          <w:b w:val="false"/>
          <w:i/>
          <w:sz w:val="16"/>
        </w:rPr>
        <w:t>(b) For the six</w:t>
      </w:r>
      <w:r>
        <w:rPr>
          <w:rFonts w:ascii="Times New Roman" w:hAnsi="Times New Roman"/>
          <w:sz w:val="20"/>
        </w:rPr>
        <w:t xml:space="preserve"> </w:t>
      </w:r>
      <w:r>
        <w:rPr>
          <w:rFonts w:ascii="Times New Roman;serif" w:hAnsi="Times New Roman;serif"/>
          <w:b w:val="false"/>
          <w:i/>
          <w:sz w:val="16"/>
        </w:rPr>
        <w:t>months ended June 30, 2022, net charge-offs do not reflect $33</w:t>
      </w:r>
      <w:r>
        <w:rPr>
          <w:rFonts w:ascii="Times New Roman" w:hAnsi="Times New Roman"/>
          <w:sz w:val="20"/>
        </w:rPr>
        <w:t xml:space="preserve"> </w:t>
      </w:r>
      <w:r>
        <w:rPr>
          <w:rFonts w:ascii="Times New Roman;serif" w:hAnsi="Times New Roman;serif"/>
          <w:b w:val="false"/>
          <w:i/>
          <w:sz w:val="16"/>
        </w:rPr>
        <w:t>million of charge offs related to PCD acquired loans.</w:t>
      </w:r>
    </w:p>
    <w:p>
      <w:pPr>
        <w:pStyle w:val="TextBody"/>
        <w:bidi w:val="0"/>
        <w:spacing w:before="240" w:after="0"/>
        <w:jc w:val="center"/>
        <w:rPr>
          <w:rFonts w:ascii="Times New Roman" w:hAnsi="Times New Roman"/>
          <w:sz w:val="20"/>
        </w:rPr>
      </w:pPr>
      <w:r>
        <w:rPr>
          <w:rFonts w:ascii="Times New Roman;serif" w:hAnsi="Times New Roman;serif"/>
          <w:b w:val="false"/>
          <w:sz w:val="20"/>
        </w:rPr>
        <w:t>- 20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Despite the allocation in the preceding tables, the allowance for credit losses is general in nature and is available to absorb losses from any loan or lease type. In determining the allowance for credit losses, accruing loans with similar risk characteristics are generally evaluated collectively. The Company utilizes statistically developed models to project principal balances over the remaining contractual lives of the loan portfolios and to determine estimated credit losses through a reasonable and supportable forecast period. Individual loan credit quality indicators, including loan grade and borrower repayment performance, can inform the models, which have been statistically developed based on historical correlations of credit losses with prevailing economic metrics, including unemployment, gross domestic product and real estate prices. Model forecasts may be adjusted for inherent limitations or biases that have been identified through independent validation and back-testing of model performance to actual realized results. At each of June 30, 2023 and December 31, 2022, the Company utilized a reasonable and supportable forecast period of two years. Subsequent to this forecast period the Company reverted, ratably over a one-year period, to historical loss experience to inform its estimate of losses for the remaining contractual life of each portfolio. The Company also estimates losses attributable to specific troubled credits identified through both normal and targeted credit review processes. The amounts of specific loss components in the Company’s loan and lease portfolios are determined through a loan-by-loan analysis of larger balance commercial loans and commercial real estate loans that are in nonaccrual status. Such loss estimates are typically based on expected future cash flows, collateral values and other factors that may impact the borrower’s ability to pay. To the extent that those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values as determined by line of business and/or loan workout personnel. Those adjustments are reviewed and assessed for reasonableness by the Company’s credit risk personnel. Accordingly, for real estate collateral securing larger nonaccrual commercial loans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w:t>
      </w:r>
    </w:p>
    <w:p>
      <w:pPr>
        <w:pStyle w:val="TextBody"/>
        <w:bidi w:val="0"/>
        <w:spacing w:before="120" w:after="0"/>
        <w:jc w:val="both"/>
        <w:rPr>
          <w:rFonts w:ascii="Times New Roman" w:hAnsi="Times New Roman"/>
          <w:sz w:val="20"/>
        </w:rPr>
      </w:pPr>
      <w:r>
        <w:rPr>
          <w:rFonts w:ascii="Times New Roman;serif" w:hAnsi="Times New Roman;serif"/>
          <w:b w:val="false"/>
          <w:sz w:val="23"/>
        </w:rPr>
        <w:t>For residential real estate loans, including home equity loans and lines of credit, the excess of the loan balance over the net realizable value of the property collateralizing the loan is charged-off when the loan becomes 150</w:t>
      </w:r>
      <w:r>
        <w:rPr>
          <w:rFonts w:ascii="Times New Roman" w:hAnsi="Times New Roman"/>
          <w:sz w:val="20"/>
        </w:rPr>
        <w:t xml:space="preserve"> </w:t>
      </w:r>
      <w:r>
        <w:rPr>
          <w:rFonts w:ascii="Times New Roman;serif" w:hAnsi="Times New Roman;serif"/>
          <w:b w:val="false"/>
          <w:sz w:val="23"/>
        </w:rPr>
        <w:t>days delinquent. That charge-off is based on recent indications of value from external parties that are generally obtained shortly after a loan becomes nonaccrual. Loans to consumers that file for bankruptcy are generally charged-off to estimated net collateral value shortly after the Company is notified of such filings. When evaluating individual home equity loans and lines of credit for charge-off and for purposes of estimating losses in determining the allowance for credit losses, the Company gives consideration to the required repayment of any first lien positions related to collateral property.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Changes in the amount of the allowance for credit losses reflect the outcome of the procedures described herein, including the impact of changes in macroeconomic forecasts as compared with previous forecasts, as well as the impact of portfolio concentrations, imprecision in economic forecasts, geopolitical conditions and other risk factors that might influence the loss estimation process.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Company’s reserve for off-balance sheet credit exposures was not material at June 30, 2023 and December 31, 2022.</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Information with respect to loans and leases that were considered nonaccrual at the beginning and end of the reporting period and the interest income recognized on such loans for the three-month and six-month periods ended June 30, 2023 and 2022 follows.</w:t>
      </w:r>
    </w:p>
    <w:tbl>
      <w:tblPr>
        <w:tblW w:w="10349" w:type="dxa"/>
        <w:jc w:val="left"/>
        <w:tblInd w:w="0" w:type="dxa"/>
        <w:tblLayout w:type="fixed"/>
        <w:tblCellMar>
          <w:top w:w="28" w:type="dxa"/>
          <w:left w:w="28" w:type="dxa"/>
          <w:bottom w:w="28" w:type="dxa"/>
          <w:right w:w="28" w:type="dxa"/>
        </w:tblCellMar>
      </w:tblPr>
      <w:tblGrid>
        <w:gridCol w:w="1156"/>
        <w:gridCol w:w="146"/>
        <w:gridCol w:w="196"/>
        <w:gridCol w:w="826"/>
        <w:gridCol w:w="146"/>
        <w:gridCol w:w="146"/>
        <w:gridCol w:w="196"/>
        <w:gridCol w:w="826"/>
        <w:gridCol w:w="146"/>
        <w:gridCol w:w="146"/>
        <w:gridCol w:w="196"/>
        <w:gridCol w:w="826"/>
        <w:gridCol w:w="146"/>
        <w:gridCol w:w="146"/>
        <w:gridCol w:w="196"/>
        <w:gridCol w:w="826"/>
        <w:gridCol w:w="146"/>
        <w:gridCol w:w="146"/>
        <w:gridCol w:w="196"/>
        <w:gridCol w:w="826"/>
        <w:gridCol w:w="146"/>
        <w:gridCol w:w="146"/>
        <w:gridCol w:w="196"/>
        <w:gridCol w:w="601"/>
        <w:gridCol w:w="146"/>
        <w:gridCol w:w="146"/>
        <w:gridCol w:w="196"/>
        <w:gridCol w:w="601"/>
        <w:gridCol w:w="5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Amortized Cost with Allowance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Amortized Cost</w:t>
            </w:r>
            <w:r>
              <w:rPr>
                <w:rFonts w:ascii="Times New Roman" w:hAnsi="Times New Roman"/>
                <w:sz w:val="14"/>
              </w:rPr>
              <w:t xml:space="preserve"> </w:t>
            </w:r>
            <w:r>
              <w:rPr>
                <w:rFonts w:ascii="Times New Roman;serif" w:hAnsi="Times New Roman;serif"/>
                <w:b/>
                <w:sz w:val="14"/>
              </w:rPr>
              <w:t>without Allowance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 Income Recognized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March 31,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January 1,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Three Months Ended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xml:space="preserve">Six </w:t>
              <w:br/>
              <w:t>Months Ended June 30, 2023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56" w:type="dxa"/>
            <w:gridSpan w:val="2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591" w:type="dxa"/>
            <w:tcBorders/>
            <w:vAlign w:val="center"/>
          </w:tcPr>
          <w:p>
            <w:pPr>
              <w:pStyle w:val="TableContents"/>
              <w:bidi w:val="0"/>
              <w:spacing w:before="0" w:after="0"/>
              <w:ind w:left="0" w:right="0" w:firstLine="200"/>
              <w:jc w:val="center"/>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416,022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382,268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347,204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4,188</w:t>
            </w:r>
          </w:p>
        </w:tc>
        <w:tc>
          <w:tcPr>
            <w:tcW w:w="591" w:type="dxa"/>
            <w:tcBorders/>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Real estate:</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Commercial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967,505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1,383,190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1,516,655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1,396,662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9,933</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 builder and developer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396</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commercial construction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1,725</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253,646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272,090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8,767</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27,013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39,601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68,935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w:t>
            </w:r>
          </w:p>
        </w:tc>
        <w:tc>
          <w:tcPr>
            <w:tcW w:w="591" w:type="dxa"/>
            <w:tcBorders/>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Consumer:</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77,090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3,679</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Recreational finance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Automobile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51,238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49,497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882,869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1,552,712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2,435,581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2,556,799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2,438,435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12,674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29,537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March 31,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January 1,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Three Months Ended 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 xml:space="preserve">Six </w:t>
              <w:br/>
              <w:t>Months Ended June 30,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56" w:type="dxa"/>
            <w:gridSpan w:val="26"/>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 thousands)</w:t>
            </w:r>
          </w:p>
        </w:tc>
        <w:tc>
          <w:tcPr>
            <w:tcW w:w="591" w:type="dxa"/>
            <w:tcBorders/>
            <w:vAlign w:val="center"/>
          </w:tcPr>
          <w:p>
            <w:pPr>
              <w:pStyle w:val="TableContents"/>
              <w:bidi w:val="0"/>
              <w:spacing w:before="0" w:after="0"/>
              <w:ind w:left="0" w:right="0" w:firstLine="200"/>
              <w:jc w:val="center"/>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164,100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442,496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221,022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15,715</w:t>
            </w:r>
          </w:p>
        </w:tc>
        <w:tc>
          <w:tcPr>
            <w:tcW w:w="591" w:type="dxa"/>
            <w:tcBorders/>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Real estate:</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Commercial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397,536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1,079,122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1,476,658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1,157,686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1,069,280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7,885</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 builder and developer</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1,687</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 commercial construction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50,855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3,376</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156,357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341,671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13,338</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41,890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123,512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w:t>
            </w:r>
          </w:p>
        </w:tc>
        <w:tc>
          <w:tcPr>
            <w:tcW w:w="591" w:type="dxa"/>
            <w:tcBorders/>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Consumer:</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71,489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2,622</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Recreational finance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27,811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322</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Automobile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34,037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591" w:type="dxa"/>
            <w:tcBorders/>
            <w:vAlign w:val="center"/>
          </w:tcPr>
          <w:p>
            <w:pPr>
              <w:pStyle w:val="TableContents"/>
              <w:bidi w:val="0"/>
              <w:spacing w:before="0" w:after="0"/>
              <w:ind w:left="0" w:right="0" w:firstLine="400"/>
              <w:jc w:val="left"/>
              <w:rPr/>
            </w:pPr>
            <w:r>
              <w:rPr/>
              <w:t> </w:t>
            </w:r>
          </w:p>
        </w:tc>
      </w:tr>
      <w:tr>
        <w:trPr/>
        <w:tc>
          <w:tcPr>
            <w:tcW w:w="1156"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47,040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47,178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44,289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1156"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1,094,400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1,538,605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2,633,005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2,134,231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2,060,083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45,431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i/>
          <w:sz w:val="23"/>
        </w:rPr>
      </w:pPr>
      <w:r>
        <w:rPr>
          <w:rFonts w:ascii="Times New Roman;serif" w:hAnsi="Times New Roman;serif"/>
          <w:b/>
          <w:i/>
          <w:sz w:val="23"/>
        </w:rPr>
        <w:t>Loan modifications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During the normal course of business, the Company modifies loans to maximize recovery efforts from borrowers experiencing financial difficulty. Such loan modifications typically include payment deferrals and interest rate reductions but may also include other modified terms. Those modified loans may be considered nonaccrual if the Company does not expect to collect the contractual cash flows owed under the loan agreement. On January 1, 2023 the Company adopted amended guidance that eliminated the accounting guidance for troubled debt restructurings while expanding disclosure requirements for certain loan refinancings and restructurings by creditors when a borrower is experiencing financial difficulty. The amended guidance also requires disclosure of current period gross charge-offs by year of origination.</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table that follows summarizes the Company’s loan modification activities to borrowers experiencing financial difficulty for the three-month and six-month periods ended June 30, 2023:</w:t>
      </w:r>
    </w:p>
    <w:tbl>
      <w:tblPr>
        <w:tblW w:w="10205" w:type="dxa"/>
        <w:jc w:val="left"/>
        <w:tblInd w:w="0" w:type="dxa"/>
        <w:tblLayout w:type="fixed"/>
        <w:tblCellMar>
          <w:top w:w="28" w:type="dxa"/>
          <w:left w:w="28" w:type="dxa"/>
          <w:bottom w:w="28" w:type="dxa"/>
          <w:right w:w="28" w:type="dxa"/>
        </w:tblCellMar>
      </w:tblPr>
      <w:tblGrid>
        <w:gridCol w:w="1808"/>
        <w:gridCol w:w="146"/>
        <w:gridCol w:w="233"/>
        <w:gridCol w:w="862"/>
        <w:gridCol w:w="146"/>
        <w:gridCol w:w="146"/>
        <w:gridCol w:w="361"/>
        <w:gridCol w:w="724"/>
        <w:gridCol w:w="146"/>
        <w:gridCol w:w="146"/>
        <w:gridCol w:w="211"/>
        <w:gridCol w:w="346"/>
        <w:gridCol w:w="146"/>
        <w:gridCol w:w="146"/>
        <w:gridCol w:w="361"/>
        <w:gridCol w:w="1157"/>
        <w:gridCol w:w="146"/>
        <w:gridCol w:w="146"/>
        <w:gridCol w:w="211"/>
        <w:gridCol w:w="781"/>
        <w:gridCol w:w="146"/>
        <w:gridCol w:w="146"/>
        <w:gridCol w:w="243"/>
        <w:gridCol w:w="781"/>
        <w:gridCol w:w="520"/>
      </w:tblGrid>
      <w:tr>
        <w:trPr/>
        <w:tc>
          <w:tcPr>
            <w:tcW w:w="1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80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31"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 at June 30, 2023</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Deferral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Rate Reduction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Combination of Modification Types (a)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(b)</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 of Total Loan Class</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0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731"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520" w:type="dxa"/>
            <w:tcBorders/>
            <w:vAlign w:val="center"/>
          </w:tcPr>
          <w:p>
            <w:pPr>
              <w:pStyle w:val="TableContents"/>
              <w:bidi w:val="0"/>
              <w:spacing w:before="0" w:after="0"/>
              <w:ind w:left="0" w:right="0" w:hanging="0"/>
              <w:jc w:val="center"/>
              <w:rPr/>
            </w:pPr>
            <w:r>
              <w:rPr/>
              <w:t> </w:t>
            </w:r>
          </w:p>
        </w:tc>
      </w:tr>
      <w:tr>
        <w:trPr/>
        <w:tc>
          <w:tcPr>
            <w:tcW w:w="1808"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Three Months Ended June 30, 2023</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520" w:type="dxa"/>
            <w:tcBorders/>
            <w:vAlign w:val="center"/>
          </w:tcPr>
          <w:p>
            <w:pPr>
              <w:pStyle w:val="TableContents"/>
              <w:bidi w:val="0"/>
              <w:spacing w:before="0" w:after="0"/>
              <w:ind w:left="0" w:right="0" w:hanging="0"/>
              <w:jc w:val="right"/>
              <w:rPr/>
            </w:pPr>
            <w:r>
              <w:rPr/>
              <w:t> </w:t>
            </w:r>
          </w:p>
        </w:tc>
      </w:tr>
      <w:tr>
        <w:trPr/>
        <w:tc>
          <w:tcPr>
            <w:tcW w:w="18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520" w:type="dxa"/>
            <w:tcBorders/>
            <w:vAlign w:val="center"/>
          </w:tcPr>
          <w:p>
            <w:pPr>
              <w:pStyle w:val="TableContents"/>
              <w:bidi w:val="0"/>
              <w:spacing w:before="0" w:after="0"/>
              <w:ind w:left="0" w:right="0" w:firstLine="200"/>
              <w:jc w:val="right"/>
              <w:rPr/>
            </w:pPr>
            <w:r>
              <w:rPr/>
              <w:t> </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builder and developer</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construction</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0.17</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0.38</w:t>
            </w:r>
          </w:p>
        </w:tc>
        <w:tc>
          <w:tcPr>
            <w:tcW w:w="5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righ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1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520" w:type="dxa"/>
            <w:tcBorders/>
            <w:vAlign w:val="center"/>
          </w:tcPr>
          <w:p>
            <w:pPr>
              <w:pStyle w:val="TableContents"/>
              <w:bidi w:val="0"/>
              <w:spacing w:before="0" w:after="0"/>
              <w:ind w:left="0" w:right="0" w:firstLine="200"/>
              <w:jc w:val="right"/>
              <w:rPr/>
            </w:pPr>
            <w:r>
              <w:rPr/>
              <w:t> </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20"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firstLine="200"/>
              <w:jc w:val="left"/>
              <w:rPr/>
            </w:pPr>
            <w:r>
              <w:rPr/>
              <w:t> </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right"/>
              <w:rPr/>
            </w:pPr>
            <w:r>
              <w:rPr/>
              <w:t> </w:t>
            </w:r>
          </w:p>
        </w:tc>
        <w:tc>
          <w:tcPr>
            <w:tcW w:w="233"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72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11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520" w:type="dxa"/>
            <w:tcBorders/>
            <w:vAlign w:val="center"/>
          </w:tcPr>
          <w:p>
            <w:pPr>
              <w:pStyle w:val="TableContents"/>
              <w:bidi w:val="0"/>
              <w:spacing w:before="0" w:after="0"/>
              <w:ind w:left="0" w:right="0" w:firstLine="200"/>
              <w:jc w:val="left"/>
              <w:rPr/>
            </w:pPr>
            <w:r>
              <w:rPr/>
              <w:t> </w:t>
            </w:r>
          </w:p>
        </w:tc>
      </w:tr>
      <w:tr>
        <w:trPr/>
        <w:tc>
          <w:tcPr>
            <w:tcW w:w="180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0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328,513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347,821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0.26</w:t>
            </w:r>
          </w:p>
        </w:tc>
        <w:tc>
          <w:tcPr>
            <w:tcW w:w="5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both"/>
        <w:rPr/>
      </w:pPr>
      <w:r>
        <w:rPr/>
        <w:t> </w:t>
      </w:r>
    </w:p>
    <w:tbl>
      <w:tblPr>
        <w:tblW w:w="9990" w:type="dxa"/>
        <w:jc w:val="left"/>
        <w:tblInd w:w="0" w:type="dxa"/>
        <w:tblLayout w:type="fixed"/>
        <w:tblCellMar>
          <w:top w:w="28" w:type="dxa"/>
          <w:left w:w="28" w:type="dxa"/>
          <w:bottom w:w="28" w:type="dxa"/>
          <w:right w:w="28" w:type="dxa"/>
        </w:tblCellMar>
      </w:tblPr>
      <w:tblGrid>
        <w:gridCol w:w="3196"/>
        <w:gridCol w:w="146"/>
        <w:gridCol w:w="211"/>
        <w:gridCol w:w="781"/>
        <w:gridCol w:w="146"/>
        <w:gridCol w:w="146"/>
        <w:gridCol w:w="211"/>
        <w:gridCol w:w="421"/>
        <w:gridCol w:w="146"/>
        <w:gridCol w:w="146"/>
        <w:gridCol w:w="211"/>
        <w:gridCol w:w="346"/>
        <w:gridCol w:w="146"/>
        <w:gridCol w:w="146"/>
        <w:gridCol w:w="211"/>
        <w:gridCol w:w="676"/>
        <w:gridCol w:w="146"/>
        <w:gridCol w:w="146"/>
        <w:gridCol w:w="211"/>
        <w:gridCol w:w="781"/>
        <w:gridCol w:w="146"/>
        <w:gridCol w:w="146"/>
        <w:gridCol w:w="146"/>
        <w:gridCol w:w="466"/>
        <w:gridCol w:w="5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Six Months Ended June 30, 2023</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2" w:type="dxa"/>
            <w:gridSpan w:val="2"/>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builder and developer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construction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69,413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0.90</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12" w:type="dxa"/>
            <w:gridSpan w:val="2"/>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firstLine="200"/>
              <w:jc w:val="righ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pPr>
            <w:r>
              <w:rPr/>
              <w:t>—</w:t>
            </w:r>
          </w:p>
        </w:tc>
        <w:tc>
          <w:tcPr>
            <w:tcW w:w="516" w:type="dxa"/>
            <w:tcBorders/>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618,767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640,328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0.48</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 w:hAnsi="Times New Roman"/>
          <w:b w:val="false"/>
          <w:i/>
          <w:sz w:val="16"/>
        </w:rPr>
      </w:pPr>
      <w:r>
        <w:rPr>
          <w:rFonts w:ascii="Times New Roman" w:hAnsi="Times New Roman"/>
          <w:b w:val="false"/>
          <w:i/>
          <w:sz w:val="16"/>
        </w:rPr>
        <w:t>(a)</w:t>
      </w:r>
    </w:p>
    <w:p>
      <w:pPr>
        <w:pStyle w:val="TextBody"/>
        <w:bidi w:val="0"/>
        <w:spacing w:before="40" w:after="0"/>
        <w:jc w:val="left"/>
        <w:rPr>
          <w:rFonts w:ascii="Times New Roman;serif" w:hAnsi="Times New Roman;serif"/>
          <w:b w:val="false"/>
          <w:i/>
          <w:sz w:val="16"/>
        </w:rPr>
      </w:pPr>
      <w:r>
        <w:rPr>
          <w:rFonts w:ascii="Times New Roman;serif" w:hAnsi="Times New Roman;serif"/>
          <w:b w:val="false"/>
          <w:i/>
          <w:sz w:val="16"/>
        </w:rPr>
        <w:t>Predominantly payment deferrals combined with interest rate reductions.</w:t>
      </w:r>
    </w:p>
    <w:p>
      <w:pPr>
        <w:pStyle w:val="TextBody"/>
        <w:bidi w:val="0"/>
        <w:spacing w:before="40" w:after="0"/>
        <w:jc w:val="left"/>
        <w:rPr>
          <w:rFonts w:ascii="Times New Roman" w:hAnsi="Times New Roman"/>
          <w:b w:val="false"/>
          <w:i/>
          <w:sz w:val="16"/>
        </w:rPr>
      </w:pPr>
      <w:r>
        <w:rPr>
          <w:rFonts w:ascii="Times New Roman" w:hAnsi="Times New Roman"/>
          <w:b w:val="false"/>
          <w:i/>
          <w:sz w:val="16"/>
        </w:rPr>
        <w:t>(b)</w:t>
      </w:r>
    </w:p>
    <w:p>
      <w:pPr>
        <w:pStyle w:val="TextBody"/>
        <w:bidi w:val="0"/>
        <w:spacing w:before="40" w:after="283"/>
        <w:jc w:val="left"/>
        <w:rPr>
          <w:rFonts w:ascii="Times New Roman;serif" w:hAnsi="Times New Roman;serif"/>
          <w:sz w:val="23"/>
        </w:rPr>
      </w:pPr>
      <w:r>
        <w:rPr>
          <w:rFonts w:ascii="Times New Roman;serif" w:hAnsi="Times New Roman;serif"/>
          <w:b w:val="false"/>
          <w:i/>
          <w:sz w:val="16"/>
        </w:rPr>
        <w:t>Includes approximately $25</w:t>
      </w:r>
      <w:r>
        <w:rPr>
          <w:rFonts w:ascii="Times New Roman;serif" w:hAnsi="Times New Roman;serif"/>
          <w:sz w:val="23"/>
        </w:rPr>
        <w:t xml:space="preserve"> </w:t>
      </w:r>
      <w:r>
        <w:rPr>
          <w:rFonts w:ascii="Times New Roman;serif" w:hAnsi="Times New Roman;serif"/>
          <w:b w:val="false"/>
          <w:i/>
          <w:sz w:val="16"/>
        </w:rPr>
        <w:t>million and $48</w:t>
      </w:r>
      <w:r>
        <w:rPr>
          <w:rFonts w:ascii="Times New Roman;serif" w:hAnsi="Times New Roman;serif"/>
          <w:sz w:val="23"/>
        </w:rPr>
        <w:t xml:space="preserve"> </w:t>
      </w:r>
      <w:r>
        <w:rPr>
          <w:rFonts w:ascii="Times New Roman;serif" w:hAnsi="Times New Roman;serif"/>
          <w:b w:val="false"/>
          <w:i/>
          <w:sz w:val="16"/>
        </w:rPr>
        <w:t>million, respectively, of loans guaranteed by government-related entities (predominantly first lien residential mortgage loans) for the three-month and six-month periods ended June 30, 2023.</w:t>
      </w:r>
    </w:p>
    <w:p>
      <w:pPr>
        <w:pStyle w:val="TextBody"/>
        <w:bidi w:val="0"/>
        <w:spacing w:before="120" w:after="0"/>
        <w:jc w:val="both"/>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4. Loans and leases and the allowance for credit losses, continued</w:t>
      </w:r>
    </w:p>
    <w:p>
      <w:pPr>
        <w:pStyle w:val="TextBody"/>
        <w:bidi w:val="0"/>
        <w:spacing w:before="120" w:after="120"/>
        <w:jc w:val="both"/>
        <w:rPr>
          <w:rFonts w:ascii="Times New Roman" w:hAnsi="Times New Roman"/>
          <w:sz w:val="20"/>
        </w:rPr>
      </w:pPr>
      <w:r>
        <w:rPr>
          <w:rFonts w:ascii="Times New Roman;serif" w:hAnsi="Times New Roman;serif"/>
          <w:b w:val="false"/>
          <w:sz w:val="23"/>
        </w:rPr>
        <w:t>The financial effects of the modifications for the three-month and six-month periods ended June 30, 2023</w:t>
      </w:r>
      <w:r>
        <w:rPr>
          <w:rFonts w:ascii="Times New Roman" w:hAnsi="Times New Roman"/>
          <w:sz w:val="20"/>
        </w:rPr>
        <w:t xml:space="preserve"> </w:t>
      </w:r>
      <w:r>
        <w:rPr>
          <w:rFonts w:ascii="Times New Roman;serif" w:hAnsi="Times New Roman;serif"/>
          <w:b w:val="false"/>
          <w:sz w:val="23"/>
        </w:rPr>
        <w:t>include an increase in the weighted-average remaining term for commercial loans of 1.0</w:t>
      </w:r>
      <w:r>
        <w:rPr>
          <w:rFonts w:ascii="Times New Roman" w:hAnsi="Times New Roman"/>
          <w:sz w:val="20"/>
        </w:rPr>
        <w:t xml:space="preserve"> </w:t>
      </w:r>
      <w:r>
        <w:rPr>
          <w:rFonts w:ascii="Times New Roman;serif" w:hAnsi="Times New Roman;serif"/>
          <w:b w:val="false"/>
          <w:sz w:val="23"/>
        </w:rPr>
        <w:t>years and 1.1</w:t>
      </w:r>
      <w:r>
        <w:rPr>
          <w:rFonts w:ascii="Times New Roman" w:hAnsi="Times New Roman"/>
          <w:sz w:val="20"/>
        </w:rPr>
        <w:t xml:space="preserve"> </w:t>
      </w:r>
      <w:r>
        <w:rPr>
          <w:rFonts w:ascii="Times New Roman;serif" w:hAnsi="Times New Roman;serif"/>
          <w:b w:val="false"/>
          <w:sz w:val="23"/>
        </w:rPr>
        <w:t>years, respectively, for commercial real estate loans, inclusive of residential builder and development loans and other commercial construction loans, of 1.0</w:t>
      </w:r>
      <w:r>
        <w:rPr>
          <w:rFonts w:ascii="Times New Roman" w:hAnsi="Times New Roman"/>
          <w:sz w:val="20"/>
        </w:rPr>
        <w:t xml:space="preserve"> </w:t>
      </w:r>
      <w:r>
        <w:rPr>
          <w:rFonts w:ascii="Times New Roman;serif" w:hAnsi="Times New Roman;serif"/>
          <w:b w:val="false"/>
          <w:sz w:val="23"/>
        </w:rPr>
        <w:t>years and 1.1</w:t>
      </w:r>
      <w:r>
        <w:rPr>
          <w:rFonts w:ascii="Times New Roman" w:hAnsi="Times New Roman"/>
          <w:sz w:val="20"/>
        </w:rPr>
        <w:t xml:space="preserve"> </w:t>
      </w:r>
      <w:r>
        <w:rPr>
          <w:rFonts w:ascii="Times New Roman;serif" w:hAnsi="Times New Roman;serif"/>
          <w:b w:val="false"/>
          <w:sz w:val="23"/>
        </w:rPr>
        <w:t>years, respectively, and for residential real estate loans, of 8.6</w:t>
      </w:r>
      <w:r>
        <w:rPr>
          <w:rFonts w:ascii="Times New Roman" w:hAnsi="Times New Roman"/>
          <w:sz w:val="20"/>
        </w:rPr>
        <w:t xml:space="preserve"> </w:t>
      </w:r>
      <w:r>
        <w:rPr>
          <w:rFonts w:ascii="Times New Roman;serif" w:hAnsi="Times New Roman;serif"/>
          <w:b w:val="false"/>
          <w:sz w:val="23"/>
        </w:rPr>
        <w:t>years and 8.9</w:t>
      </w:r>
      <w:r>
        <w:rPr>
          <w:rFonts w:ascii="Times New Roman" w:hAnsi="Times New Roman"/>
          <w:sz w:val="20"/>
        </w:rPr>
        <w:t xml:space="preserve"> </w:t>
      </w:r>
      <w:r>
        <w:rPr>
          <w:rFonts w:ascii="Times New Roman;serif" w:hAnsi="Times New Roman;serif"/>
          <w:b w:val="false"/>
          <w:sz w:val="23"/>
        </w:rPr>
        <w:t>years, respectively.</w:t>
      </w:r>
    </w:p>
    <w:p>
      <w:pPr>
        <w:pStyle w:val="TextBody"/>
        <w:bidi w:val="0"/>
        <w:spacing w:before="120" w:after="120"/>
        <w:jc w:val="both"/>
        <w:rPr>
          <w:rFonts w:ascii="Times New Roman" w:hAnsi="Times New Roman"/>
          <w:sz w:val="20"/>
        </w:rPr>
      </w:pPr>
      <w:r>
        <w:rPr>
          <w:rFonts w:ascii="Times New Roman;serif" w:hAnsi="Times New Roman;serif"/>
          <w:b w:val="false"/>
          <w:sz w:val="23"/>
        </w:rPr>
        <w:t>Modified loans to borrowers experiencing financial difficulty are subject to the allowance for credit losses methodology described herein, including the use of models to inform credit loss estimates and, to the extent larger balance commercial and commercial real estate loans are in nonaccrual status, a loan-by-loan analysis of expected credit losses on those individual loans.</w:t>
      </w:r>
      <w:r>
        <w:rPr>
          <w:rFonts w:ascii="Times New Roman" w:hAnsi="Times New Roman"/>
          <w:sz w:val="20"/>
        </w:rPr>
        <w:t xml:space="preserve"> </w:t>
      </w:r>
      <w:r>
        <w:rPr>
          <w:rFonts w:ascii="Times New Roman;serif" w:hAnsi="Times New Roman;serif"/>
          <w:b w:val="false"/>
          <w:sz w:val="23"/>
        </w:rPr>
        <w:t>The following table summarizes the payment status, at June 30, 2023, of loans that were modified for the six-month period ended June 30, 2023:</w:t>
      </w:r>
    </w:p>
    <w:tbl>
      <w:tblPr>
        <w:tblW w:w="10205" w:type="dxa"/>
        <w:jc w:val="left"/>
        <w:tblInd w:w="0" w:type="dxa"/>
        <w:tblLayout w:type="fixed"/>
        <w:tblCellMar>
          <w:top w:w="28" w:type="dxa"/>
          <w:left w:w="28" w:type="dxa"/>
          <w:bottom w:w="28" w:type="dxa"/>
          <w:right w:w="28" w:type="dxa"/>
        </w:tblCellMar>
      </w:tblPr>
      <w:tblGrid>
        <w:gridCol w:w="3065"/>
        <w:gridCol w:w="146"/>
        <w:gridCol w:w="211"/>
        <w:gridCol w:w="781"/>
        <w:gridCol w:w="146"/>
        <w:gridCol w:w="146"/>
        <w:gridCol w:w="372"/>
        <w:gridCol w:w="1195"/>
        <w:gridCol w:w="146"/>
        <w:gridCol w:w="146"/>
        <w:gridCol w:w="586"/>
        <w:gridCol w:w="1587"/>
        <w:gridCol w:w="146"/>
        <w:gridCol w:w="146"/>
        <w:gridCol w:w="211"/>
        <w:gridCol w:w="781"/>
        <w:gridCol w:w="394"/>
      </w:tblGrid>
      <w:tr>
        <w:trPr/>
        <w:tc>
          <w:tcPr>
            <w:tcW w:w="3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0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Payment status at June 30, 2023 (amortized cost)</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30-89 Days Past Due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7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Past Due 90 Days or More</w:t>
            </w:r>
            <w:r>
              <w:rPr>
                <w:rFonts w:ascii="Times New Roman" w:hAnsi="Times New Roman"/>
                <w:sz w:val="16"/>
              </w:rPr>
              <w:t xml:space="preserve"> </w:t>
            </w:r>
            <w:r>
              <w:rPr>
                <w:rFonts w:ascii="Times New Roman;serif" w:hAnsi="Times New Roman;serif"/>
                <w:b/>
                <w:sz w:val="16"/>
              </w:rPr>
              <w:t>(a)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65"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Six Months Ended June 30, 2023</w:t>
            </w:r>
          </w:p>
        </w:tc>
        <w:tc>
          <w:tcPr>
            <w:tcW w:w="146" w:type="dxa"/>
            <w:tcBorders/>
            <w:vAlign w:val="center"/>
          </w:tcPr>
          <w:p>
            <w:pPr>
              <w:pStyle w:val="TableContents"/>
              <w:bidi w:val="0"/>
              <w:spacing w:before="0" w:after="0"/>
              <w:ind w:left="0" w:right="0" w:hanging="0"/>
              <w:jc w:val="center"/>
              <w:rPr/>
            </w:pPr>
            <w:r>
              <w:rPr/>
              <w:t> </w:t>
            </w:r>
          </w:p>
        </w:tc>
        <w:tc>
          <w:tcPr>
            <w:tcW w:w="660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4" w:type="dxa"/>
            <w:tcBorders/>
            <w:vAlign w:val="center"/>
          </w:tcPr>
          <w:p>
            <w:pPr>
              <w:pStyle w:val="TableContents"/>
              <w:bidi w:val="0"/>
              <w:spacing w:before="0" w:after="0"/>
              <w:ind w:left="0" w:right="0" w:hanging="0"/>
              <w:jc w:val="center"/>
              <w:rPr/>
            </w:pPr>
            <w:r>
              <w:rPr/>
              <w:t> </w:t>
            </w:r>
          </w:p>
        </w:tc>
      </w:tr>
      <w:tr>
        <w:trPr/>
        <w:tc>
          <w:tcPr>
            <w:tcW w:w="306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7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right"/>
              <w:rPr/>
            </w:pPr>
            <w:r>
              <w:rPr/>
              <w:t> </w:t>
            </w:r>
          </w:p>
        </w:tc>
      </w:tr>
      <w:tr>
        <w:trPr/>
        <w:tc>
          <w:tcPr>
            <w:tcW w:w="30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64,281</w:t>
            </w:r>
          </w:p>
        </w:tc>
        <w:tc>
          <w:tcPr>
            <w:tcW w:w="394" w:type="dxa"/>
            <w:tcBorders/>
            <w:vAlign w:val="center"/>
          </w:tcPr>
          <w:p>
            <w:pPr>
              <w:pStyle w:val="TableContents"/>
              <w:bidi w:val="0"/>
              <w:spacing w:before="0" w:after="0"/>
              <w:ind w:left="0" w:right="0" w:hanging="0"/>
              <w:jc w:val="left"/>
              <w:rPr/>
            </w:pPr>
            <w:r>
              <w:rPr/>
              <w:t> </w:t>
            </w:r>
          </w:p>
        </w:tc>
      </w:tr>
      <w:tr>
        <w:trPr/>
        <w:tc>
          <w:tcPr>
            <w:tcW w:w="30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7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179,575</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builder and developer</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90,708</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construction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223,094</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(b)</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72,497</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8,961</w:t>
            </w:r>
          </w:p>
        </w:tc>
        <w:tc>
          <w:tcPr>
            <w:tcW w:w="394" w:type="dxa"/>
            <w:tcBorders/>
            <w:vAlign w:val="center"/>
          </w:tcPr>
          <w:p>
            <w:pPr>
              <w:pStyle w:val="TableContents"/>
              <w:bidi w:val="0"/>
              <w:spacing w:before="0" w:after="0"/>
              <w:ind w:left="0" w:right="0" w:hanging="0"/>
              <w:jc w:val="left"/>
              <w:rPr/>
            </w:pPr>
            <w:r>
              <w:rPr/>
              <w:t> </w:t>
            </w:r>
          </w:p>
        </w:tc>
      </w:tr>
      <w:tr>
        <w:trPr/>
        <w:tc>
          <w:tcPr>
            <w:tcW w:w="30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5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217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firstLine="200"/>
              <w:jc w:val="righ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785</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 </w:t>
            </w:r>
          </w:p>
        </w:tc>
        <w:tc>
          <w:tcPr>
            <w:tcW w:w="119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vAlign w:val="center"/>
          </w:tcPr>
          <w:p>
            <w:pPr>
              <w:pStyle w:val="TableContents"/>
              <w:bidi w:val="0"/>
              <w:spacing w:before="0" w:after="0"/>
              <w:ind w:left="0" w:right="0" w:hanging="0"/>
              <w:jc w:val="left"/>
              <w:rPr/>
            </w:pPr>
            <w:r>
              <w:rPr/>
              <w:t> </w:t>
            </w:r>
          </w:p>
        </w:tc>
        <w:tc>
          <w:tcPr>
            <w:tcW w:w="1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394" w:type="dxa"/>
            <w:tcBorders/>
            <w:vAlign w:val="center"/>
          </w:tcPr>
          <w:p>
            <w:pPr>
              <w:pStyle w:val="TableContents"/>
              <w:bidi w:val="0"/>
              <w:spacing w:before="0" w:after="0"/>
              <w:ind w:left="0" w:right="0" w:firstLine="200"/>
              <w:jc w:val="left"/>
              <w:rPr/>
            </w:pPr>
            <w:r>
              <w:rPr/>
              <w:t> </w:t>
            </w:r>
          </w:p>
        </w:tc>
      </w:tr>
      <w:tr>
        <w:trPr/>
        <w:tc>
          <w:tcPr>
            <w:tcW w:w="306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613,229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640,328</w:t>
            </w:r>
          </w:p>
        </w:tc>
        <w:tc>
          <w:tcPr>
            <w:tcW w:w="3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40" w:after="0"/>
        <w:jc w:val="both"/>
        <w:rPr>
          <w:rFonts w:ascii="Times New Roman;serif" w:hAnsi="Times New Roman;serif"/>
          <w:b w:val="false"/>
          <w:i/>
          <w:sz w:val="16"/>
        </w:rPr>
      </w:pPr>
      <w:r>
        <w:rPr>
          <w:rFonts w:ascii="Times New Roman;serif" w:hAnsi="Times New Roman;serif"/>
          <w:b w:val="false"/>
          <w:i/>
          <w:sz w:val="16"/>
        </w:rPr>
        <w:t>(a) Predominantly loan modifications with payment deferrals.</w:t>
      </w:r>
    </w:p>
    <w:p>
      <w:pPr>
        <w:pStyle w:val="TextBody"/>
        <w:bidi w:val="0"/>
        <w:spacing w:before="0" w:after="0"/>
        <w:jc w:val="both"/>
        <w:rPr>
          <w:rFonts w:ascii="Times New Roman" w:hAnsi="Times New Roman"/>
          <w:sz w:val="20"/>
        </w:rPr>
      </w:pPr>
      <w:r>
        <w:rPr>
          <w:rFonts w:ascii="Times New Roman;serif" w:hAnsi="Times New Roman;serif"/>
          <w:b w:val="false"/>
          <w:i/>
          <w:sz w:val="16"/>
        </w:rPr>
        <w:t>(b) Includes loans guaranteed by government-related entities classified as 30-89 days past due of $11</w:t>
      </w:r>
      <w:r>
        <w:rPr>
          <w:rFonts w:ascii="Times New Roman" w:hAnsi="Times New Roman"/>
          <w:sz w:val="20"/>
        </w:rPr>
        <w:t xml:space="preserve"> </w:t>
      </w:r>
      <w:r>
        <w:rPr>
          <w:rFonts w:ascii="Times New Roman;serif" w:hAnsi="Times New Roman;serif"/>
          <w:b w:val="false"/>
          <w:i/>
          <w:sz w:val="16"/>
        </w:rPr>
        <w:t>million and as past due 90 days or more of $4</w:t>
      </w:r>
      <w:r>
        <w:rPr>
          <w:rFonts w:ascii="Times New Roman" w:hAnsi="Times New Roman"/>
          <w:sz w:val="20"/>
        </w:rPr>
        <w:t xml:space="preserve"> </w:t>
      </w:r>
      <w:r>
        <w:rPr>
          <w:rFonts w:ascii="Times New Roman;serif" w:hAnsi="Times New Roman;serif"/>
          <w:b w:val="false"/>
          <w:i/>
          <w:sz w:val="16"/>
        </w:rPr>
        <w:t>million.</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Prior to January 1, 2023, if the borrower was experiencing financial difficulty such that the Company did not expect to collect the contractual cash flows owed under the original loan agreement and a concession in loan terms was granted, the Company considered the loan modification as a troubled debt restructuring. The table that follows summarizes the Company’s loan modification activities that were considered troubled debt restructurings for the three-month and six-month periods ended June 30, 2022. The table is not comparative to the preceding table. The Company no longer designates modified loans as a troubled debt restructuring in conjunction with the adoption of amended accounting guidance on January 1, 2023.</w:t>
      </w:r>
    </w:p>
    <w:p>
      <w:pPr>
        <w:pStyle w:val="TextBody"/>
        <w:bidi w:val="0"/>
        <w:spacing w:before="240" w:after="0"/>
        <w:jc w:val="center"/>
        <w:rPr>
          <w:rFonts w:ascii="Times New Roman" w:hAnsi="Times New Roman"/>
          <w:sz w:val="20"/>
        </w:rPr>
      </w:pPr>
      <w:r>
        <w:rPr>
          <w:rFonts w:ascii="Times New Roman;serif" w:hAnsi="Times New Roman;serif"/>
          <w:b w:val="false"/>
          <w:sz w:val="20"/>
        </w:rPr>
        <w:t>- 24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4. Loans and leases and the allowance for credit losses, continued</w:t>
      </w:r>
    </w:p>
    <w:tbl>
      <w:tblPr>
        <w:tblW w:w="10205" w:type="dxa"/>
        <w:jc w:val="left"/>
        <w:tblInd w:w="0" w:type="dxa"/>
        <w:tblLayout w:type="fixed"/>
        <w:tblCellMar>
          <w:top w:w="28" w:type="dxa"/>
          <w:left w:w="28" w:type="dxa"/>
          <w:bottom w:w="28" w:type="dxa"/>
          <w:right w:w="28" w:type="dxa"/>
        </w:tblCellMar>
      </w:tblPr>
      <w:tblGrid>
        <w:gridCol w:w="1509"/>
        <w:gridCol w:w="146"/>
        <w:gridCol w:w="177"/>
        <w:gridCol w:w="514"/>
        <w:gridCol w:w="146"/>
        <w:gridCol w:w="146"/>
        <w:gridCol w:w="274"/>
        <w:gridCol w:w="882"/>
        <w:gridCol w:w="146"/>
        <w:gridCol w:w="146"/>
        <w:gridCol w:w="222"/>
        <w:gridCol w:w="711"/>
        <w:gridCol w:w="146"/>
        <w:gridCol w:w="146"/>
        <w:gridCol w:w="350"/>
        <w:gridCol w:w="575"/>
        <w:gridCol w:w="146"/>
        <w:gridCol w:w="146"/>
        <w:gridCol w:w="211"/>
        <w:gridCol w:w="421"/>
        <w:gridCol w:w="146"/>
        <w:gridCol w:w="146"/>
        <w:gridCol w:w="280"/>
        <w:gridCol w:w="899"/>
        <w:gridCol w:w="146"/>
        <w:gridCol w:w="146"/>
        <w:gridCol w:w="211"/>
        <w:gridCol w:w="676"/>
        <w:gridCol w:w="395"/>
      </w:tblGrid>
      <w:tr>
        <w:trPr/>
        <w:tc>
          <w:tcPr>
            <w:tcW w:w="1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5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24"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Post-modification (a)</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w:t>
              <w:br/>
              <w:t>modification Recorded 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Deferral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 Rate Reduction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7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Combination of Concession Types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55" w:type="dxa"/>
            <w:gridSpan w:val="2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95" w:type="dxa"/>
            <w:tcBorders/>
            <w:vAlign w:val="center"/>
          </w:tcPr>
          <w:p>
            <w:pPr>
              <w:pStyle w:val="TableContents"/>
              <w:bidi w:val="0"/>
              <w:spacing w:before="0" w:after="0"/>
              <w:ind w:left="0" w:right="0" w:hanging="0"/>
              <w:jc w:val="center"/>
              <w:rPr/>
            </w:pPr>
            <w:r>
              <w:rPr/>
              <w:t> </w:t>
            </w:r>
          </w:p>
        </w:tc>
      </w:tr>
      <w:tr>
        <w:trPr/>
        <w:tc>
          <w:tcPr>
            <w:tcW w:w="15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1509"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Three Months Ended June 30, 2022</w:t>
            </w:r>
          </w:p>
        </w:tc>
        <w:tc>
          <w:tcPr>
            <w:tcW w:w="146" w:type="dxa"/>
            <w:tcBorders/>
            <w:vAlign w:val="center"/>
          </w:tcPr>
          <w:p>
            <w:pPr>
              <w:pStyle w:val="TableContents"/>
              <w:bidi w:val="0"/>
              <w:spacing w:before="0" w:after="0"/>
              <w:ind w:left="0" w:right="0" w:hanging="0"/>
              <w:jc w:val="righ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15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7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r>
      <w:tr>
        <w:trPr/>
        <w:tc>
          <w:tcPr>
            <w:tcW w:w="15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38,186</w:t>
            </w:r>
          </w:p>
        </w:tc>
        <w:tc>
          <w:tcPr>
            <w:tcW w:w="395" w:type="dxa"/>
            <w:tcBorders/>
            <w:vAlign w:val="center"/>
          </w:tcPr>
          <w:p>
            <w:pPr>
              <w:pStyle w:val="TableContents"/>
              <w:bidi w:val="0"/>
              <w:spacing w:before="0" w:after="0"/>
              <w:ind w:left="0" w:right="0" w:hanging="0"/>
              <w:jc w:val="left"/>
              <w:rPr/>
            </w:pPr>
            <w:r>
              <w:rPr/>
              <w:t> </w:t>
            </w:r>
          </w:p>
        </w:tc>
      </w:tr>
      <w:tr>
        <w:trPr/>
        <w:tc>
          <w:tcPr>
            <w:tcW w:w="15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2,784</w:t>
            </w:r>
          </w:p>
        </w:tc>
        <w:tc>
          <w:tcPr>
            <w:tcW w:w="395" w:type="dxa"/>
            <w:tcBorders/>
            <w:vAlign w:val="center"/>
          </w:tcPr>
          <w:p>
            <w:pPr>
              <w:pStyle w:val="TableContents"/>
              <w:bidi w:val="0"/>
              <w:spacing w:before="0" w:after="0"/>
              <w:ind w:left="0" w:right="0" w:firstLine="200"/>
              <w:jc w:val="lef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19,322</w:t>
            </w:r>
          </w:p>
        </w:tc>
        <w:tc>
          <w:tcPr>
            <w:tcW w:w="395" w:type="dxa"/>
            <w:tcBorders/>
            <w:vAlign w:val="center"/>
          </w:tcPr>
          <w:p>
            <w:pPr>
              <w:pStyle w:val="TableContents"/>
              <w:bidi w:val="0"/>
              <w:spacing w:before="0" w:after="0"/>
              <w:ind w:left="0" w:right="0" w:firstLine="200"/>
              <w:jc w:val="lef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95" w:type="dxa"/>
            <w:tcBorders/>
            <w:vAlign w:val="center"/>
          </w:tcPr>
          <w:p>
            <w:pPr>
              <w:pStyle w:val="TableContents"/>
              <w:bidi w:val="0"/>
              <w:spacing w:before="0" w:after="0"/>
              <w:ind w:left="0" w:right="0" w:hanging="0"/>
              <w:jc w:val="left"/>
              <w:rPr/>
            </w:pPr>
            <w:r>
              <w:rPr/>
              <w:t> </w:t>
            </w:r>
          </w:p>
        </w:tc>
      </w:tr>
      <w:tr>
        <w:trPr/>
        <w:tc>
          <w:tcPr>
            <w:tcW w:w="15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33"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7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2,690</w:t>
            </w:r>
          </w:p>
        </w:tc>
        <w:tc>
          <w:tcPr>
            <w:tcW w:w="395" w:type="dxa"/>
            <w:tcBorders/>
            <w:vAlign w:val="center"/>
          </w:tcPr>
          <w:p>
            <w:pPr>
              <w:pStyle w:val="TableContents"/>
              <w:bidi w:val="0"/>
              <w:spacing w:before="0" w:after="0"/>
              <w:ind w:left="0" w:right="0" w:firstLine="200"/>
              <w:jc w:val="lef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6,204</w:t>
            </w:r>
          </w:p>
        </w:tc>
        <w:tc>
          <w:tcPr>
            <w:tcW w:w="395" w:type="dxa"/>
            <w:tcBorders/>
            <w:vAlign w:val="center"/>
          </w:tcPr>
          <w:p>
            <w:pPr>
              <w:pStyle w:val="TableContents"/>
              <w:bidi w:val="0"/>
              <w:spacing w:before="0" w:after="0"/>
              <w:ind w:left="0" w:right="0" w:firstLine="200"/>
              <w:jc w:val="lef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left"/>
              <w:rPr/>
            </w:pPr>
            <w:r>
              <w:rPr/>
              <w:t> </w:t>
            </w:r>
          </w:p>
        </w:tc>
        <w:tc>
          <w:tcPr>
            <w:tcW w:w="177"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9,771</w:t>
            </w:r>
          </w:p>
        </w:tc>
        <w:tc>
          <w:tcPr>
            <w:tcW w:w="395" w:type="dxa"/>
            <w:tcBorders/>
            <w:vAlign w:val="center"/>
          </w:tcPr>
          <w:p>
            <w:pPr>
              <w:pStyle w:val="TableContents"/>
              <w:bidi w:val="0"/>
              <w:spacing w:before="0" w:after="0"/>
              <w:ind w:left="0" w:right="0" w:firstLine="200"/>
              <w:jc w:val="left"/>
              <w:rPr/>
            </w:pPr>
            <w:r>
              <w:rPr/>
              <w:t> </w:t>
            </w:r>
          </w:p>
        </w:tc>
      </w:tr>
      <w:tr>
        <w:trPr/>
        <w:tc>
          <w:tcPr>
            <w:tcW w:w="150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50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right"/>
              <w:rPr/>
            </w:pPr>
            <w:r>
              <w:rPr/>
              <w:t> </w:t>
            </w:r>
          </w:p>
        </w:tc>
        <w:tc>
          <w:tcPr>
            <w:tcW w:w="1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77,353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79,422</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997"/>
        <w:gridCol w:w="146"/>
        <w:gridCol w:w="146"/>
        <w:gridCol w:w="571"/>
        <w:gridCol w:w="146"/>
        <w:gridCol w:w="146"/>
        <w:gridCol w:w="211"/>
        <w:gridCol w:w="781"/>
        <w:gridCol w:w="146"/>
        <w:gridCol w:w="146"/>
        <w:gridCol w:w="211"/>
        <w:gridCol w:w="781"/>
        <w:gridCol w:w="146"/>
        <w:gridCol w:w="146"/>
        <w:gridCol w:w="211"/>
        <w:gridCol w:w="346"/>
        <w:gridCol w:w="146"/>
        <w:gridCol w:w="146"/>
        <w:gridCol w:w="211"/>
        <w:gridCol w:w="571"/>
        <w:gridCol w:w="146"/>
        <w:gridCol w:w="146"/>
        <w:gridCol w:w="211"/>
        <w:gridCol w:w="676"/>
        <w:gridCol w:w="146"/>
        <w:gridCol w:w="146"/>
        <w:gridCol w:w="211"/>
        <w:gridCol w:w="781"/>
        <w:gridCol w:w="391"/>
      </w:tblGrid>
      <w:tr>
        <w:trPr/>
        <w:tc>
          <w:tcPr>
            <w:tcW w:w="1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Six Months Ended June 30, 2022</w:t>
            </w:r>
          </w:p>
        </w:tc>
        <w:tc>
          <w:tcPr>
            <w:tcW w:w="146" w:type="dxa"/>
            <w:tcBorders/>
            <w:vAlign w:val="center"/>
          </w:tcPr>
          <w:p>
            <w:pPr>
              <w:pStyle w:val="TableContents"/>
              <w:bidi w:val="0"/>
              <w:spacing w:before="0" w:after="0"/>
              <w:ind w:left="0" w:right="0" w:hanging="0"/>
              <w:jc w:val="left"/>
              <w:rPr/>
            </w:pPr>
            <w:r>
              <w:rPr/>
              <w:t> </w:t>
            </w:r>
          </w:p>
        </w:tc>
        <w:tc>
          <w:tcPr>
            <w:tcW w:w="7671" w:type="dxa"/>
            <w:gridSpan w:val="26"/>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199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19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47,940</w:t>
            </w:r>
          </w:p>
        </w:tc>
        <w:tc>
          <w:tcPr>
            <w:tcW w:w="391" w:type="dxa"/>
            <w:tcBorders/>
            <w:vAlign w:val="center"/>
          </w:tcPr>
          <w:p>
            <w:pPr>
              <w:pStyle w:val="TableContents"/>
              <w:bidi w:val="0"/>
              <w:spacing w:before="0" w:after="0"/>
              <w:ind w:left="0" w:right="0" w:hanging="0"/>
              <w:jc w:val="left"/>
              <w:rPr/>
            </w:pPr>
            <w:r>
              <w:rPr/>
              <w:t> </w:t>
            </w:r>
          </w:p>
        </w:tc>
      </w:tr>
      <w:tr>
        <w:trPr/>
        <w:tc>
          <w:tcPr>
            <w:tcW w:w="19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10,116</w:t>
            </w:r>
          </w:p>
        </w:tc>
        <w:tc>
          <w:tcPr>
            <w:tcW w:w="391" w:type="dxa"/>
            <w:tcBorders/>
            <w:vAlign w:val="center"/>
          </w:tcPr>
          <w:p>
            <w:pPr>
              <w:pStyle w:val="TableContents"/>
              <w:bidi w:val="0"/>
              <w:spacing w:before="0" w:after="0"/>
              <w:ind w:left="0" w:right="0" w:firstLine="200"/>
              <w:jc w:val="lef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44,726</w:t>
            </w:r>
          </w:p>
        </w:tc>
        <w:tc>
          <w:tcPr>
            <w:tcW w:w="391" w:type="dxa"/>
            <w:tcBorders/>
            <w:vAlign w:val="center"/>
          </w:tcPr>
          <w:p>
            <w:pPr>
              <w:pStyle w:val="TableContents"/>
              <w:bidi w:val="0"/>
              <w:spacing w:before="0" w:after="0"/>
              <w:ind w:left="0" w:right="0" w:firstLine="200"/>
              <w:jc w:val="lef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 limited documentation</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1,087</w:t>
            </w:r>
          </w:p>
        </w:tc>
        <w:tc>
          <w:tcPr>
            <w:tcW w:w="391" w:type="dxa"/>
            <w:tcBorders/>
            <w:vAlign w:val="center"/>
          </w:tcPr>
          <w:p>
            <w:pPr>
              <w:pStyle w:val="TableContents"/>
              <w:bidi w:val="0"/>
              <w:spacing w:before="0" w:after="0"/>
              <w:ind w:left="0" w:right="0" w:hanging="0"/>
              <w:jc w:val="left"/>
              <w:rPr/>
            </w:pPr>
            <w:r>
              <w:rPr/>
              <w:t> </w:t>
            </w:r>
          </w:p>
        </w:tc>
      </w:tr>
      <w:tr>
        <w:trPr/>
        <w:tc>
          <w:tcPr>
            <w:tcW w:w="19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righ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4,850</w:t>
            </w:r>
          </w:p>
        </w:tc>
        <w:tc>
          <w:tcPr>
            <w:tcW w:w="391" w:type="dxa"/>
            <w:tcBorders/>
            <w:vAlign w:val="center"/>
          </w:tcPr>
          <w:p>
            <w:pPr>
              <w:pStyle w:val="TableContents"/>
              <w:bidi w:val="0"/>
              <w:spacing w:before="0" w:after="0"/>
              <w:ind w:left="0" w:right="0" w:firstLine="200"/>
              <w:jc w:val="lef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12,194</w:t>
            </w:r>
          </w:p>
        </w:tc>
        <w:tc>
          <w:tcPr>
            <w:tcW w:w="391" w:type="dxa"/>
            <w:tcBorders/>
            <w:vAlign w:val="center"/>
          </w:tcPr>
          <w:p>
            <w:pPr>
              <w:pStyle w:val="TableContents"/>
              <w:bidi w:val="0"/>
              <w:spacing w:before="0" w:after="0"/>
              <w:ind w:left="0" w:right="0" w:firstLine="200"/>
              <w:jc w:val="lef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20,004</w:t>
            </w:r>
          </w:p>
        </w:tc>
        <w:tc>
          <w:tcPr>
            <w:tcW w:w="391" w:type="dxa"/>
            <w:tcBorders/>
            <w:vAlign w:val="center"/>
          </w:tcPr>
          <w:p>
            <w:pPr>
              <w:pStyle w:val="TableContents"/>
              <w:bidi w:val="0"/>
              <w:spacing w:before="0" w:after="0"/>
              <w:ind w:left="0" w:right="0" w:firstLine="200"/>
              <w:jc w:val="left"/>
              <w:rPr/>
            </w:pPr>
            <w:r>
              <w:rPr/>
              <w:t> </w:t>
            </w:r>
          </w:p>
        </w:tc>
      </w:tr>
      <w:tr>
        <w:trPr/>
        <w:tc>
          <w:tcPr>
            <w:tcW w:w="199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center"/>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112,467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141,716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_____________________________________________</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jc w:val="both"/>
        <w:rPr>
          <w:rFonts w:ascii="Times New Roman;serif" w:hAnsi="Times New Roman;serif"/>
          <w:b w:val="false"/>
          <w:i/>
          <w:sz w:val="16"/>
        </w:rPr>
      </w:pPr>
      <w:r>
        <w:rPr>
          <w:rFonts w:ascii="Times New Roman;serif" w:hAnsi="Times New Roman;serif"/>
          <w:b w:val="false"/>
          <w:i/>
          <w:sz w:val="16"/>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pStyle w:val="TextBody"/>
        <w:bidi w:val="0"/>
        <w:spacing w:before="120" w:after="0"/>
        <w:jc w:val="both"/>
        <w:rPr>
          <w:rFonts w:ascii="Times New Roman" w:hAnsi="Times New Roman"/>
          <w:sz w:val="20"/>
        </w:rPr>
      </w:pPr>
      <w:r>
        <w:rPr>
          <w:rFonts w:ascii="Times New Roman;serif" w:hAnsi="Times New Roman;serif"/>
          <w:b w:val="false"/>
          <w:sz w:val="23"/>
        </w:rPr>
        <w:t>The amount of foreclosed property held by the Company, predominantly consisting of residential real estate, was $43</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$41</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at June 30, 2023 and December 31, 2022, respectively. There were $173</w:t>
      </w:r>
      <w:r>
        <w:rPr>
          <w:rFonts w:ascii="Times New Roman" w:hAnsi="Times New Roman"/>
          <w:sz w:val="20"/>
        </w:rPr>
        <w:t xml:space="preserve"> </w:t>
      </w:r>
      <w:r>
        <w:rPr>
          <w:rFonts w:ascii="Times New Roman;serif" w:hAnsi="Times New Roman;serif"/>
          <w:b w:val="false"/>
          <w:sz w:val="23"/>
        </w:rPr>
        <w:t>million and $201</w:t>
      </w:r>
      <w:r>
        <w:rPr>
          <w:rFonts w:ascii="Times New Roman" w:hAnsi="Times New Roman"/>
          <w:sz w:val="20"/>
        </w:rPr>
        <w:t xml:space="preserve"> </w:t>
      </w:r>
      <w:r>
        <w:rPr>
          <w:rFonts w:ascii="Times New Roman;serif" w:hAnsi="Times New Roman;serif"/>
          <w:b w:val="false"/>
          <w:sz w:val="23"/>
        </w:rPr>
        <w:t>million at June 30, 2023 and December 31, 2022, respectively, of loans secured by residential real estate that were in the process of foreclosure. Of all loans in the process of foreclosure at June 30, 2023, approximately 36% were government guaranteed.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pledged certain loans to secure outstanding borrowings and available lines of credit. At June 30, 2023, the Company pledged approximately $13.1</w:t>
      </w:r>
      <w:r>
        <w:rPr>
          <w:rFonts w:ascii="Times New Roman" w:hAnsi="Times New Roman"/>
          <w:sz w:val="20"/>
        </w:rPr>
        <w:t xml:space="preserve"> </w:t>
      </w:r>
      <w:r>
        <w:rPr>
          <w:rFonts w:ascii="Times New Roman;serif" w:hAnsi="Times New Roman;serif"/>
          <w:b w:val="false"/>
          <w:sz w:val="23"/>
        </w:rPr>
        <w:t>billion of commercial loans and leases, $16.9</w:t>
      </w:r>
      <w:r>
        <w:rPr>
          <w:rFonts w:ascii="Times New Roman" w:hAnsi="Times New Roman"/>
          <w:sz w:val="20"/>
        </w:rPr>
        <w:t xml:space="preserve"> </w:t>
      </w:r>
      <w:r>
        <w:rPr>
          <w:rFonts w:ascii="Times New Roman;serif" w:hAnsi="Times New Roman;serif"/>
          <w:b w:val="false"/>
          <w:sz w:val="23"/>
        </w:rPr>
        <w:t>billion of commercial real estate loans, $19.3</w:t>
      </w:r>
      <w:r>
        <w:rPr>
          <w:rFonts w:ascii="Times New Roman" w:hAnsi="Times New Roman"/>
          <w:sz w:val="20"/>
        </w:rPr>
        <w:t xml:space="preserve"> </w:t>
      </w:r>
      <w:r>
        <w:rPr>
          <w:rFonts w:ascii="Times New Roman;serif" w:hAnsi="Times New Roman;serif"/>
          <w:b w:val="false"/>
          <w:sz w:val="23"/>
        </w:rPr>
        <w:t>billion of one-to-four family residential real estate loans, $2.3</w:t>
      </w:r>
      <w:r>
        <w:rPr>
          <w:rFonts w:ascii="Times New Roman" w:hAnsi="Times New Roman"/>
          <w:sz w:val="20"/>
        </w:rPr>
        <w:t xml:space="preserve"> </w:t>
      </w:r>
      <w:r>
        <w:rPr>
          <w:rFonts w:ascii="Times New Roman;serif" w:hAnsi="Times New Roman;serif"/>
          <w:b w:val="false"/>
          <w:sz w:val="23"/>
        </w:rPr>
        <w:t>billion of home equity loans and lines of credit and $10.9</w:t>
      </w:r>
      <w:r>
        <w:rPr>
          <w:rFonts w:ascii="Times New Roman" w:hAnsi="Times New Roman"/>
          <w:sz w:val="20"/>
        </w:rPr>
        <w:t xml:space="preserve"> </w:t>
      </w:r>
      <w:r>
        <w:rPr>
          <w:rFonts w:ascii="Times New Roman;serif" w:hAnsi="Times New Roman;serif"/>
          <w:b w:val="false"/>
          <w:sz w:val="23"/>
        </w:rPr>
        <w:t>billion of other consumer loans. At December 31, 2022, the Company pledged approximately $10.5</w:t>
      </w:r>
      <w:r>
        <w:rPr>
          <w:rFonts w:ascii="Times New Roman" w:hAnsi="Times New Roman"/>
          <w:sz w:val="20"/>
        </w:rPr>
        <w:t xml:space="preserve"> </w:t>
      </w:r>
      <w:r>
        <w:rPr>
          <w:rFonts w:ascii="Times New Roman;serif" w:hAnsi="Times New Roman;serif"/>
          <w:b w:val="false"/>
          <w:sz w:val="23"/>
        </w:rPr>
        <w:t>billion of commercial loans and leases, $16.3</w:t>
      </w:r>
      <w:r>
        <w:rPr>
          <w:rFonts w:ascii="Times New Roman" w:hAnsi="Times New Roman"/>
          <w:sz w:val="20"/>
        </w:rPr>
        <w:t xml:space="preserve"> </w:t>
      </w:r>
      <w:r>
        <w:rPr>
          <w:rFonts w:ascii="Times New Roman;serif" w:hAnsi="Times New Roman;serif"/>
          <w:b w:val="false"/>
          <w:sz w:val="23"/>
        </w:rPr>
        <w:t>billion of commercial real estate loans, $19.5</w:t>
      </w:r>
      <w:r>
        <w:rPr>
          <w:rFonts w:ascii="Times New Roman" w:hAnsi="Times New Roman"/>
          <w:sz w:val="20"/>
        </w:rPr>
        <w:t xml:space="preserve"> </w:t>
      </w:r>
      <w:r>
        <w:rPr>
          <w:rFonts w:ascii="Times New Roman;serif" w:hAnsi="Times New Roman;serif"/>
          <w:b w:val="false"/>
          <w:sz w:val="23"/>
        </w:rPr>
        <w:t>billion of one-to-four family residential real estate loans, $2.4</w:t>
      </w:r>
      <w:r>
        <w:rPr>
          <w:rFonts w:ascii="Times New Roman" w:hAnsi="Times New Roman"/>
          <w:sz w:val="20"/>
        </w:rPr>
        <w:t xml:space="preserve"> </w:t>
      </w:r>
      <w:r>
        <w:rPr>
          <w:rFonts w:ascii="Times New Roman;serif" w:hAnsi="Times New Roman;serif"/>
          <w:b w:val="false"/>
          <w:sz w:val="23"/>
        </w:rPr>
        <w:t>billion of homes equity loans and lines of credit and $10.7</w:t>
      </w:r>
      <w:r>
        <w:rPr>
          <w:rFonts w:ascii="Times New Roman" w:hAnsi="Times New Roman"/>
          <w:sz w:val="20"/>
        </w:rPr>
        <w:t xml:space="preserve"> </w:t>
      </w:r>
      <w:r>
        <w:rPr>
          <w:rFonts w:ascii="Times New Roman;serif" w:hAnsi="Times New Roman;serif"/>
          <w:b w:val="false"/>
          <w:sz w:val="23"/>
        </w:rPr>
        <w:t>billion of other consumer loans.</w:t>
      </w:r>
    </w:p>
    <w:p>
      <w:pPr>
        <w:pStyle w:val="TextBody"/>
        <w:bidi w:val="0"/>
        <w:spacing w:before="240" w:after="0"/>
        <w:jc w:val="center"/>
        <w:rPr>
          <w:rFonts w:ascii="Times New Roman" w:hAnsi="Times New Roman"/>
          <w:sz w:val="20"/>
        </w:rPr>
      </w:pPr>
      <w:r>
        <w:rPr>
          <w:rFonts w:ascii="Times New Roman;serif" w:hAnsi="Times New Roman;serif"/>
          <w:b w:val="false"/>
          <w:sz w:val="20"/>
        </w:rPr>
        <w:t>- 25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5. Borrowings</w:t>
      </w:r>
    </w:p>
    <w:p>
      <w:pPr>
        <w:pStyle w:val="TextBody"/>
        <w:bidi w:val="0"/>
        <w:spacing w:before="120" w:after="0"/>
        <w:jc w:val="both"/>
        <w:rPr>
          <w:rFonts w:ascii="Times New Roman" w:hAnsi="Times New Roman"/>
          <w:sz w:val="20"/>
        </w:rPr>
      </w:pPr>
      <w:r>
        <w:rPr>
          <w:rFonts w:ascii="Times New Roman;serif" w:hAnsi="Times New Roman;serif"/>
          <w:b w:val="false"/>
          <w:sz w:val="23"/>
        </w:rPr>
        <w:t>M&amp;T had $538</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of fixed and variable rate junior subordinated deferrable interest debentures ("Junior Subordinated Debentures") outstanding at June 30, 2023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pStyle w:val="TextBody"/>
        <w:bidi w:val="0"/>
        <w:spacing w:before="120" w:after="0"/>
        <w:jc w:val="both"/>
        <w:rPr>
          <w:rFonts w:ascii="Times New Roman" w:hAnsi="Times New Roman"/>
          <w:sz w:val="20"/>
        </w:rPr>
      </w:pPr>
      <w:r>
        <w:rPr>
          <w:rFonts w:ascii="Times New Roman;serif" w:hAnsi="Times New Roman;serif"/>
          <w:b w:val="false"/>
          <w:sz w:val="23"/>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w:t>
      </w:r>
      <w:r>
        <w:rPr>
          <w:rFonts w:ascii="Times New Roman" w:hAnsi="Times New Roman"/>
          <w:sz w:val="20"/>
        </w:rPr>
        <w:t xml:space="preserve"> </w:t>
      </w:r>
      <w:r>
        <w:rPr>
          <w:rFonts w:ascii="Times New Roman;serif" w:hAnsi="Times New Roman;serif"/>
          <w:b w:val="false"/>
          <w:sz w:val="23"/>
        </w:rPr>
        <w:t>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pStyle w:val="TextBody"/>
        <w:bidi w:val="0"/>
        <w:spacing w:before="120" w:after="0"/>
        <w:jc w:val="both"/>
        <w:rPr>
          <w:rFonts w:ascii="Times New Roman" w:hAnsi="Times New Roman"/>
          <w:sz w:val="20"/>
        </w:rPr>
      </w:pPr>
      <w:r>
        <w:rPr>
          <w:rFonts w:ascii="Times New Roman;serif" w:hAnsi="Times New Roman;serif"/>
          <w:b w:val="false"/>
          <w:sz w:val="23"/>
        </w:rPr>
        <w:t>In January 2023, M&amp;T issued $1.0</w:t>
      </w:r>
      <w:r>
        <w:rPr>
          <w:rFonts w:ascii="Times New Roman" w:hAnsi="Times New Roman"/>
          <w:sz w:val="20"/>
        </w:rPr>
        <w:t xml:space="preserve"> </w:t>
      </w:r>
      <w:r>
        <w:rPr>
          <w:rFonts w:ascii="Times New Roman;serif" w:hAnsi="Times New Roman;serif"/>
          <w:b w:val="false"/>
          <w:sz w:val="23"/>
        </w:rPr>
        <w:t>billion of senior notes that mature in January 2034</w:t>
      </w:r>
      <w:r>
        <w:rPr>
          <w:rFonts w:ascii="Times New Roman" w:hAnsi="Times New Roman"/>
          <w:sz w:val="20"/>
        </w:rPr>
        <w:t xml:space="preserve"> </w:t>
      </w:r>
      <w:r>
        <w:rPr>
          <w:rFonts w:ascii="Times New Roman;serif" w:hAnsi="Times New Roman;serif"/>
          <w:b w:val="false"/>
          <w:sz w:val="23"/>
        </w:rPr>
        <w:t>and pay a 5.053% fixed rate semi-annually until January 2033 after which the Secured Overnight Financing Rate ("SOFR")</w:t>
      </w:r>
      <w:r>
        <w:rPr>
          <w:rFonts w:ascii="Times New Roman" w:hAnsi="Times New Roman"/>
          <w:sz w:val="20"/>
        </w:rPr>
        <w:t xml:space="preserve"> </w:t>
      </w:r>
      <w:r>
        <w:rPr>
          <w:rFonts w:ascii="Times New Roman;serif" w:hAnsi="Times New Roman;serif"/>
          <w:b w:val="false"/>
          <w:sz w:val="23"/>
        </w:rPr>
        <w:t>plus 1.85% will be paid quarterly until maturity. Additionally, in January 2023 M&amp;T Bank issued $1.3</w:t>
      </w:r>
      <w:r>
        <w:rPr>
          <w:rFonts w:ascii="Times New Roman" w:hAnsi="Times New Roman"/>
          <w:sz w:val="20"/>
        </w:rPr>
        <w:t xml:space="preserve"> </w:t>
      </w:r>
      <w:r>
        <w:rPr>
          <w:rFonts w:ascii="Times New Roman;serif" w:hAnsi="Times New Roman;serif"/>
          <w:b w:val="false"/>
          <w:sz w:val="23"/>
        </w:rPr>
        <w:t>billion of senior notes that mature in January 2026</w:t>
      </w:r>
      <w:r>
        <w:rPr>
          <w:rFonts w:ascii="Times New Roman" w:hAnsi="Times New Roman"/>
          <w:sz w:val="20"/>
        </w:rPr>
        <w:t xml:space="preserve"> </w:t>
      </w:r>
      <w:r>
        <w:rPr>
          <w:rFonts w:ascii="Times New Roman;serif" w:hAnsi="Times New Roman;serif"/>
          <w:b w:val="false"/>
          <w:sz w:val="23"/>
        </w:rPr>
        <w:t>and pay a fixed rate of 4.65% semi-annually until maturity and $1.2</w:t>
      </w:r>
      <w:r>
        <w:rPr>
          <w:rFonts w:ascii="Times New Roman" w:hAnsi="Times New Roman"/>
          <w:sz w:val="20"/>
        </w:rPr>
        <w:t xml:space="preserve"> </w:t>
      </w:r>
      <w:r>
        <w:rPr>
          <w:rFonts w:ascii="Times New Roman;serif" w:hAnsi="Times New Roman;serif"/>
          <w:b w:val="false"/>
          <w:sz w:val="23"/>
        </w:rPr>
        <w:t>billion of senior notes that mature in January 2028</w:t>
      </w:r>
      <w:r>
        <w:rPr>
          <w:rFonts w:ascii="Times New Roman" w:hAnsi="Times New Roman"/>
          <w:sz w:val="20"/>
        </w:rPr>
        <w:t xml:space="preserve"> </w:t>
      </w:r>
      <w:r>
        <w:rPr>
          <w:rFonts w:ascii="Times New Roman;serif" w:hAnsi="Times New Roman;serif"/>
          <w:b w:val="false"/>
          <w:sz w:val="23"/>
        </w:rPr>
        <w:t>and pay a fixed rate of 4.70% semi-annually until maturity.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At June 30, 2023, M&amp;T Bank had borrowing facilities available with the Federal Home Loan Bank of New York whereby M&amp;T Bank could borrow an additional $14.9</w:t>
      </w:r>
      <w:r>
        <w:rPr>
          <w:rFonts w:ascii="Times New Roman" w:hAnsi="Times New Roman"/>
          <w:sz w:val="20"/>
        </w:rPr>
        <w:t xml:space="preserve"> </w:t>
      </w:r>
      <w:r>
        <w:rPr>
          <w:rFonts w:ascii="Times New Roman;serif" w:hAnsi="Times New Roman;serif"/>
          <w:b w:val="false"/>
          <w:sz w:val="23"/>
        </w:rPr>
        <w:t>billion. M&amp;T Bank also had an available line of credit with the Federal Reserve Bank of New York totaling approximately $16.1</w:t>
      </w:r>
      <w:r>
        <w:rPr>
          <w:rFonts w:ascii="Times New Roman" w:hAnsi="Times New Roman"/>
          <w:sz w:val="20"/>
        </w:rPr>
        <w:t xml:space="preserve"> </w:t>
      </w:r>
      <w:r>
        <w:rPr>
          <w:rFonts w:ascii="Times New Roman;serif" w:hAnsi="Times New Roman;serif"/>
          <w:b w:val="false"/>
          <w:sz w:val="23"/>
        </w:rPr>
        <w:t>billion at June 30, 2023. M&amp;T Bank is required to pledge loans and investment securities as collateral for these borrowing facilities and could increase the availability under such facilities by pledging additional assets.</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6. Revenue from contracts with customers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generally charges customer accounts or otherwise bills customers upon completion of its services. Typically, the Company’s contracts with customers have a duration of one year</w:t>
      </w:r>
      <w:r>
        <w:rPr>
          <w:rFonts w:ascii="Times New Roman" w:hAnsi="Times New Roman"/>
          <w:sz w:val="20"/>
        </w:rPr>
        <w:t xml:space="preserve"> </w:t>
      </w:r>
      <w:r>
        <w:rPr>
          <w:rFonts w:ascii="Times New Roman;serif" w:hAnsi="Times New Roman;serif"/>
          <w:b w:val="false"/>
          <w:sz w:val="23"/>
        </w:rPr>
        <w:t>or less and payment for services is received at least annually, but oftentimes more frequently as services are provided. At June 30, 2023 and December 31, 2022, the Company had $63</w:t>
      </w:r>
      <w:r>
        <w:rPr>
          <w:rFonts w:ascii="Times New Roman" w:hAnsi="Times New Roman"/>
          <w:sz w:val="20"/>
        </w:rPr>
        <w:t xml:space="preserve"> </w:t>
      </w:r>
      <w:r>
        <w:rPr>
          <w:rFonts w:ascii="Times New Roman;serif" w:hAnsi="Times New Roman;serif"/>
          <w:b w:val="false"/>
          <w:sz w:val="23"/>
        </w:rPr>
        <w:t>million and $74</w:t>
      </w:r>
      <w:r>
        <w:rPr>
          <w:rFonts w:ascii="Times New Roman" w:hAnsi="Times New Roman"/>
          <w:sz w:val="20"/>
        </w:rPr>
        <w:t xml:space="preserve"> </w:t>
      </w:r>
      <w:r>
        <w:rPr>
          <w:rFonts w:ascii="Times New Roman;serif" w:hAnsi="Times New Roman;serif"/>
          <w:b w:val="false"/>
          <w:sz w:val="23"/>
        </w:rPr>
        <w:t>million, respectively, of amounts receivable related to recognized revenue from the sources in the accompanying tables. Such amounts are classified in accrued interest and other assets in the Company’s Consolidated Balance Sheet. In certain situations, the Company is paid in advance of providing services and defers the recognition of revenue until its service obligation is satisfied. At June 30, 2023 and December 31, 2022, the Company had deferred revenue of $49</w:t>
      </w:r>
      <w:r>
        <w:rPr>
          <w:rFonts w:ascii="Times New Roman" w:hAnsi="Times New Roman"/>
          <w:sz w:val="20"/>
        </w:rPr>
        <w:t xml:space="preserve"> </w:t>
      </w:r>
      <w:r>
        <w:rPr>
          <w:rFonts w:ascii="Times New Roman;serif" w:hAnsi="Times New Roman;serif"/>
          <w:b w:val="false"/>
          <w:sz w:val="23"/>
        </w:rPr>
        <w:t>million and $48</w:t>
      </w:r>
      <w:r>
        <w:rPr>
          <w:rFonts w:ascii="Times New Roman" w:hAnsi="Times New Roman"/>
          <w:sz w:val="20"/>
        </w:rPr>
        <w:t xml:space="preserve"> </w:t>
      </w:r>
      <w:r>
        <w:rPr>
          <w:rFonts w:ascii="Times New Roman;serif" w:hAnsi="Times New Roman;serif"/>
          <w:b w:val="false"/>
          <w:sz w:val="23"/>
        </w:rPr>
        <w:t>million, respectively, related to the sources in the accompanying tables recorded in accrued interest and other liabilities in the Consolidated Balance Sheet.</w:t>
      </w:r>
      <w:r>
        <w:rPr>
          <w:rFonts w:ascii="Times New Roman" w:hAnsi="Times New Roman"/>
          <w:sz w:val="20"/>
        </w:rPr>
        <w:t xml:space="preserve"> </w:t>
      </w:r>
    </w:p>
    <w:p>
      <w:pPr>
        <w:pStyle w:val="TextBody"/>
        <w:bidi w:val="0"/>
        <w:spacing w:before="120" w:after="120"/>
        <w:jc w:val="both"/>
        <w:rPr>
          <w:rFonts w:ascii="Times New Roman" w:hAnsi="Times New Roman"/>
          <w:sz w:val="20"/>
        </w:rPr>
      </w:pPr>
      <w:r>
        <w:rPr>
          <w:rFonts w:ascii="Times New Roman;serif" w:hAnsi="Times New Roman;serif"/>
          <w:b w:val="false"/>
          <w:sz w:val="23"/>
        </w:rPr>
        <w:t>The following tables summarize sources of the Company’s noninterest income during the three-month and six-month periods ended June 30, 2023 and 2022 that are subject to the revenue recognition accounting guidance.</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103"/>
        <w:gridCol w:w="192"/>
        <w:gridCol w:w="559"/>
        <w:gridCol w:w="146"/>
        <w:gridCol w:w="146"/>
        <w:gridCol w:w="199"/>
        <w:gridCol w:w="718"/>
        <w:gridCol w:w="146"/>
        <w:gridCol w:w="146"/>
        <w:gridCol w:w="227"/>
        <w:gridCol w:w="702"/>
        <w:gridCol w:w="146"/>
        <w:gridCol w:w="146"/>
        <w:gridCol w:w="298"/>
        <w:gridCol w:w="708"/>
        <w:gridCol w:w="146"/>
        <w:gridCol w:w="146"/>
        <w:gridCol w:w="225"/>
        <w:gridCol w:w="696"/>
        <w:gridCol w:w="146"/>
        <w:gridCol w:w="146"/>
        <w:gridCol w:w="152"/>
        <w:gridCol w:w="555"/>
        <w:gridCol w:w="146"/>
        <w:gridCol w:w="146"/>
        <w:gridCol w:w="146"/>
        <w:gridCol w:w="601"/>
        <w:gridCol w:w="146"/>
        <w:gridCol w:w="146"/>
        <w:gridCol w:w="181"/>
        <w:gridCol w:w="601"/>
        <w:gridCol w:w="298"/>
      </w:tblGrid>
      <w:tr>
        <w:trPr/>
        <w:tc>
          <w:tcPr>
            <w:tcW w:w="11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0"/>
              <w:ind w:left="0" w:right="0" w:hanging="0"/>
              <w:jc w:val="lef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Business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Commercial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Commercial Real Estate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Discretionary Portfolio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Residential Mortgage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Retail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All 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sz w:val="15"/>
                <w:u w:val="single"/>
              </w:rPr>
            </w:pPr>
            <w:r>
              <w:rPr>
                <w:rFonts w:ascii="Times New Roman;serif" w:hAnsi="Times New Roman;serif"/>
                <w:b/>
                <w:sz w:val="15"/>
                <w:u w:val="single"/>
              </w:rPr>
              <w:t>Three Months Ended June 30, 2023</w:t>
            </w:r>
          </w:p>
        </w:tc>
        <w:tc>
          <w:tcPr>
            <w:tcW w:w="8804" w:type="dxa"/>
            <w:gridSpan w:val="30"/>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 thousands)</w:t>
            </w:r>
          </w:p>
        </w:tc>
        <w:tc>
          <w:tcPr>
            <w:tcW w:w="298" w:type="dxa"/>
            <w:tcBorders/>
            <w:vAlign w:val="center"/>
          </w:tcPr>
          <w:p>
            <w:pPr>
              <w:pStyle w:val="TableContents"/>
              <w:bidi w:val="0"/>
              <w:spacing w:before="0" w:after="0"/>
              <w:ind w:left="0" w:right="0" w:hanging="0"/>
              <w:jc w:val="center"/>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298" w:type="dxa"/>
            <w:tcBorders/>
            <w:vAlign w:val="center"/>
          </w:tcPr>
          <w:p>
            <w:pPr>
              <w:pStyle w:val="TableContents"/>
              <w:bidi w:val="0"/>
              <w:spacing w:before="0" w:after="0"/>
              <w:ind w:left="0" w:right="0" w:hanging="0"/>
              <w:jc w:val="center"/>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 xml:space="preserve">Classification in Consolidated </w:t>
              <w:br/>
              <w:t>   Statement of Income</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Service charges on deposit accounts</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20,878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30,230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61,678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118,697</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Trust income</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172,444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172,463</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Brokerage services income</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25,126</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Other revenues from operations:</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firstLine="100"/>
              <w:jc w:val="left"/>
              <w:rPr/>
            </w:pPr>
            <w:r>
              <w:rPr/>
              <w:t> </w:t>
            </w:r>
          </w:p>
        </w:tc>
      </w:tr>
      <w:tr>
        <w:trPr/>
        <w:tc>
          <w:tcPr>
            <w:tcW w:w="1103" w:type="dxa"/>
            <w:tcBorders/>
            <w:vAlign w:val="center"/>
          </w:tcPr>
          <w:p>
            <w:pPr>
              <w:pStyle w:val="TableContents"/>
              <w:bidi w:val="0"/>
              <w:spacing w:before="0" w:after="0"/>
              <w:ind w:left="100" w:right="0" w:hanging="0"/>
              <w:jc w:val="left"/>
              <w:rPr>
                <w:rFonts w:ascii="Times New Roman;serif" w:hAnsi="Times New Roman;serif"/>
                <w:b w:val="false"/>
                <w:sz w:val="15"/>
              </w:rPr>
            </w:pPr>
            <w:r>
              <w:rPr>
                <w:rFonts w:ascii="Times New Roman;serif" w:hAnsi="Times New Roman;serif"/>
                <w:b w:val="false"/>
                <w:sz w:val="15"/>
              </w:rPr>
              <w:t>Merchant discount and credit card fees</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42,362</w:t>
            </w:r>
          </w:p>
        </w:tc>
        <w:tc>
          <w:tcPr>
            <w:tcW w:w="298" w:type="dxa"/>
            <w:tcBorders/>
            <w:vAlign w:val="center"/>
          </w:tcPr>
          <w:p>
            <w:pPr>
              <w:pStyle w:val="TableContents"/>
              <w:bidi w:val="0"/>
              <w:spacing w:before="0" w:after="0"/>
              <w:ind w:left="0" w:right="0" w:firstLine="100"/>
              <w:jc w:val="left"/>
              <w:rPr/>
            </w:pPr>
            <w:r>
              <w:rPr/>
              <w:t> </w:t>
            </w:r>
          </w:p>
        </w:tc>
      </w:tr>
      <w:tr>
        <w:trPr/>
        <w:tc>
          <w:tcPr>
            <w:tcW w:w="1103" w:type="dxa"/>
            <w:tcBorders/>
            <w:vAlign w:val="center"/>
          </w:tcPr>
          <w:p>
            <w:pPr>
              <w:pStyle w:val="TableContents"/>
              <w:bidi w:val="0"/>
              <w:spacing w:before="0" w:after="0"/>
              <w:ind w:left="100" w:right="0" w:hanging="0"/>
              <w:jc w:val="left"/>
              <w:rPr>
                <w:rFonts w:ascii="Times New Roman;serif" w:hAnsi="Times New Roman;serif"/>
                <w:b w:val="false"/>
                <w:sz w:val="15"/>
              </w:rPr>
            </w:pPr>
            <w:r>
              <w:rPr>
                <w:rFonts w:ascii="Times New Roman;serif" w:hAnsi="Times New Roman;serif"/>
                <w:b w:val="false"/>
                <w:sz w:val="15"/>
              </w:rPr>
              <w:t>Other</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5,931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7,668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16,286</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37,824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53,932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6,906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75,535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200,509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374,934</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sz w:val="15"/>
                <w:u w:val="single"/>
              </w:rPr>
            </w:pPr>
            <w:r>
              <w:rPr>
                <w:rFonts w:ascii="Times New Roman;serif" w:hAnsi="Times New Roman;serif"/>
                <w:b/>
                <w:sz w:val="15"/>
                <w:u w:val="single"/>
              </w:rPr>
              <w:t>Three Months Ended June 30, 2022</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 xml:space="preserve">Classification in Consolidated </w:t>
              <w:br/>
              <w:t>   Statement of Income</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Service charges on deposit accounts</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19,623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29,829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68,420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124,170</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Trust income</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190,084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190,084</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Brokerage services income</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24,138</w:t>
            </w:r>
          </w:p>
        </w:tc>
        <w:tc>
          <w:tcPr>
            <w:tcW w:w="298" w:type="dxa"/>
            <w:tcBorders/>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Other revenues from operations:</w:t>
            </w:r>
          </w:p>
        </w:tc>
        <w:tc>
          <w:tcPr>
            <w:tcW w:w="75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firstLine="100"/>
              <w:jc w:val="left"/>
              <w:rPr/>
            </w:pPr>
            <w:r>
              <w:rPr/>
              <w:t> </w:t>
            </w:r>
          </w:p>
        </w:tc>
      </w:tr>
      <w:tr>
        <w:trPr/>
        <w:tc>
          <w:tcPr>
            <w:tcW w:w="1103" w:type="dxa"/>
            <w:tcBorders/>
            <w:vAlign w:val="center"/>
          </w:tcPr>
          <w:p>
            <w:pPr>
              <w:pStyle w:val="TableContents"/>
              <w:bidi w:val="0"/>
              <w:spacing w:before="0" w:after="0"/>
              <w:ind w:left="100" w:right="0" w:hanging="0"/>
              <w:jc w:val="left"/>
              <w:rPr>
                <w:rFonts w:ascii="Times New Roman;serif" w:hAnsi="Times New Roman;serif"/>
                <w:b w:val="false"/>
                <w:sz w:val="15"/>
              </w:rPr>
            </w:pPr>
            <w:r>
              <w:rPr>
                <w:rFonts w:ascii="Times New Roman;serif" w:hAnsi="Times New Roman;serif"/>
                <w:b w:val="false"/>
                <w:sz w:val="15"/>
              </w:rPr>
              <w:t>Merchant discount and credit card fees</w:t>
            </w:r>
          </w:p>
        </w:tc>
        <w:tc>
          <w:tcPr>
            <w:tcW w:w="192" w:type="dxa"/>
            <w:tcBorders/>
            <w:vAlign w:val="center"/>
          </w:tcPr>
          <w:p>
            <w:pPr>
              <w:pStyle w:val="TableContents"/>
              <w:bidi w:val="0"/>
              <w:spacing w:before="0" w:after="0"/>
              <w:ind w:left="0" w:right="0" w:hanging="0"/>
              <w:jc w:val="left"/>
              <w:rPr/>
            </w:pPr>
            <w:r>
              <w:rPr/>
              <w:t> </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718"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16,854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702"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pPr>
            <w:r>
              <w:rPr/>
              <w:t> </w:t>
            </w:r>
          </w:p>
        </w:tc>
        <w:tc>
          <w:tcPr>
            <w:tcW w:w="70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8,024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42,849</w:t>
            </w:r>
          </w:p>
        </w:tc>
        <w:tc>
          <w:tcPr>
            <w:tcW w:w="298" w:type="dxa"/>
            <w:tcBorders/>
            <w:vAlign w:val="center"/>
          </w:tcPr>
          <w:p>
            <w:pPr>
              <w:pStyle w:val="TableContents"/>
              <w:bidi w:val="0"/>
              <w:spacing w:before="0" w:after="0"/>
              <w:ind w:left="0" w:right="0" w:firstLine="100"/>
              <w:jc w:val="left"/>
              <w:rPr/>
            </w:pPr>
            <w:r>
              <w:rPr/>
              <w:t> </w:t>
            </w:r>
          </w:p>
        </w:tc>
      </w:tr>
      <w:tr>
        <w:trPr/>
        <w:tc>
          <w:tcPr>
            <w:tcW w:w="1103" w:type="dxa"/>
            <w:tcBorders/>
            <w:vAlign w:val="center"/>
          </w:tcPr>
          <w:p>
            <w:pPr>
              <w:pStyle w:val="TableContents"/>
              <w:bidi w:val="0"/>
              <w:spacing w:before="0" w:after="0"/>
              <w:ind w:left="100" w:right="0" w:hanging="0"/>
              <w:jc w:val="left"/>
              <w:rPr>
                <w:rFonts w:ascii="Times New Roman;serif" w:hAnsi="Times New Roman;serif"/>
                <w:b w:val="false"/>
                <w:sz w:val="15"/>
              </w:rPr>
            </w:pPr>
            <w:r>
              <w:rPr>
                <w:rFonts w:ascii="Times New Roman;serif" w:hAnsi="Times New Roman;serif"/>
                <w:b w:val="false"/>
                <w:sz w:val="15"/>
              </w:rPr>
              <w:t>Other</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3,803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7,673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11,758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26,490</w:t>
            </w:r>
          </w:p>
        </w:tc>
        <w:tc>
          <w:tcPr>
            <w:tcW w:w="2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03"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36,458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47,942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8,403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84,117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228,814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407,731</w:t>
            </w:r>
          </w:p>
        </w:tc>
        <w:tc>
          <w:tcPr>
            <w:tcW w:w="2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120"/>
        <w:gridCol w:w="193"/>
        <w:gridCol w:w="561"/>
        <w:gridCol w:w="146"/>
        <w:gridCol w:w="146"/>
        <w:gridCol w:w="179"/>
        <w:gridCol w:w="740"/>
        <w:gridCol w:w="146"/>
        <w:gridCol w:w="146"/>
        <w:gridCol w:w="202"/>
        <w:gridCol w:w="730"/>
        <w:gridCol w:w="146"/>
        <w:gridCol w:w="146"/>
        <w:gridCol w:w="246"/>
        <w:gridCol w:w="762"/>
        <w:gridCol w:w="146"/>
        <w:gridCol w:w="146"/>
        <w:gridCol w:w="226"/>
        <w:gridCol w:w="700"/>
        <w:gridCol w:w="146"/>
        <w:gridCol w:w="146"/>
        <w:gridCol w:w="151"/>
        <w:gridCol w:w="623"/>
        <w:gridCol w:w="146"/>
        <w:gridCol w:w="146"/>
        <w:gridCol w:w="146"/>
        <w:gridCol w:w="601"/>
        <w:gridCol w:w="146"/>
        <w:gridCol w:w="146"/>
        <w:gridCol w:w="181"/>
        <w:gridCol w:w="601"/>
        <w:gridCol w:w="199"/>
      </w:tblGrid>
      <w:tr>
        <w:trPr/>
        <w:tc>
          <w:tcPr>
            <w:tcW w:w="1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0"/>
              <w:ind w:left="0" w:right="0" w:hanging="0"/>
              <w:jc w:val="left"/>
              <w:rPr/>
            </w:pPr>
            <w:r>
              <w:rPr/>
              <w:t> </w:t>
            </w:r>
          </w:p>
        </w:tc>
        <w:tc>
          <w:tcPr>
            <w:tcW w:w="7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Business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Commercial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Commercial Real Estate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Discretionary Portfolio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Residential Mortgage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Retail Banking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All 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sz w:val="15"/>
                <w:u w:val="single"/>
              </w:rPr>
            </w:pPr>
            <w:r>
              <w:rPr>
                <w:rFonts w:ascii="Times New Roman;serif" w:hAnsi="Times New Roman;serif"/>
                <w:b/>
                <w:sz w:val="15"/>
                <w:u w:val="single"/>
              </w:rPr>
              <w:t>Six Months Ended June 30, 2023</w:t>
            </w:r>
          </w:p>
        </w:tc>
        <w:tc>
          <w:tcPr>
            <w:tcW w:w="8886" w:type="dxa"/>
            <w:gridSpan w:val="30"/>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 thousands)</w:t>
            </w:r>
          </w:p>
        </w:tc>
        <w:tc>
          <w:tcPr>
            <w:tcW w:w="199" w:type="dxa"/>
            <w:tcBorders/>
            <w:vAlign w:val="center"/>
          </w:tcPr>
          <w:p>
            <w:pPr>
              <w:pStyle w:val="TableContents"/>
              <w:bidi w:val="0"/>
              <w:spacing w:before="0" w:after="0"/>
              <w:ind w:left="0" w:right="0" w:hanging="0"/>
              <w:jc w:val="center"/>
              <w:rPr/>
            </w:pPr>
            <w:r>
              <w:rPr/>
              <w:t> </w:t>
            </w:r>
          </w:p>
        </w:tc>
      </w:tr>
      <w:tr>
        <w:trPr/>
        <w:tc>
          <w:tcPr>
            <w:tcW w:w="1120" w:type="dxa"/>
            <w:tcBorders/>
            <w:vAlign w:val="center"/>
          </w:tcPr>
          <w:p>
            <w:pPr>
              <w:pStyle w:val="TableContents"/>
              <w:bidi w:val="0"/>
              <w:spacing w:before="0" w:after="0"/>
              <w:ind w:left="0" w:right="0" w:hanging="0"/>
              <w:jc w:val="left"/>
              <w:rPr/>
            </w:pPr>
            <w:r>
              <w:rPr/>
              <w:t> </w:t>
            </w:r>
          </w:p>
        </w:tc>
        <w:tc>
          <w:tcPr>
            <w:tcW w:w="75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8"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6"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4"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4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99" w:type="dxa"/>
            <w:tcBorders/>
            <w:vAlign w:val="center"/>
          </w:tcPr>
          <w:p>
            <w:pPr>
              <w:pStyle w:val="TableContents"/>
              <w:bidi w:val="0"/>
              <w:spacing w:before="0" w:after="0"/>
              <w:ind w:left="0" w:right="0" w:hanging="0"/>
              <w:jc w:val="center"/>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 xml:space="preserve">Classification in Consolidated </w:t>
              <w:br/>
              <w:t>   Statement of Income</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Service charges on deposit accounts</w:t>
            </w:r>
          </w:p>
        </w:tc>
        <w:tc>
          <w:tcPr>
            <w:tcW w:w="19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40,348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58,703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121,130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232,243</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Trust income</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366,236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366,265</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Brokerage services income</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49,167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49,167</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Other revenues from operations:</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5"/>
              </w:rPr>
              <w:t>Merchant discount and credit card fees</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31,185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33,562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79,164</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5"/>
              </w:rPr>
              <w:t>Other</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10,602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15,074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2,157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30,940</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71,562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102,867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13,365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147,754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421,642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757,779</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sz w:val="15"/>
                <w:u w:val="single"/>
              </w:rPr>
            </w:pPr>
            <w:r>
              <w:rPr>
                <w:rFonts w:ascii="Times New Roman;serif" w:hAnsi="Times New Roman;serif"/>
                <w:b/>
                <w:sz w:val="15"/>
                <w:u w:val="single"/>
              </w:rPr>
              <w:t>Six Months Ended June 30, 2022</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 xml:space="preserve">Classification in Consolidated </w:t>
              <w:br/>
              <w:t>   Statement of Income</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Service charges on deposit accounts</w:t>
            </w:r>
          </w:p>
        </w:tc>
        <w:tc>
          <w:tcPr>
            <w:tcW w:w="193"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124,767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3,986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225,677</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Trust income</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359,297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359,297</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Brokerage services income</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44,328</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Other revenues from operations:</w:t>
            </w:r>
          </w:p>
        </w:tc>
        <w:tc>
          <w:tcPr>
            <w:tcW w:w="75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4"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5"/>
              </w:rPr>
              <w:t>Merchant discount and credit card fees</w:t>
            </w:r>
          </w:p>
        </w:tc>
        <w:tc>
          <w:tcPr>
            <w:tcW w:w="193"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29,640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vAlign w:val="center"/>
          </w:tcPr>
          <w:p>
            <w:pPr>
              <w:pStyle w:val="TableContents"/>
              <w:bidi w:val="0"/>
              <w:spacing w:before="0" w:after="0"/>
              <w:ind w:left="0" w:right="0" w:hanging="0"/>
              <w:jc w:val="left"/>
              <w:rPr/>
            </w:pPr>
            <w:r>
              <w:rPr/>
              <w:t> </w:t>
            </w:r>
          </w:p>
        </w:tc>
        <w:tc>
          <w:tcPr>
            <w:tcW w:w="74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74,604</w:t>
            </w:r>
          </w:p>
        </w:tc>
        <w:tc>
          <w:tcPr>
            <w:tcW w:w="199" w:type="dxa"/>
            <w:tcBorders/>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5"/>
              </w:rPr>
              <w:t>Other</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3,162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6,267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12,772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24,649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51,269</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0" w:type="dxa"/>
            <w:tcBorders/>
            <w:vAlign w:val="center"/>
          </w:tcPr>
          <w:p>
            <w:pPr>
              <w:pStyle w:val="TableContents"/>
              <w:bidi w:val="0"/>
              <w:spacing w:before="0" w:after="0"/>
              <w:ind w:left="0" w:right="0" w:hanging="0"/>
              <w:jc w:val="left"/>
              <w:rPr/>
            </w:pPr>
            <w:r>
              <w:rPr/>
              <w:t> </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5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63,944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88,875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15,219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1,564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2,855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150,073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432,645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755,175</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- 27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7. Pension plans and other postretirement benefits</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Company provides defined benefit pension and other postretirement benefits (including health care and life insurance benefits) to qualified retired employees. Net periodic defined benefit cost for defined benefit plans consisted of the following:</w:t>
      </w:r>
    </w:p>
    <w:tbl>
      <w:tblPr>
        <w:tblW w:w="8247" w:type="dxa"/>
        <w:jc w:val="left"/>
        <w:tblInd w:w="0" w:type="dxa"/>
        <w:tblLayout w:type="fixed"/>
        <w:tblCellMar>
          <w:top w:w="28" w:type="dxa"/>
          <w:left w:w="28" w:type="dxa"/>
          <w:bottom w:w="28" w:type="dxa"/>
          <w:right w:w="28" w:type="dxa"/>
        </w:tblCellMar>
      </w:tblPr>
      <w:tblGrid>
        <w:gridCol w:w="3676"/>
        <w:gridCol w:w="146"/>
        <w:gridCol w:w="211"/>
        <w:gridCol w:w="736"/>
        <w:gridCol w:w="166"/>
        <w:gridCol w:w="146"/>
        <w:gridCol w:w="211"/>
        <w:gridCol w:w="736"/>
        <w:gridCol w:w="166"/>
        <w:gridCol w:w="146"/>
        <w:gridCol w:w="211"/>
        <w:gridCol w:w="481"/>
        <w:gridCol w:w="166"/>
        <w:gridCol w:w="146"/>
        <w:gridCol w:w="211"/>
        <w:gridCol w:w="48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Pension </w:t>
              <w:br/>
              <w:t>Benefits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br/>
              <w:t>Postretirement</w:t>
              <w:br/>
              <w:t>Benefits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21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993</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 on projected benefit obligation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plan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prior service cost (credit)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net actuarial loss (gain)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periodic cost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652" w:type="dxa"/>
        <w:jc w:val="left"/>
        <w:tblInd w:w="0" w:type="dxa"/>
        <w:tblLayout w:type="fixed"/>
        <w:tblCellMar>
          <w:top w:w="28" w:type="dxa"/>
          <w:left w:w="28" w:type="dxa"/>
          <w:bottom w:w="28" w:type="dxa"/>
          <w:right w:w="28" w:type="dxa"/>
        </w:tblCellMar>
      </w:tblPr>
      <w:tblGrid>
        <w:gridCol w:w="3676"/>
        <w:gridCol w:w="146"/>
        <w:gridCol w:w="211"/>
        <w:gridCol w:w="841"/>
        <w:gridCol w:w="166"/>
        <w:gridCol w:w="146"/>
        <w:gridCol w:w="211"/>
        <w:gridCol w:w="736"/>
        <w:gridCol w:w="166"/>
        <w:gridCol w:w="146"/>
        <w:gridCol w:w="211"/>
        <w:gridCol w:w="631"/>
        <w:gridCol w:w="166"/>
        <w:gridCol w:w="146"/>
        <w:gridCol w:w="211"/>
        <w:gridCol w:w="63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Pension </w:t>
              <w:br/>
              <w:t>Benefits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br/>
              <w:t>Postretirement</w:t>
              <w:br/>
              <w:t>Benefits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61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1,225</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cost on projected benefit obligation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1,026</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return on plan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prior service cost (credit)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net actuarial loss (gain)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periodic cost (benefit)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Service cost is reflected in salaries and employee benefits expense in the Consolidated Statement of Income. The other components of net periodic benefit cost are reflected in other costs of operations. Expenses incurred in connection with the Company's defined contribution pension and retirement savings plans totaled $36</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$35</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for the three months ended June 30, 2023 and 2022, respectively, and $80</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$66</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for the six months ended June 30, 2023 and 2022, respectively, and are included in salaries and employee benefits expense.</w:t>
      </w:r>
    </w:p>
    <w:p>
      <w:pPr>
        <w:pStyle w:val="TextBody"/>
        <w:bidi w:val="0"/>
        <w:spacing w:before="240" w:after="0"/>
        <w:jc w:val="center"/>
        <w:rPr>
          <w:rFonts w:ascii="Times New Roman" w:hAnsi="Times New Roman"/>
          <w:sz w:val="20"/>
        </w:rPr>
      </w:pPr>
      <w:r>
        <w:rPr>
          <w:rFonts w:ascii="Times New Roman;serif" w:hAnsi="Times New Roman;serif"/>
          <w:b w:val="false"/>
          <w:sz w:val="20"/>
        </w:rPr>
        <w:t>- 28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8. Earnings per common share</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computations of basic earnings per common share follow:</w:t>
      </w:r>
    </w:p>
    <w:tbl>
      <w:tblPr>
        <w:tblW w:w="10205" w:type="dxa"/>
        <w:jc w:val="left"/>
        <w:tblInd w:w="0" w:type="dxa"/>
        <w:tblLayout w:type="fixed"/>
        <w:tblCellMar>
          <w:top w:w="28" w:type="dxa"/>
          <w:left w:w="28" w:type="dxa"/>
          <w:bottom w:w="28" w:type="dxa"/>
          <w:right w:w="28" w:type="dxa"/>
        </w:tblCellMar>
      </w:tblPr>
      <w:tblGrid>
        <w:gridCol w:w="4594"/>
        <w:gridCol w:w="146"/>
        <w:gridCol w:w="211"/>
        <w:gridCol w:w="781"/>
        <w:gridCol w:w="166"/>
        <w:gridCol w:w="146"/>
        <w:gridCol w:w="211"/>
        <w:gridCol w:w="781"/>
        <w:gridCol w:w="166"/>
        <w:gridCol w:w="146"/>
        <w:gridCol w:w="211"/>
        <w:gridCol w:w="931"/>
        <w:gridCol w:w="166"/>
        <w:gridCol w:w="146"/>
        <w:gridCol w:w="211"/>
        <w:gridCol w:w="781"/>
        <w:gridCol w:w="411"/>
      </w:tblGrid>
      <w:tr>
        <w:trPr/>
        <w:tc>
          <w:tcPr>
            <w:tcW w:w="4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vAlign w:val="center"/>
          </w:tcPr>
          <w:p>
            <w:pPr>
              <w:pStyle w:val="TableContents"/>
              <w:bidi w:val="0"/>
              <w:spacing w:before="0" w:after="0"/>
              <w:ind w:left="0" w:right="0" w:hanging="0"/>
              <w:jc w:val="center"/>
              <w:rPr/>
            </w:pPr>
            <w:r>
              <w:rPr/>
              <w:t> </w:t>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0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w:t>
            </w:r>
          </w:p>
        </w:tc>
        <w:tc>
          <w:tcPr>
            <w:tcW w:w="411" w:type="dxa"/>
            <w:tcBorders/>
            <w:vAlign w:val="center"/>
          </w:tcPr>
          <w:p>
            <w:pPr>
              <w:pStyle w:val="TableContents"/>
              <w:bidi w:val="0"/>
              <w:spacing w:before="0" w:after="0"/>
              <w:ind w:left="0" w:right="0" w:hanging="0"/>
              <w:jc w:val="center"/>
              <w:rPr/>
            </w:pPr>
            <w:r>
              <w:rPr/>
              <w:t> </w:t>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available to common shareholders: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867,034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1,568,658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579,696</w:t>
            </w:r>
          </w:p>
        </w:tc>
        <w:tc>
          <w:tcPr>
            <w:tcW w:w="411" w:type="dxa"/>
            <w:tcBorders/>
            <w:vAlign w:val="center"/>
          </w:tcPr>
          <w:p>
            <w:pPr>
              <w:pStyle w:val="TableContents"/>
              <w:bidi w:val="0"/>
              <w:spacing w:before="0" w:after="0"/>
              <w:ind w:left="0" w:right="0" w:firstLine="200"/>
              <w:jc w:val="lef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Preferred stock dividends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(46,706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available to common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532,990</w:t>
            </w:r>
          </w:p>
        </w:tc>
        <w:tc>
          <w:tcPr>
            <w:tcW w:w="411" w:type="dxa"/>
            <w:tcBorders/>
            <w:vAlign w:val="center"/>
          </w:tcPr>
          <w:p>
            <w:pPr>
              <w:pStyle w:val="TableContents"/>
              <w:bidi w:val="0"/>
              <w:spacing w:before="0" w:after="0"/>
              <w:ind w:left="0" w:right="0" w:firstLine="200"/>
              <w:jc w:val="lef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Less: Income attributable to unvested stock-based </w:t>
              <w:br/>
              <w:t>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available to common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840,520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531,914</w:t>
            </w:r>
          </w:p>
        </w:tc>
        <w:tc>
          <w:tcPr>
            <w:tcW w:w="411" w:type="dxa"/>
            <w:tcBorders/>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shares outstanding (including common stock</w:t>
              <w:br/>
              <w:t>   issuable) and unvested stock-based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153,612</w:t>
            </w:r>
          </w:p>
        </w:tc>
        <w:tc>
          <w:tcPr>
            <w:tcW w:w="411" w:type="dxa"/>
            <w:tcBorders/>
            <w:vAlign w:val="center"/>
          </w:tcPr>
          <w:p>
            <w:pPr>
              <w:pStyle w:val="TableContents"/>
              <w:bidi w:val="0"/>
              <w:spacing w:before="0" w:after="0"/>
              <w:ind w:left="0" w:right="0" w:firstLine="200"/>
              <w:jc w:val="lef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Unvested stock-based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165,842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177,367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153,290</w:t>
            </w:r>
          </w:p>
        </w:tc>
        <w:tc>
          <w:tcPr>
            <w:tcW w:w="411" w:type="dxa"/>
            <w:tcBorders/>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computations of diluted earnings per common share follow:</w:t>
      </w:r>
    </w:p>
    <w:tbl>
      <w:tblPr>
        <w:tblW w:w="10205" w:type="dxa"/>
        <w:jc w:val="left"/>
        <w:tblInd w:w="0" w:type="dxa"/>
        <w:tblLayout w:type="fixed"/>
        <w:tblCellMar>
          <w:top w:w="28" w:type="dxa"/>
          <w:left w:w="28" w:type="dxa"/>
          <w:bottom w:w="28" w:type="dxa"/>
          <w:right w:w="28" w:type="dxa"/>
        </w:tblCellMar>
      </w:tblPr>
      <w:tblGrid>
        <w:gridCol w:w="4594"/>
        <w:gridCol w:w="146"/>
        <w:gridCol w:w="211"/>
        <w:gridCol w:w="781"/>
        <w:gridCol w:w="166"/>
        <w:gridCol w:w="146"/>
        <w:gridCol w:w="211"/>
        <w:gridCol w:w="781"/>
        <w:gridCol w:w="166"/>
        <w:gridCol w:w="146"/>
        <w:gridCol w:w="211"/>
        <w:gridCol w:w="931"/>
        <w:gridCol w:w="166"/>
        <w:gridCol w:w="146"/>
        <w:gridCol w:w="211"/>
        <w:gridCol w:w="781"/>
        <w:gridCol w:w="411"/>
      </w:tblGrid>
      <w:tr>
        <w:trPr/>
        <w:tc>
          <w:tcPr>
            <w:tcW w:w="45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4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vAlign w:val="center"/>
          </w:tcPr>
          <w:p>
            <w:pPr>
              <w:pStyle w:val="TableContents"/>
              <w:bidi w:val="0"/>
              <w:spacing w:before="0" w:after="0"/>
              <w:ind w:left="0" w:right="0" w:hanging="0"/>
              <w:jc w:val="center"/>
              <w:rPr/>
            </w:pPr>
            <w:r>
              <w:rPr/>
              <w:t> </w:t>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9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054"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w:t>
            </w:r>
          </w:p>
        </w:tc>
        <w:tc>
          <w:tcPr>
            <w:tcW w:w="411" w:type="dxa"/>
            <w:tcBorders/>
            <w:vAlign w:val="center"/>
          </w:tcPr>
          <w:p>
            <w:pPr>
              <w:pStyle w:val="TableContents"/>
              <w:bidi w:val="0"/>
              <w:spacing w:before="0" w:after="0"/>
              <w:ind w:left="0" w:right="0" w:firstLine="200"/>
              <w:jc w:val="center"/>
              <w:rPr/>
            </w:pPr>
            <w:r>
              <w:rPr/>
              <w:t> </w:t>
            </w:r>
          </w:p>
        </w:tc>
      </w:tr>
      <w:tr>
        <w:trPr/>
        <w:tc>
          <w:tcPr>
            <w:tcW w:w="4594"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available to common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842,094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1,518,777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532,990</w:t>
            </w:r>
          </w:p>
        </w:tc>
        <w:tc>
          <w:tcPr>
            <w:tcW w:w="411" w:type="dxa"/>
            <w:tcBorders/>
            <w:vAlign w:val="center"/>
          </w:tcPr>
          <w:p>
            <w:pPr>
              <w:pStyle w:val="TableContents"/>
              <w:bidi w:val="0"/>
              <w:spacing w:before="0" w:after="0"/>
              <w:ind w:left="0" w:right="0" w:firstLine="200"/>
              <w:jc w:val="lef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Income attributable to unvested stock-based</w:t>
              <w:br/>
              <w:t>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available to common shareholders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192,236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531,916</w:t>
            </w:r>
          </w:p>
        </w:tc>
        <w:tc>
          <w:tcPr>
            <w:tcW w:w="411" w:type="dxa"/>
            <w:tcBorders/>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weighted-average shares outstanding: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Common shares outstanding (including common stock</w:t>
              <w:br/>
              <w:t>   issuable) and unvested stock-based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177,682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167,076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153,612</w:t>
            </w:r>
          </w:p>
        </w:tc>
        <w:tc>
          <w:tcPr>
            <w:tcW w:w="411" w:type="dxa"/>
            <w:tcBorders/>
            <w:vAlign w:val="center"/>
          </w:tcPr>
          <w:p>
            <w:pPr>
              <w:pStyle w:val="TableContents"/>
              <w:bidi w:val="0"/>
              <w:spacing w:before="0" w:after="0"/>
              <w:ind w:left="0" w:right="0" w:firstLine="200"/>
              <w:jc w:val="left"/>
              <w:rPr/>
            </w:pPr>
            <w:r>
              <w:rPr/>
              <w:t> </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Unvested stock-based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9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Plus: Incremental shares from assumed conversion</w:t>
              <w:br/>
              <w:t>   of stock-based compensation awards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Adjusted weighted-average shares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153,981</w:t>
            </w:r>
          </w:p>
        </w:tc>
        <w:tc>
          <w:tcPr>
            <w:tcW w:w="411" w:type="dxa"/>
            <w:tcBorders/>
            <w:vAlign w:val="center"/>
          </w:tcPr>
          <w:p>
            <w:pPr>
              <w:pStyle w:val="TableContents"/>
              <w:bidi w:val="0"/>
              <w:spacing w:before="0" w:after="0"/>
              <w:ind w:left="0" w:right="0" w:hanging="0"/>
              <w:jc w:val="left"/>
              <w:rPr/>
            </w:pPr>
            <w:r>
              <w:rPr/>
              <w:t> </w:t>
            </w:r>
          </w:p>
        </w:tc>
      </w:tr>
      <w:tr>
        <w:trPr/>
        <w:tc>
          <w:tcPr>
            <w:tcW w:w="459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45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 earnings per common share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pStyle w:val="TextBody"/>
        <w:bidi w:val="0"/>
        <w:spacing w:before="120" w:after="0"/>
        <w:jc w:val="both"/>
        <w:rPr>
          <w:rFonts w:ascii="Times New Roman" w:hAnsi="Times New Roman"/>
          <w:sz w:val="20"/>
        </w:rPr>
      </w:pPr>
      <w:r>
        <w:rPr>
          <w:rFonts w:ascii="Times New Roman;serif" w:hAnsi="Times New Roman;serif"/>
          <w:b w:val="false"/>
          <w:sz w:val="23"/>
        </w:rPr>
        <w:t>Stock-based compensation awards to purchase common stock of M&amp;T representing 2,284,597</w:t>
      </w:r>
      <w:r>
        <w:rPr>
          <w:rFonts w:ascii="Times New Roman" w:hAnsi="Times New Roman"/>
          <w:sz w:val="20"/>
        </w:rPr>
        <w:t xml:space="preserve"> </w:t>
      </w:r>
      <w:r>
        <w:rPr>
          <w:rFonts w:ascii="Times New Roman;serif" w:hAnsi="Times New Roman;serif"/>
          <w:b w:val="false"/>
          <w:sz w:val="23"/>
        </w:rPr>
        <w:t>common shares and 1,828,360</w:t>
      </w:r>
      <w:r>
        <w:rPr>
          <w:rFonts w:ascii="Times New Roman" w:hAnsi="Times New Roman"/>
          <w:sz w:val="20"/>
        </w:rPr>
        <w:t xml:space="preserve"> </w:t>
      </w:r>
      <w:r>
        <w:rPr>
          <w:rFonts w:ascii="Times New Roman;serif" w:hAnsi="Times New Roman;serif"/>
          <w:b w:val="false"/>
          <w:sz w:val="23"/>
        </w:rPr>
        <w:t>common shares during the three-month and six-month periods ended June 30, 2023, respectively, and 573,924</w:t>
      </w:r>
      <w:r>
        <w:rPr>
          <w:rFonts w:ascii="Times New Roman" w:hAnsi="Times New Roman"/>
          <w:sz w:val="20"/>
        </w:rPr>
        <w:t xml:space="preserve"> </w:t>
      </w:r>
      <w:r>
        <w:rPr>
          <w:rFonts w:ascii="Times New Roman;serif" w:hAnsi="Times New Roman;serif"/>
          <w:b w:val="false"/>
          <w:sz w:val="23"/>
        </w:rPr>
        <w:t>and 345,345</w:t>
      </w:r>
      <w:r>
        <w:rPr>
          <w:rFonts w:ascii="Times New Roman" w:hAnsi="Times New Roman"/>
          <w:sz w:val="20"/>
        </w:rPr>
        <w:t xml:space="preserve"> </w:t>
      </w:r>
      <w:r>
        <w:rPr>
          <w:rFonts w:ascii="Times New Roman;serif" w:hAnsi="Times New Roman;serif"/>
          <w:b w:val="false"/>
          <w:sz w:val="23"/>
        </w:rPr>
        <w:t>common shares during the three-month and six-month periods ended June 30, 2022, respectively, were not included in the computations of diluted earnings per common share because the effect on those periods would have been antidilutive.</w:t>
      </w:r>
    </w:p>
    <w:p>
      <w:pPr>
        <w:pStyle w:val="TextBody"/>
        <w:bidi w:val="0"/>
        <w:spacing w:before="240" w:after="0"/>
        <w:jc w:val="center"/>
        <w:rPr>
          <w:rFonts w:ascii="Times New Roman" w:hAnsi="Times New Roman"/>
          <w:sz w:val="20"/>
        </w:rPr>
      </w:pPr>
      <w:r>
        <w:rPr>
          <w:rFonts w:ascii="Times New Roman;serif" w:hAnsi="Times New Roman;serif"/>
          <w:b w:val="false"/>
          <w:sz w:val="20"/>
        </w:rPr>
        <w:t>- 29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9. Comprehensive income</w:t>
      </w:r>
    </w:p>
    <w:p>
      <w:pPr>
        <w:pStyle w:val="TextBody"/>
        <w:bidi w:val="0"/>
        <w:spacing w:before="120" w:after="120"/>
        <w:jc w:val="both"/>
        <w:rPr>
          <w:rFonts w:ascii="Times New Roman" w:hAnsi="Times New Roman"/>
          <w:sz w:val="20"/>
        </w:rPr>
      </w:pPr>
      <w:r>
        <w:rPr>
          <w:rFonts w:ascii="Times New Roman;serif" w:hAnsi="Times New Roman;serif"/>
          <w:b w:val="false"/>
          <w:sz w:val="23"/>
        </w:rPr>
        <w:t>The following tables display the components of other comprehensive income (loss) and amounts reclassified from accumulated other comprehensive income (loss) to net income: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293"/>
        <w:gridCol w:w="196"/>
        <w:gridCol w:w="751"/>
        <w:gridCol w:w="166"/>
        <w:gridCol w:w="146"/>
        <w:gridCol w:w="155"/>
        <w:gridCol w:w="801"/>
        <w:gridCol w:w="166"/>
        <w:gridCol w:w="146"/>
        <w:gridCol w:w="146"/>
        <w:gridCol w:w="751"/>
        <w:gridCol w:w="166"/>
        <w:gridCol w:w="146"/>
        <w:gridCol w:w="196"/>
        <w:gridCol w:w="886"/>
        <w:gridCol w:w="166"/>
        <w:gridCol w:w="274"/>
        <w:gridCol w:w="146"/>
        <w:gridCol w:w="146"/>
        <w:gridCol w:w="691"/>
        <w:gridCol w:w="166"/>
        <w:gridCol w:w="146"/>
        <w:gridCol w:w="196"/>
        <w:gridCol w:w="751"/>
        <w:gridCol w:w="412"/>
      </w:tblGrid>
      <w:tr>
        <w:trPr/>
        <w:tc>
          <w:tcPr>
            <w:tcW w:w="2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293"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Investment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Defined Benefit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 xml:space="preserve">Total </w:t>
              <w:br/>
              <w:t>Amount</w:t>
            </w:r>
          </w:p>
        </w:tc>
        <w:tc>
          <w:tcPr>
            <w:tcW w:w="166" w:type="dxa"/>
            <w:tcBorders/>
            <w:vAlign w:val="center"/>
          </w:tcPr>
          <w:p>
            <w:pPr>
              <w:pStyle w:val="TableContents"/>
              <w:bidi w:val="0"/>
              <w:spacing w:before="0" w:after="0"/>
              <w:ind w:left="0" w:right="0" w:hanging="0"/>
              <w:jc w:val="center"/>
              <w:rPr/>
            </w:pPr>
            <w:r>
              <w:rPr/>
              <w:t> </w:t>
            </w:r>
          </w:p>
        </w:tc>
        <w:tc>
          <w:tcPr>
            <w:tcW w:w="2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412" w:type="dxa"/>
            <w:tcBorders/>
            <w:vAlign w:val="center"/>
          </w:tcPr>
          <w:p>
            <w:pPr>
              <w:pStyle w:val="TableContents"/>
              <w:bidi w:val="0"/>
              <w:spacing w:before="0" w:after="0"/>
              <w:ind w:left="0" w:right="0" w:hanging="0"/>
              <w:jc w:val="center"/>
              <w:rPr/>
            </w:pPr>
            <w:r>
              <w:rPr/>
              <w:t> </w:t>
            </w:r>
          </w:p>
        </w:tc>
      </w:tr>
      <w:tr>
        <w:trPr/>
        <w:tc>
          <w:tcPr>
            <w:tcW w:w="2293"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Securities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Plans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Before Tax</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Tax</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Net</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3" w:type="dxa"/>
            <w:tcBorders/>
            <w:vAlign w:val="center"/>
          </w:tcPr>
          <w:p>
            <w:pPr>
              <w:pStyle w:val="TableContents"/>
              <w:bidi w:val="0"/>
              <w:spacing w:before="0" w:after="0"/>
              <w:ind w:left="0" w:right="0" w:hanging="0"/>
              <w:jc w:val="center"/>
              <w:rPr/>
            </w:pPr>
            <w:r>
              <w:rPr/>
              <w:t> </w:t>
            </w:r>
          </w:p>
        </w:tc>
        <w:tc>
          <w:tcPr>
            <w:tcW w:w="7500" w:type="dxa"/>
            <w:gridSpan w:val="23"/>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 thousands)</w:t>
            </w:r>
          </w:p>
        </w:tc>
        <w:tc>
          <w:tcPr>
            <w:tcW w:w="412" w:type="dxa"/>
            <w:tcBorders/>
            <w:vAlign w:val="center"/>
          </w:tcPr>
          <w:p>
            <w:pPr>
              <w:pStyle w:val="TableContents"/>
              <w:bidi w:val="0"/>
              <w:spacing w:before="0" w:after="0"/>
              <w:ind w:left="0" w:right="0" w:hanging="0"/>
              <w:jc w:val="center"/>
              <w:rPr/>
            </w:pPr>
            <w:r>
              <w:rPr/>
              <w:t> </w:t>
            </w:r>
          </w:p>
        </w:tc>
      </w:tr>
      <w:tr>
        <w:trPr/>
        <w:tc>
          <w:tcPr>
            <w:tcW w:w="2293"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January 1, 2023</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(444,192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(272,856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(349,129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(1,066,177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(790,030</w:t>
            </w:r>
          </w:p>
        </w:tc>
        <w:tc>
          <w:tcPr>
            <w:tcW w:w="4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before reclassifications:</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200"/>
              <w:jc w:val="righ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holding gains, net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3,392</w:t>
            </w:r>
          </w:p>
        </w:tc>
        <w:tc>
          <w:tcPr>
            <w:tcW w:w="16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1,330</w:t>
            </w:r>
          </w:p>
        </w:tc>
        <w:tc>
          <w:tcPr>
            <w:tcW w:w="412" w:type="dxa"/>
            <w:tcBorders/>
            <w:vAlign w:val="center"/>
          </w:tcPr>
          <w:p>
            <w:pPr>
              <w:pStyle w:val="TableContents"/>
              <w:bidi w:val="0"/>
              <w:spacing w:before="0" w:after="0"/>
              <w:ind w:left="0" w:right="0" w:firstLine="200"/>
              <w:jc w:val="lef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3,550</w:t>
            </w:r>
          </w:p>
        </w:tc>
        <w:tc>
          <w:tcPr>
            <w:tcW w:w="16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2,510</w:t>
            </w:r>
          </w:p>
        </w:tc>
        <w:tc>
          <w:tcPr>
            <w:tcW w:w="412" w:type="dxa"/>
            <w:tcBorders/>
            <w:vAlign w:val="center"/>
          </w:tcPr>
          <w:p>
            <w:pPr>
              <w:pStyle w:val="TableContents"/>
              <w:bidi w:val="0"/>
              <w:spacing w:before="0" w:after="0"/>
              <w:ind w:left="0" w:right="0" w:firstLine="200"/>
              <w:jc w:val="lef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losses on cash flow hedges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(207,774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(156,411</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comprehensive income (loss) before</w:t>
              <w:br/>
              <w:t>   reclassifications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(204,224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(200,832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48,261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(152,571</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Amounts reclassified from accumulated other comprehensive</w:t>
              <w:br/>
              <w:t>   income (loss) that (increase) decrease net income:</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412" w:type="dxa"/>
            <w:tcBorders/>
            <w:vAlign w:val="center"/>
          </w:tcPr>
          <w:p>
            <w:pPr>
              <w:pStyle w:val="TableContents"/>
              <w:bidi w:val="0"/>
              <w:spacing w:before="0" w:after="0"/>
              <w:ind w:left="0" w:right="0" w:firstLine="200"/>
              <w:jc w:val="lef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net gain on terminated cash flow hedges</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(b)</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Net yield adjustment from cash flow hedges </w:t>
              <w:br/>
              <w:t>   currently in effect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107,730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107,730</w:t>
            </w:r>
          </w:p>
        </w:tc>
        <w:tc>
          <w:tcPr>
            <w:tcW w:w="16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(a)</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81,099</w:t>
            </w:r>
          </w:p>
        </w:tc>
        <w:tc>
          <w:tcPr>
            <w:tcW w:w="412" w:type="dxa"/>
            <w:tcBorders/>
            <w:vAlign w:val="center"/>
          </w:tcPr>
          <w:p>
            <w:pPr>
              <w:pStyle w:val="TableContents"/>
              <w:bidi w:val="0"/>
              <w:spacing w:before="0" w:after="0"/>
              <w:ind w:left="0" w:right="0" w:firstLine="200"/>
              <w:jc w:val="lef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prior service credit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(c)</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(891</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actuarial losses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(c)</w:t>
            </w:r>
          </w:p>
        </w:tc>
        <w:tc>
          <w:tcPr>
            <w:tcW w:w="146" w:type="dxa"/>
            <w:tcBorders/>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comprehensive income (loss)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(96,555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(96,547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21,777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(74,770</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June 30, 2023</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(440,800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(276,240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(445,684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(1,162,724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297,924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(864,800</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2293"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hanging="0"/>
              <w:jc w:val="right"/>
              <w:rPr/>
            </w:pPr>
            <w:r>
              <w:rPr/>
              <w:t> </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January 1, 2022</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(360,276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83,531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44,476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(127,578</w:t>
            </w:r>
          </w:p>
        </w:tc>
        <w:tc>
          <w:tcPr>
            <w:tcW w:w="4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(loss) before reclassifications:</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200"/>
              <w:jc w:val="righ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holding losses, net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(280,918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(280,918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72,691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(208,227</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(5,912</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Unrealized losses on cash flow hedges</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(174,371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(129,242</w:t>
            </w:r>
          </w:p>
        </w:tc>
        <w:tc>
          <w:tcPr>
            <w:tcW w:w="41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comprehensive income (loss) before</w:t>
              <w:br/>
              <w:t>   reclassifications</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(280,918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5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0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(182,244</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(463,162</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119,781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(343,381</w:t>
            </w:r>
          </w:p>
        </w:tc>
        <w:tc>
          <w:tcPr>
            <w:tcW w:w="41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Amounts reclassified from accumulated other comprehensive</w:t>
              <w:br/>
              <w:t>   income (loss) that (increase) decrease net income:</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2" w:type="dxa"/>
            <w:tcBorders/>
            <w:vAlign w:val="center"/>
          </w:tcPr>
          <w:p>
            <w:pPr>
              <w:pStyle w:val="TableContents"/>
              <w:bidi w:val="0"/>
              <w:spacing w:before="0" w:after="0"/>
              <w:ind w:left="0" w:right="0" w:firstLine="200"/>
              <w:jc w:val="righ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unrealized holding losses on</w:t>
              <w:br/>
              <w:t>   held-to-maturity securities</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1,765</w:t>
            </w:r>
          </w:p>
        </w:tc>
        <w:tc>
          <w:tcPr>
            <w:tcW w:w="16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(a)</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1,309</w:t>
            </w:r>
          </w:p>
        </w:tc>
        <w:tc>
          <w:tcPr>
            <w:tcW w:w="412" w:type="dxa"/>
            <w:tcBorders/>
            <w:vAlign w:val="center"/>
          </w:tcPr>
          <w:p>
            <w:pPr>
              <w:pStyle w:val="TableContents"/>
              <w:bidi w:val="0"/>
              <w:spacing w:before="0" w:after="0"/>
              <w:ind w:left="0" w:right="0" w:firstLine="200"/>
              <w:jc w:val="left"/>
              <w:rPr/>
            </w:pPr>
            <w:r>
              <w:rPr/>
              <w:t> </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Accretion of net gain on terminated cash flow hedges</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(b)</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 xml:space="preserve">Net yield adjustment from cash flow hedges </w:t>
              <w:br/>
              <w:t>   currently in effect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(57,966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(a)</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(42,964</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prior service credit</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5"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(c)</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(861</w:t>
            </w:r>
          </w:p>
        </w:tc>
        <w:tc>
          <w:tcPr>
            <w:tcW w:w="412"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Amortization of actuarial losses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(c)</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7,028</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other comprehensive income (loss)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(279,153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(240,270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(511,345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132,433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(378,912</w:t>
            </w:r>
          </w:p>
        </w:tc>
        <w:tc>
          <w:tcPr>
            <w:tcW w:w="4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June 30, 2022</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(174,462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(352,198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(156,739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(683,399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74"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176,909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(506,490</w:t>
            </w:r>
          </w:p>
        </w:tc>
        <w:tc>
          <w:tcPr>
            <w:tcW w:w="4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 w:hAnsi="Times New Roman"/>
          <w:b w:val="false"/>
          <w:i/>
          <w:sz w:val="16"/>
        </w:rPr>
      </w:pPr>
      <w:r>
        <w:rPr>
          <w:rFonts w:ascii="Times New Roman" w:hAnsi="Times New Roman"/>
          <w:b w:val="false"/>
          <w:i/>
          <w:sz w:val="16"/>
        </w:rPr>
        <w:t>(a)</w:t>
      </w:r>
    </w:p>
    <w:p>
      <w:pPr>
        <w:pStyle w:val="TextBody"/>
        <w:bidi w:val="0"/>
        <w:spacing w:before="40" w:after="0"/>
        <w:jc w:val="left"/>
        <w:rPr>
          <w:rFonts w:ascii="Times New Roman;serif" w:hAnsi="Times New Roman;serif"/>
          <w:b w:val="false"/>
          <w:i/>
          <w:sz w:val="16"/>
        </w:rPr>
      </w:pPr>
      <w:r>
        <w:rPr>
          <w:rFonts w:ascii="Times New Roman;serif" w:hAnsi="Times New Roman;serif"/>
          <w:b w:val="false"/>
          <w:i/>
          <w:sz w:val="16"/>
        </w:rPr>
        <w:t>Included in interest income.</w:t>
      </w:r>
    </w:p>
    <w:p>
      <w:pPr>
        <w:pStyle w:val="TextBody"/>
        <w:bidi w:val="0"/>
        <w:spacing w:before="0" w:after="0"/>
        <w:jc w:val="left"/>
        <w:rPr>
          <w:rFonts w:ascii="Times New Roman" w:hAnsi="Times New Roman"/>
          <w:b w:val="false"/>
          <w:i/>
          <w:sz w:val="16"/>
        </w:rPr>
      </w:pPr>
      <w:r>
        <w:rPr>
          <w:rFonts w:ascii="Times New Roman" w:hAnsi="Times New Roman"/>
          <w:b w:val="false"/>
          <w:i/>
          <w:sz w:val="16"/>
        </w:rPr>
        <w:t>(b)</w:t>
      </w:r>
    </w:p>
    <w:p>
      <w:pPr>
        <w:pStyle w:val="TextBody"/>
        <w:bidi w:val="0"/>
        <w:spacing w:before="0" w:after="0"/>
        <w:jc w:val="left"/>
        <w:rPr>
          <w:rFonts w:ascii="Times New Roman;serif" w:hAnsi="Times New Roman;serif"/>
          <w:b w:val="false"/>
          <w:i/>
          <w:sz w:val="16"/>
        </w:rPr>
      </w:pPr>
      <w:r>
        <w:rPr>
          <w:rFonts w:ascii="Times New Roman;serif" w:hAnsi="Times New Roman;serif"/>
          <w:b w:val="false"/>
          <w:i/>
          <w:sz w:val="16"/>
        </w:rPr>
        <w:t>Included in interest expense.</w:t>
      </w:r>
    </w:p>
    <w:p>
      <w:pPr>
        <w:pStyle w:val="TextBody"/>
        <w:bidi w:val="0"/>
        <w:spacing w:before="0" w:after="0"/>
        <w:jc w:val="left"/>
        <w:rPr>
          <w:rFonts w:ascii="Times New Roman" w:hAnsi="Times New Roman"/>
          <w:b w:val="false"/>
          <w:i/>
          <w:sz w:val="16"/>
        </w:rPr>
      </w:pPr>
      <w:r>
        <w:rPr>
          <w:rFonts w:ascii="Times New Roman" w:hAnsi="Times New Roman"/>
          <w:b w:val="false"/>
          <w:i/>
          <w:sz w:val="16"/>
        </w:rPr>
        <w:t>(c)</w:t>
      </w:r>
    </w:p>
    <w:p>
      <w:pPr>
        <w:pStyle w:val="TextBody"/>
        <w:bidi w:val="0"/>
        <w:jc w:val="left"/>
        <w:rPr>
          <w:rFonts w:ascii="Times New Roman;serif" w:hAnsi="Times New Roman;serif"/>
          <w:b w:val="false"/>
          <w:i/>
          <w:sz w:val="16"/>
        </w:rPr>
      </w:pPr>
      <w:r>
        <w:rPr>
          <w:rFonts w:ascii="Times New Roman;serif" w:hAnsi="Times New Roman;serif"/>
          <w:b w:val="false"/>
          <w:i/>
          <w:sz w:val="16"/>
        </w:rPr>
        <w:t>Included in other costs of operations.</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Accumulated other comprehensive income (loss), net consisted of the following:</w:t>
      </w:r>
    </w:p>
    <w:tbl>
      <w:tblPr>
        <w:tblW w:w="7377" w:type="dxa"/>
        <w:jc w:val="left"/>
        <w:tblInd w:w="0" w:type="dxa"/>
        <w:tblLayout w:type="fixed"/>
        <w:tblCellMar>
          <w:top w:w="28" w:type="dxa"/>
          <w:left w:w="28" w:type="dxa"/>
          <w:bottom w:w="28" w:type="dxa"/>
          <w:right w:w="28" w:type="dxa"/>
        </w:tblCellMar>
      </w:tblPr>
      <w:tblGrid>
        <w:gridCol w:w="2296"/>
        <w:gridCol w:w="146"/>
        <w:gridCol w:w="196"/>
        <w:gridCol w:w="751"/>
        <w:gridCol w:w="166"/>
        <w:gridCol w:w="146"/>
        <w:gridCol w:w="196"/>
        <w:gridCol w:w="751"/>
        <w:gridCol w:w="166"/>
        <w:gridCol w:w="146"/>
        <w:gridCol w:w="196"/>
        <w:gridCol w:w="751"/>
        <w:gridCol w:w="166"/>
        <w:gridCol w:w="146"/>
        <w:gridCol w:w="196"/>
        <w:gridCol w:w="751"/>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Defined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Investment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Benefit</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Securities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Plans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Other</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24" w:type="dxa"/>
            <w:gridSpan w:val="14"/>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December 31, 2022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(329,168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(202,186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(258,676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(790,030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gain (loss) during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(72,847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(74,770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 June 30, 2023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(327,838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(205,439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(331,523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(864,800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- 30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10. Derivative financial instruments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as of June 30, 2023.</w:t>
      </w:r>
    </w:p>
    <w:p>
      <w:pPr>
        <w:pStyle w:val="TextBody"/>
        <w:bidi w:val="0"/>
        <w:spacing w:before="120" w:after="0"/>
        <w:jc w:val="both"/>
        <w:rPr>
          <w:rFonts w:ascii="Times New Roman" w:hAnsi="Times New Roman"/>
          <w:sz w:val="20"/>
        </w:rPr>
      </w:pPr>
      <w:r>
        <w:rPr>
          <w:rFonts w:ascii="Times New Roman;serif" w:hAnsi="Times New Roman;serif"/>
          <w:b w:val="false"/>
          <w:sz w:val="23"/>
        </w:rPr>
        <w:t>The net effect of interest rate swap agreements was to decrease net interest income by $63</w:t>
      </w:r>
      <w:r>
        <w:rPr>
          <w:rFonts w:ascii="Times New Roman" w:hAnsi="Times New Roman"/>
          <w:sz w:val="20"/>
        </w:rPr>
        <w:t xml:space="preserve"> </w:t>
      </w:r>
      <w:r>
        <w:rPr>
          <w:rFonts w:ascii="Times New Roman;serif" w:hAnsi="Times New Roman;serif"/>
          <w:b w:val="false"/>
          <w:sz w:val="23"/>
        </w:rPr>
        <w:t>million and $132</w:t>
      </w:r>
      <w:r>
        <w:rPr>
          <w:rFonts w:ascii="Times New Roman" w:hAnsi="Times New Roman"/>
          <w:sz w:val="20"/>
        </w:rPr>
        <w:t xml:space="preserve"> </w:t>
      </w:r>
      <w:r>
        <w:rPr>
          <w:rFonts w:ascii="Times New Roman;serif" w:hAnsi="Times New Roman;serif"/>
          <w:b w:val="false"/>
          <w:sz w:val="23"/>
        </w:rPr>
        <w:t>million during the three-month and six-month periods ended June 30, 2023, respectively, and to increase net interest income by $25</w:t>
      </w:r>
      <w:r>
        <w:rPr>
          <w:rFonts w:ascii="Times New Roman" w:hAnsi="Times New Roman"/>
          <w:sz w:val="20"/>
        </w:rPr>
        <w:t xml:space="preserve"> </w:t>
      </w:r>
      <w:r>
        <w:rPr>
          <w:rFonts w:ascii="Times New Roman;serif" w:hAnsi="Times New Roman;serif"/>
          <w:b w:val="false"/>
          <w:sz w:val="23"/>
        </w:rPr>
        <w:t>million and $72</w:t>
      </w:r>
      <w:r>
        <w:rPr>
          <w:rFonts w:ascii="Times New Roman" w:hAnsi="Times New Roman"/>
          <w:sz w:val="20"/>
        </w:rPr>
        <w:t xml:space="preserve"> </w:t>
      </w:r>
      <w:r>
        <w:rPr>
          <w:rFonts w:ascii="Times New Roman;serif" w:hAnsi="Times New Roman;serif"/>
          <w:b w:val="false"/>
          <w:sz w:val="23"/>
        </w:rPr>
        <w:t>million during the three-month and six-month periods ended June 30, 2022, respectively.</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Information about interest rate swap agreements entered into for interest rate risk management purposes summarized by type of financial instrument the swap agreements were intended to hedge follows:</w:t>
      </w:r>
    </w:p>
    <w:tbl>
      <w:tblPr>
        <w:tblW w:w="10205" w:type="dxa"/>
        <w:jc w:val="left"/>
        <w:tblInd w:w="0" w:type="dxa"/>
        <w:tblLayout w:type="fixed"/>
        <w:tblCellMar>
          <w:top w:w="28" w:type="dxa"/>
          <w:left w:w="28" w:type="dxa"/>
          <w:bottom w:w="28" w:type="dxa"/>
          <w:right w:w="28" w:type="dxa"/>
        </w:tblCellMar>
      </w:tblPr>
      <w:tblGrid>
        <w:gridCol w:w="3944"/>
        <w:gridCol w:w="146"/>
        <w:gridCol w:w="199"/>
        <w:gridCol w:w="932"/>
        <w:gridCol w:w="146"/>
        <w:gridCol w:w="146"/>
        <w:gridCol w:w="242"/>
        <w:gridCol w:w="555"/>
        <w:gridCol w:w="146"/>
        <w:gridCol w:w="146"/>
        <w:gridCol w:w="146"/>
        <w:gridCol w:w="421"/>
        <w:gridCol w:w="256"/>
        <w:gridCol w:w="146"/>
        <w:gridCol w:w="189"/>
        <w:gridCol w:w="547"/>
        <w:gridCol w:w="256"/>
        <w:gridCol w:w="146"/>
        <w:gridCol w:w="281"/>
        <w:gridCol w:w="820"/>
        <w:gridCol w:w="395"/>
      </w:tblGrid>
      <w:tr>
        <w:trPr/>
        <w:tc>
          <w:tcPr>
            <w:tcW w:w="3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5"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395" w:type="dxa"/>
            <w:tcBorders/>
            <w:vAlign w:val="center"/>
          </w:tcPr>
          <w:p>
            <w:pPr>
              <w:pStyle w:val="TableContents"/>
              <w:bidi w:val="0"/>
              <w:spacing w:before="0" w:after="0"/>
              <w:ind w:left="0" w:right="0" w:hanging="0"/>
              <w:jc w:val="center"/>
              <w:rPr/>
            </w:pPr>
            <w:r>
              <w:rPr/>
              <w:t> </w:t>
            </w:r>
          </w:p>
        </w:tc>
      </w:tr>
      <w:tr>
        <w:trPr/>
        <w:tc>
          <w:tcPr>
            <w:tcW w:w="3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Rate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5" w:type="dxa"/>
            <w:tcBorders/>
            <w:vAlign w:val="center"/>
          </w:tcPr>
          <w:p>
            <w:pPr>
              <w:pStyle w:val="TableContents"/>
              <w:bidi w:val="0"/>
              <w:spacing w:before="0" w:after="0"/>
              <w:ind w:left="0" w:right="0" w:hanging="0"/>
              <w:jc w:val="center"/>
              <w:rPr/>
            </w:pPr>
            <w:r>
              <w:rPr/>
              <w:t> </w:t>
            </w:r>
          </w:p>
        </w:tc>
      </w:tr>
      <w:tr>
        <w:trPr/>
        <w:tc>
          <w:tcPr>
            <w:tcW w:w="3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Fixed</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Variable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Gain</w:t>
            </w:r>
            <w:r>
              <w:rPr>
                <w:rFonts w:ascii="Times New Roman" w:hAnsi="Times New Roman"/>
                <w:sz w:val="16"/>
              </w:rPr>
              <w:t xml:space="preserve"> </w:t>
            </w:r>
            <w:r>
              <w:rPr>
                <w:rFonts w:ascii="Times New Roman;serif" w:hAnsi="Times New Roman;serif"/>
                <w:b/>
                <w:sz w:val="16"/>
              </w:rPr>
              <w:t>(Loss)</w:t>
            </w:r>
            <w:r>
              <w:rPr>
                <w:rFonts w:ascii="Times New Roman" w:hAnsi="Times New Roman"/>
                <w:sz w:val="16"/>
              </w:rPr>
              <w:t xml:space="preserve"> </w:t>
            </w:r>
            <w:r>
              <w:rPr>
                <w:rFonts w:ascii="Times New Roman;serif" w:hAnsi="Times New Roman;serif"/>
                <w:b/>
                <w:sz w:val="16"/>
              </w:rPr>
              <w:t>(a)</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years)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01"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thousands)</w:t>
            </w:r>
          </w:p>
        </w:tc>
        <w:tc>
          <w:tcPr>
            <w:tcW w:w="395" w:type="dxa"/>
            <w:tcBorders/>
            <w:vAlign w:val="center"/>
          </w:tcPr>
          <w:p>
            <w:pPr>
              <w:pStyle w:val="TableContents"/>
              <w:bidi w:val="0"/>
              <w:spacing w:before="0" w:after="0"/>
              <w:ind w:left="0" w:right="0" w:hanging="0"/>
              <w:jc w:val="center"/>
              <w:rPr/>
            </w:pPr>
            <w:r>
              <w:rPr/>
              <w:t> </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June 30, 2023</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hedges:</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394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Fixed rate long-term borrowings (b) (e)</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2,207</w:t>
            </w:r>
          </w:p>
        </w:tc>
        <w:tc>
          <w:tcPr>
            <w:tcW w:w="395" w:type="dxa"/>
            <w:tcBorders/>
            <w:vAlign w:val="center"/>
          </w:tcPr>
          <w:p>
            <w:pPr>
              <w:pStyle w:val="TableContents"/>
              <w:bidi w:val="0"/>
              <w:spacing w:before="0" w:after="0"/>
              <w:ind w:left="0" w:right="0" w:hanging="0"/>
              <w:jc w:val="left"/>
              <w:rPr/>
            </w:pPr>
            <w:r>
              <w:rPr/>
              <w:t> </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 hedges:</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394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payments on variable rate commercial real estate loans (b) (c)</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18,727,000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94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21,227,000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2,133</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December 31, 2022</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hanging="0"/>
              <w:jc w:val="right"/>
              <w:rPr/>
            </w:pPr>
            <w:r>
              <w:rPr/>
              <w:t> </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Fair value hedges:</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394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Fixed rate long-term borrowings (b)</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4.52</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8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(833</w:t>
            </w:r>
          </w:p>
        </w:tc>
        <w:tc>
          <w:tcPr>
            <w:tcW w:w="39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9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flow hedges:</w:t>
            </w:r>
          </w:p>
        </w:tc>
        <w:tc>
          <w:tcPr>
            <w:tcW w:w="146" w:type="dxa"/>
            <w:tcBorders/>
            <w:vAlign w:val="center"/>
          </w:tcPr>
          <w:p>
            <w:pPr>
              <w:pStyle w:val="TableContents"/>
              <w:bidi w:val="0"/>
              <w:spacing w:before="0" w:after="0"/>
              <w:ind w:left="0" w:right="0" w:hanging="0"/>
              <w:jc w:val="left"/>
              <w:rPr/>
            </w:pPr>
            <w:r>
              <w:rPr/>
              <w:t> </w:t>
            </w:r>
          </w:p>
        </w:tc>
        <w:tc>
          <w:tcPr>
            <w:tcW w:w="11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01" w:type="dxa"/>
            <w:gridSpan w:val="2"/>
            <w:tcBorders/>
            <w:vAlign w:val="center"/>
          </w:tcPr>
          <w:p>
            <w:pPr>
              <w:pStyle w:val="TableContents"/>
              <w:bidi w:val="0"/>
              <w:spacing w:before="0" w:after="0"/>
              <w:ind w:left="0" w:right="0" w:hanging="0"/>
              <w:jc w:val="right"/>
              <w:rPr/>
            </w:pPr>
            <w:r>
              <w:rPr/>
              <w:t> </w:t>
            </w:r>
          </w:p>
        </w:tc>
        <w:tc>
          <w:tcPr>
            <w:tcW w:w="395" w:type="dxa"/>
            <w:tcBorders/>
            <w:vAlign w:val="center"/>
          </w:tcPr>
          <w:p>
            <w:pPr>
              <w:pStyle w:val="TableContents"/>
              <w:bidi w:val="0"/>
              <w:spacing w:before="0" w:after="0"/>
              <w:ind w:left="0" w:right="0" w:firstLine="200"/>
              <w:jc w:val="right"/>
              <w:rPr/>
            </w:pPr>
            <w:r>
              <w:rPr/>
              <w:t> </w:t>
            </w:r>
          </w:p>
        </w:tc>
      </w:tr>
      <w:tr>
        <w:trPr/>
        <w:tc>
          <w:tcPr>
            <w:tcW w:w="3944"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payments on variable rate commercial real estate loans (b) (d)</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15,900,000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1.91</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547"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4.38</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(7,059</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944"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8"/>
              </w:rPr>
              <w:t>Total</w:t>
            </w:r>
          </w:p>
        </w:tc>
        <w:tc>
          <w:tcPr>
            <w:tcW w:w="146" w:type="dxa"/>
            <w:tcBorders/>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17,400,000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(7,892</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pBdr>
          <w:bottom w:val="single" w:sz="4" w:space="1" w:color="000000"/>
        </w:pBdr>
        <w:bidi w:val="0"/>
        <w:spacing w:before="0" w:after="0"/>
        <w:jc w:val="left"/>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(a)</w:t>
      </w:r>
    </w:p>
    <w:p>
      <w:pPr>
        <w:pStyle w:val="TextBody"/>
        <w:bidi w:val="0"/>
        <w:spacing w:before="40" w:after="0"/>
        <w:jc w:val="both"/>
        <w:rPr>
          <w:rFonts w:ascii="Times New Roman;serif" w:hAnsi="Times New Roman;serif"/>
          <w:sz w:val="23"/>
        </w:rPr>
      </w:pPr>
      <w:r>
        <w:rPr>
          <w:rFonts w:ascii="Times New Roman;serif" w:hAnsi="Times New Roman;serif"/>
          <w:b w:val="false"/>
          <w:i/>
          <w:sz w:val="16"/>
        </w:rPr>
        <w:t>Certain clearinghouse exchanges consider payments by counterparties for variation margin on derivative instruments to be settlements of those positions. The impact of such payments for interest rate swap agreements designated as fair value hedges was a net settlement of losses of $102.4</w:t>
      </w:r>
      <w:r>
        <w:rPr>
          <w:rFonts w:ascii="Times New Roman;serif" w:hAnsi="Times New Roman;serif"/>
          <w:sz w:val="23"/>
        </w:rPr>
        <w:t xml:space="preserve"> </w:t>
      </w:r>
      <w:r>
        <w:rPr>
          <w:rFonts w:ascii="Times New Roman;serif" w:hAnsi="Times New Roman;serif"/>
          <w:b w:val="false"/>
          <w:i/>
          <w:sz w:val="16"/>
        </w:rPr>
        <w:t>million at June 30, 2023</w:t>
      </w:r>
      <w:r>
        <w:rPr>
          <w:rFonts w:ascii="Times New Roman;serif" w:hAnsi="Times New Roman;serif"/>
          <w:sz w:val="23"/>
        </w:rPr>
        <w:t xml:space="preserve"> </w:t>
      </w:r>
      <w:r>
        <w:rPr>
          <w:rFonts w:ascii="Times New Roman;serif" w:hAnsi="Times New Roman;serif"/>
          <w:b w:val="false"/>
          <w:i/>
          <w:sz w:val="16"/>
        </w:rPr>
        <w:t>and $65.0</w:t>
      </w:r>
      <w:r>
        <w:rPr>
          <w:rFonts w:ascii="Times New Roman;serif" w:hAnsi="Times New Roman;serif"/>
          <w:sz w:val="23"/>
        </w:rPr>
        <w:t xml:space="preserve"> </w:t>
      </w:r>
      <w:r>
        <w:rPr>
          <w:rFonts w:ascii="Times New Roman;serif" w:hAnsi="Times New Roman;serif"/>
          <w:b w:val="false"/>
          <w:i/>
          <w:sz w:val="16"/>
        </w:rPr>
        <w:t>million at December 31, 2022. The impact of such payments on interest rate swap agreements designated as cash flow hedges was a net settlement of losses of $436.7</w:t>
      </w:r>
      <w:r>
        <w:rPr>
          <w:rFonts w:ascii="Times New Roman;serif" w:hAnsi="Times New Roman;serif"/>
          <w:sz w:val="23"/>
        </w:rPr>
        <w:t xml:space="preserve"> </w:t>
      </w:r>
      <w:r>
        <w:rPr>
          <w:rFonts w:ascii="Times New Roman;serif" w:hAnsi="Times New Roman;serif"/>
          <w:b w:val="false"/>
          <w:i/>
          <w:sz w:val="16"/>
        </w:rPr>
        <w:t>million at June 30, 2023</w:t>
      </w:r>
      <w:r>
        <w:rPr>
          <w:rFonts w:ascii="Times New Roman;serif" w:hAnsi="Times New Roman;serif"/>
          <w:sz w:val="23"/>
        </w:rPr>
        <w:t xml:space="preserve"> </w:t>
      </w:r>
      <w:r>
        <w:rPr>
          <w:rFonts w:ascii="Times New Roman;serif" w:hAnsi="Times New Roman;serif"/>
          <w:b w:val="false"/>
          <w:i/>
          <w:sz w:val="16"/>
        </w:rPr>
        <w:t>and $329.7</w:t>
      </w:r>
      <w:r>
        <w:rPr>
          <w:rFonts w:ascii="Times New Roman;serif" w:hAnsi="Times New Roman;serif"/>
          <w:sz w:val="23"/>
        </w:rPr>
        <w:t xml:space="preserve"> </w:t>
      </w:r>
      <w:r>
        <w:rPr>
          <w:rFonts w:ascii="Times New Roman;serif" w:hAnsi="Times New Roman;serif"/>
          <w:b w:val="false"/>
          <w:i/>
          <w:sz w:val="16"/>
        </w:rPr>
        <w:t>million at December 31, 2022.</w:t>
      </w:r>
    </w:p>
    <w:p>
      <w:pPr>
        <w:pStyle w:val="TextBody"/>
        <w:bidi w:val="0"/>
        <w:spacing w:before="0" w:after="0"/>
        <w:jc w:val="both"/>
        <w:rPr>
          <w:rFonts w:ascii="Times New Roman" w:hAnsi="Times New Roman"/>
          <w:b w:val="false"/>
          <w:i/>
          <w:sz w:val="16"/>
        </w:rPr>
      </w:pPr>
      <w:r>
        <w:rPr>
          <w:rFonts w:ascii="Times New Roman" w:hAnsi="Times New Roman"/>
          <w:b w:val="false"/>
          <w:i/>
          <w:sz w:val="16"/>
        </w:rPr>
        <w:t>(b)</w:t>
      </w:r>
    </w:p>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Under the terms of these agreements, the Company receives settlement amounts at a fixed rate and pays at a variable rate.</w:t>
      </w:r>
    </w:p>
    <w:p>
      <w:pPr>
        <w:pStyle w:val="TextBody"/>
        <w:bidi w:val="0"/>
        <w:spacing w:before="0" w:after="0"/>
        <w:jc w:val="both"/>
        <w:rPr>
          <w:rFonts w:ascii="Times New Roman" w:hAnsi="Times New Roman"/>
          <w:b w:val="false"/>
          <w:i/>
          <w:sz w:val="16"/>
        </w:rPr>
      </w:pPr>
      <w:r>
        <w:rPr>
          <w:rFonts w:ascii="Times New Roman" w:hAnsi="Times New Roman"/>
          <w:b w:val="false"/>
          <w:i/>
          <w:sz w:val="16"/>
        </w:rPr>
        <w:t>(c)</w:t>
      </w:r>
    </w:p>
    <w:p>
      <w:pPr>
        <w:pStyle w:val="TextBody"/>
        <w:bidi w:val="0"/>
        <w:spacing w:before="0" w:after="0"/>
        <w:jc w:val="both"/>
        <w:rPr>
          <w:rFonts w:ascii="Times New Roman;serif" w:hAnsi="Times New Roman;serif"/>
          <w:sz w:val="23"/>
        </w:rPr>
      </w:pPr>
      <w:r>
        <w:rPr>
          <w:rFonts w:ascii="Times New Roman;serif" w:hAnsi="Times New Roman;serif"/>
          <w:b w:val="false"/>
          <w:i/>
          <w:sz w:val="16"/>
        </w:rPr>
        <w:t>Includes notional amount and terms of $7.3</w:t>
      </w:r>
      <w:r>
        <w:rPr>
          <w:rFonts w:ascii="Times New Roman;serif" w:hAnsi="Times New Roman;serif"/>
          <w:sz w:val="23"/>
        </w:rPr>
        <w:t xml:space="preserve"> </w:t>
      </w:r>
      <w:r>
        <w:rPr>
          <w:rFonts w:ascii="Times New Roman;serif" w:hAnsi="Times New Roman;serif"/>
          <w:b w:val="false"/>
          <w:i/>
          <w:sz w:val="16"/>
        </w:rPr>
        <w:t>billion of forward-starting interest rate swap agreements that become effective in 2023 and 2024.</w:t>
      </w:r>
    </w:p>
    <w:p>
      <w:pPr>
        <w:pStyle w:val="TextBody"/>
        <w:bidi w:val="0"/>
        <w:spacing w:before="0" w:after="0"/>
        <w:jc w:val="both"/>
        <w:rPr>
          <w:rFonts w:ascii="Times New Roman" w:hAnsi="Times New Roman"/>
          <w:b w:val="false"/>
          <w:i/>
          <w:sz w:val="16"/>
        </w:rPr>
      </w:pPr>
      <w:r>
        <w:rPr>
          <w:rFonts w:ascii="Times New Roman" w:hAnsi="Times New Roman"/>
          <w:b w:val="false"/>
          <w:i/>
          <w:sz w:val="16"/>
        </w:rPr>
        <w:t>(d)</w:t>
      </w:r>
    </w:p>
    <w:p>
      <w:pPr>
        <w:pStyle w:val="TextBody"/>
        <w:bidi w:val="0"/>
        <w:spacing w:before="0" w:after="0"/>
        <w:jc w:val="both"/>
        <w:rPr>
          <w:rFonts w:ascii="Times New Roman;serif" w:hAnsi="Times New Roman;serif"/>
          <w:sz w:val="23"/>
        </w:rPr>
      </w:pPr>
      <w:r>
        <w:rPr>
          <w:rFonts w:ascii="Times New Roman;serif" w:hAnsi="Times New Roman;serif"/>
          <w:b w:val="false"/>
          <w:i/>
          <w:sz w:val="16"/>
        </w:rPr>
        <w:t>Includes notional amount and terms of $4.7</w:t>
      </w:r>
      <w:r>
        <w:rPr>
          <w:rFonts w:ascii="Times New Roman;serif" w:hAnsi="Times New Roman;serif"/>
          <w:sz w:val="23"/>
        </w:rPr>
        <w:t xml:space="preserve"> </w:t>
      </w:r>
      <w:r>
        <w:rPr>
          <w:rFonts w:ascii="Times New Roman;serif" w:hAnsi="Times New Roman;serif"/>
          <w:b w:val="false"/>
          <w:i/>
          <w:sz w:val="16"/>
        </w:rPr>
        <w:t>billion of forward-starting interest rate swap agreements that become effective in 2023.</w:t>
      </w:r>
    </w:p>
    <w:p>
      <w:pPr>
        <w:pStyle w:val="TextBody"/>
        <w:bidi w:val="0"/>
        <w:spacing w:before="0" w:after="0"/>
        <w:jc w:val="both"/>
        <w:rPr>
          <w:rFonts w:ascii="Times New Roman" w:hAnsi="Times New Roman"/>
          <w:b w:val="false"/>
          <w:i/>
          <w:sz w:val="16"/>
        </w:rPr>
      </w:pPr>
      <w:r>
        <w:rPr>
          <w:rFonts w:ascii="Times New Roman" w:hAnsi="Times New Roman"/>
          <w:b w:val="false"/>
          <w:i/>
          <w:sz w:val="16"/>
        </w:rPr>
        <w:t>(e)</w:t>
      </w:r>
    </w:p>
    <w:p>
      <w:pPr>
        <w:pStyle w:val="TextBody"/>
        <w:bidi w:val="0"/>
        <w:jc w:val="both"/>
        <w:rPr>
          <w:rFonts w:ascii="Times New Roman;serif" w:hAnsi="Times New Roman;serif"/>
          <w:sz w:val="23"/>
        </w:rPr>
      </w:pPr>
      <w:r>
        <w:rPr>
          <w:rFonts w:ascii="Times New Roman;serif" w:hAnsi="Times New Roman;serif"/>
          <w:b w:val="false"/>
          <w:i/>
          <w:sz w:val="16"/>
        </w:rPr>
        <w:t>Excludes notional amount and terms of $500</w:t>
      </w:r>
      <w:r>
        <w:rPr>
          <w:rFonts w:ascii="Times New Roman;serif" w:hAnsi="Times New Roman;serif"/>
          <w:sz w:val="23"/>
        </w:rPr>
        <w:t xml:space="preserve"> </w:t>
      </w:r>
      <w:r>
        <w:rPr>
          <w:rFonts w:ascii="Times New Roman;serif" w:hAnsi="Times New Roman;serif"/>
          <w:b w:val="false"/>
          <w:i/>
          <w:sz w:val="16"/>
        </w:rPr>
        <w:t>million of forward-starting SOFR-based interest rate swap agreements that, in connection with LIBOR cessation, were entered into to succeed a like-amount of LIBOR-based interest rate swap agreements in the third quarter of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Changes in unrealized gains and losses are included in mortgage banking revenues and, in general, are realized in subsequent periods as the related loans are sold and commitments satisfied.</w:t>
      </w:r>
    </w:p>
    <w:p>
      <w:pPr>
        <w:pStyle w:val="TextBody"/>
        <w:bidi w:val="0"/>
        <w:spacing w:before="240" w:after="0"/>
        <w:jc w:val="center"/>
        <w:rPr>
          <w:rFonts w:ascii="Times New Roman" w:hAnsi="Times New Roman"/>
          <w:sz w:val="20"/>
        </w:rPr>
      </w:pPr>
      <w:r>
        <w:rPr>
          <w:rFonts w:ascii="Times New Roman;serif" w:hAnsi="Times New Roman;serif"/>
          <w:b w:val="false"/>
          <w:sz w:val="20"/>
        </w:rPr>
        <w:t>- 31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10. Derivative financial instruments,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Other derivative financial instruments not designated as hedging instruments included interest rate contracts, foreign exchange and other option and futures contracts. Interest rate contracts not designated as hedging instruments had notional values of $44.2</w:t>
      </w:r>
      <w:r>
        <w:rPr>
          <w:rFonts w:ascii="Times New Roman" w:hAnsi="Times New Roman"/>
          <w:sz w:val="20"/>
        </w:rPr>
        <w:t xml:space="preserve"> </w:t>
      </w:r>
      <w:r>
        <w:rPr>
          <w:rFonts w:ascii="Times New Roman;serif" w:hAnsi="Times New Roman;serif"/>
          <w:b w:val="false"/>
          <w:sz w:val="23"/>
        </w:rPr>
        <w:t>billion (excluding notional amounts of $13.6</w:t>
      </w:r>
      <w:r>
        <w:rPr>
          <w:rFonts w:ascii="Times New Roman" w:hAnsi="Times New Roman"/>
          <w:sz w:val="20"/>
        </w:rPr>
        <w:t xml:space="preserve"> </w:t>
      </w:r>
      <w:r>
        <w:rPr>
          <w:rFonts w:ascii="Times New Roman;serif" w:hAnsi="Times New Roman;serif"/>
          <w:b w:val="false"/>
          <w:sz w:val="23"/>
        </w:rPr>
        <w:t>billion of forward-starting SOFR-based interest rate swap agreements that, in connection with LIBOR cessation, were entered into to succeed a like-amount of LIBOR-based interest swap rate swap agreements in the third quarter of 2023) and $45.1</w:t>
      </w:r>
      <w:r>
        <w:rPr>
          <w:rFonts w:ascii="Times New Roman" w:hAnsi="Times New Roman"/>
          <w:sz w:val="20"/>
        </w:rPr>
        <w:t xml:space="preserve"> </w:t>
      </w:r>
      <w:r>
        <w:rPr>
          <w:rFonts w:ascii="Times New Roman;serif" w:hAnsi="Times New Roman;serif"/>
          <w:b w:val="false"/>
          <w:sz w:val="23"/>
        </w:rPr>
        <w:t>billion at June 30, 2023 and December 31, 2022, respectively. The notional amounts of foreign exchange and other option and futures contracts not designated as hedging instruments aggregated $1.7</w:t>
      </w:r>
      <w:r>
        <w:rPr>
          <w:rFonts w:ascii="Times New Roman" w:hAnsi="Times New Roman"/>
          <w:sz w:val="20"/>
        </w:rPr>
        <w:t xml:space="preserve"> </w:t>
      </w:r>
      <w:r>
        <w:rPr>
          <w:rFonts w:ascii="Times New Roman;serif" w:hAnsi="Times New Roman;serif"/>
          <w:b w:val="false"/>
          <w:sz w:val="23"/>
        </w:rPr>
        <w:t>billion at each of June 30, 2023 and December 31, 2022.</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Information about the fair values of derivative instruments in the Company’s Consolidated Balance Sheet and Consolidated Statement of Income follows:</w:t>
      </w:r>
    </w:p>
    <w:tbl>
      <w:tblPr>
        <w:tblW w:w="10205" w:type="dxa"/>
        <w:jc w:val="left"/>
        <w:tblInd w:w="0" w:type="dxa"/>
        <w:tblLayout w:type="fixed"/>
        <w:tblCellMar>
          <w:top w:w="28" w:type="dxa"/>
          <w:left w:w="28" w:type="dxa"/>
          <w:bottom w:w="28" w:type="dxa"/>
          <w:right w:w="28" w:type="dxa"/>
        </w:tblCellMar>
      </w:tblPr>
      <w:tblGrid>
        <w:gridCol w:w="4445"/>
        <w:gridCol w:w="146"/>
        <w:gridCol w:w="211"/>
        <w:gridCol w:w="781"/>
        <w:gridCol w:w="146"/>
        <w:gridCol w:w="146"/>
        <w:gridCol w:w="227"/>
        <w:gridCol w:w="842"/>
        <w:gridCol w:w="146"/>
        <w:gridCol w:w="146"/>
        <w:gridCol w:w="211"/>
        <w:gridCol w:w="931"/>
        <w:gridCol w:w="146"/>
        <w:gridCol w:w="146"/>
        <w:gridCol w:w="211"/>
        <w:gridCol w:w="931"/>
        <w:gridCol w:w="393"/>
      </w:tblGrid>
      <w:tr>
        <w:trPr/>
        <w:tc>
          <w:tcPr>
            <w:tcW w:w="4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Asset Derivatives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Liability Derivatives</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3" w:type="dxa"/>
            <w:tcBorders/>
            <w:vAlign w:val="center"/>
          </w:tcPr>
          <w:p>
            <w:pPr>
              <w:pStyle w:val="TableContents"/>
              <w:bidi w:val="0"/>
              <w:spacing w:before="0" w:after="0"/>
              <w:ind w:left="0" w:right="0" w:hanging="0"/>
              <w:jc w:val="center"/>
              <w:rPr/>
            </w:pPr>
            <w:r>
              <w:rPr/>
              <w:t> </w:t>
            </w:r>
          </w:p>
        </w:tc>
      </w:tr>
      <w:tr>
        <w:trPr/>
        <w:tc>
          <w:tcPr>
            <w:tcW w:w="44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3" w:type="dxa"/>
            <w:tcBorders/>
            <w:vAlign w:val="center"/>
          </w:tcPr>
          <w:p>
            <w:pPr>
              <w:pStyle w:val="TableContents"/>
              <w:bidi w:val="0"/>
              <w:spacing w:before="0" w:after="0"/>
              <w:ind w:left="0" w:right="0" w:hanging="0"/>
              <w:jc w:val="center"/>
              <w:rPr/>
            </w:pPr>
            <w:r>
              <w:rPr/>
              <w:t> </w:t>
            </w:r>
          </w:p>
        </w:tc>
      </w:tr>
      <w:tr>
        <w:trPr/>
        <w:tc>
          <w:tcPr>
            <w:tcW w:w="44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4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221"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3" w:type="dxa"/>
            <w:tcBorders/>
            <w:vAlign w:val="center"/>
          </w:tcPr>
          <w:p>
            <w:pPr>
              <w:pStyle w:val="TableContents"/>
              <w:bidi w:val="0"/>
              <w:spacing w:before="0" w:after="0"/>
              <w:ind w:left="0" w:right="0" w:hanging="0"/>
              <w:jc w:val="center"/>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Derivatives designated and qualifying as hedging instruments (a)</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rate swap agreements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9,094</w:t>
            </w:r>
          </w:p>
        </w:tc>
        <w:tc>
          <w:tcPr>
            <w:tcW w:w="393" w:type="dxa"/>
            <w:tcBorders/>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to sell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9,103</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Derivatives not designated and qualifying as hedging instruments (a)</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Mortgage banking:</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44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Mortgage-related commitments to originate real estate loans </w:t>
              <w:br/>
              <w:t>     for 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46,025</w:t>
            </w:r>
          </w:p>
        </w:tc>
        <w:tc>
          <w:tcPr>
            <w:tcW w:w="393" w:type="dxa"/>
            <w:tcBorders/>
            <w:vAlign w:val="center"/>
          </w:tcPr>
          <w:p>
            <w:pPr>
              <w:pStyle w:val="TableContents"/>
              <w:bidi w:val="0"/>
              <w:spacing w:before="0" w:after="0"/>
              <w:ind w:left="0" w:right="0" w:firstLine="200"/>
              <w:jc w:val="left"/>
              <w:rPr/>
            </w:pPr>
            <w:r>
              <w:rPr/>
              <w:t> </w:t>
            </w:r>
          </w:p>
        </w:tc>
      </w:tr>
      <w:tr>
        <w:trPr/>
        <w:tc>
          <w:tcPr>
            <w:tcW w:w="44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Commitments to sell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51,410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445"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46,039</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4445"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Interest rate contracts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left"/>
              <w:rPr/>
            </w:pPr>
            <w:r>
              <w:rPr/>
              <w:t> </w:t>
            </w:r>
          </w:p>
        </w:tc>
        <w:tc>
          <w:tcPr>
            <w:tcW w:w="8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1,278,180</w:t>
            </w:r>
          </w:p>
        </w:tc>
        <w:tc>
          <w:tcPr>
            <w:tcW w:w="393" w:type="dxa"/>
            <w:tcBorders/>
            <w:vAlign w:val="center"/>
          </w:tcPr>
          <w:p>
            <w:pPr>
              <w:pStyle w:val="TableContents"/>
              <w:bidi w:val="0"/>
              <w:spacing w:before="0" w:after="0"/>
              <w:ind w:left="0" w:right="0" w:firstLine="200"/>
              <w:jc w:val="left"/>
              <w:rPr/>
            </w:pPr>
            <w:r>
              <w:rPr/>
              <w:t> </w:t>
            </w:r>
          </w:p>
        </w:tc>
      </w:tr>
      <w:tr>
        <w:trPr/>
        <w:tc>
          <w:tcPr>
            <w:tcW w:w="4445" w:type="dxa"/>
            <w:tcBorders/>
            <w:vAlign w:val="center"/>
          </w:tcPr>
          <w:p>
            <w:pPr>
              <w:pStyle w:val="TableContents"/>
              <w:bidi w:val="0"/>
              <w:spacing w:before="0" w:after="0"/>
              <w:ind w:left="200" w:right="0" w:hanging="0"/>
              <w:jc w:val="left"/>
              <w:rPr>
                <w:rFonts w:ascii="Times New Roman" w:hAnsi="Times New Roman"/>
                <w:sz w:val="18"/>
              </w:rPr>
            </w:pPr>
            <w:r>
              <w:rPr>
                <w:rFonts w:ascii="Times New Roman;serif" w:hAnsi="Times New Roman;serif"/>
                <w:b w:val="false"/>
                <w:sz w:val="18"/>
              </w:rPr>
              <w:t>Foreign</w:t>
            </w:r>
            <w:r>
              <w:rPr>
                <w:rFonts w:ascii="Times New Roman" w:hAnsi="Times New Roman"/>
                <w:sz w:val="18"/>
              </w:rPr>
              <w:t xml:space="preserve"> </w:t>
            </w:r>
            <w:r>
              <w:rPr>
                <w:rFonts w:ascii="Times New Roman;serif" w:hAnsi="Times New Roman;serif"/>
                <w:b w:val="false"/>
                <w:sz w:val="18"/>
              </w:rPr>
              <w:t>exchange</w:t>
            </w:r>
            <w:r>
              <w:rPr>
                <w:rFonts w:ascii="Times New Roman" w:hAnsi="Times New Roman"/>
                <w:sz w:val="18"/>
              </w:rPr>
              <w:t xml:space="preserve"> </w:t>
            </w:r>
            <w:r>
              <w:rPr>
                <w:rFonts w:ascii="Times New Roman;serif" w:hAnsi="Times New Roman;serif"/>
                <w:b w:val="false"/>
                <w:sz w:val="18"/>
              </w:rPr>
              <w:t>and</w:t>
            </w:r>
            <w:r>
              <w:rPr>
                <w:rFonts w:ascii="Times New Roman" w:hAnsi="Times New Roman"/>
                <w:sz w:val="18"/>
              </w:rPr>
              <w:t xml:space="preserve"> </w:t>
            </w:r>
            <w:r>
              <w:rPr>
                <w:rFonts w:ascii="Times New Roman;serif" w:hAnsi="Times New Roman;serif"/>
                <w:b w:val="false"/>
                <w:sz w:val="18"/>
              </w:rPr>
              <w:t>other</w:t>
            </w:r>
            <w:r>
              <w:rPr>
                <w:rFonts w:ascii="Times New Roman" w:hAnsi="Times New Roman"/>
                <w:sz w:val="18"/>
              </w:rPr>
              <w:t xml:space="preserve"> </w:t>
            </w:r>
            <w:r>
              <w:rPr>
                <w:rFonts w:ascii="Times New Roman;serif" w:hAnsi="Times New Roman;serif"/>
                <w:b w:val="false"/>
                <w:sz w:val="18"/>
              </w:rPr>
              <w:t>option</w:t>
            </w:r>
            <w:r>
              <w:rPr>
                <w:rFonts w:ascii="Times New Roman" w:hAnsi="Times New Roman"/>
                <w:sz w:val="18"/>
              </w:rPr>
              <w:t xml:space="preserve"> </w:t>
            </w:r>
            <w:r>
              <w:rPr>
                <w:rFonts w:ascii="Times New Roman;serif" w:hAnsi="Times New Roman;serif"/>
                <w:b w:val="false"/>
                <w:sz w:val="18"/>
              </w:rPr>
              <w:t>and</w:t>
            </w:r>
            <w:r>
              <w:rPr>
                <w:rFonts w:ascii="Times New Roman" w:hAnsi="Times New Roman"/>
                <w:sz w:val="18"/>
              </w:rPr>
              <w:t xml:space="preserve"> </w:t>
            </w:r>
            <w:r>
              <w:rPr>
                <w:rFonts w:ascii="Times New Roman;serif" w:hAnsi="Times New Roman;serif"/>
                <w:b w:val="false"/>
                <w:sz w:val="18"/>
              </w:rPr>
              <w:t>futures</w:t>
            </w:r>
            <w:r>
              <w:rPr>
                <w:rFonts w:ascii="Times New Roman" w:hAnsi="Times New Roman"/>
                <w:sz w:val="18"/>
              </w:rPr>
              <w:t xml:space="preserve"> </w:t>
            </w:r>
            <w:r>
              <w:rPr>
                <w:rFonts w:ascii="Times New Roman;serif" w:hAnsi="Times New Roman;serif"/>
                <w:b w:val="false"/>
                <w:sz w:val="18"/>
              </w:rPr>
              <w:t>contracts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22,004</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313,397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379,868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1,253,627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1,300,184</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derivatives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374,790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435,969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1,295,532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1,355,326</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(a)</w:t>
      </w:r>
    </w:p>
    <w:p>
      <w:pPr>
        <w:pStyle w:val="TextBody"/>
        <w:bidi w:val="0"/>
        <w:spacing w:before="40" w:after="0"/>
        <w:jc w:val="both"/>
        <w:rPr>
          <w:rFonts w:ascii="Times New Roman;serif" w:hAnsi="Times New Roman;serif"/>
          <w:b w:val="false"/>
          <w:i/>
          <w:sz w:val="16"/>
        </w:rPr>
      </w:pPr>
      <w:r>
        <w:rPr>
          <w:rFonts w:ascii="Times New Roman;serif" w:hAnsi="Times New Roman;serif"/>
          <w:b w:val="false"/>
          <w:i/>
          <w:sz w:val="16"/>
        </w:rPr>
        <w:t>Asset derivatives are reported in other assets and liability derivatives are reported in other liabilities.</w:t>
      </w:r>
    </w:p>
    <w:p>
      <w:pPr>
        <w:pStyle w:val="TextBody"/>
        <w:bidi w:val="0"/>
        <w:spacing w:before="0" w:after="120"/>
        <w:jc w:val="both"/>
        <w:rPr>
          <w:rFonts w:ascii="Times New Roman" w:hAnsi="Times New Roman"/>
          <w:b w:val="false"/>
          <w:i/>
          <w:sz w:val="16"/>
        </w:rPr>
      </w:pPr>
      <w:r>
        <w:rPr>
          <w:rFonts w:ascii="Times New Roman" w:hAnsi="Times New Roman"/>
          <w:b w:val="false"/>
          <w:i/>
          <w:sz w:val="16"/>
        </w:rPr>
        <w:t>(b)</w:t>
      </w:r>
    </w:p>
    <w:p>
      <w:pPr>
        <w:pStyle w:val="TextBody"/>
        <w:bidi w:val="0"/>
        <w:spacing w:before="0" w:after="120"/>
        <w:jc w:val="both"/>
        <w:rPr>
          <w:rFonts w:ascii="Times New Roman;serif" w:hAnsi="Times New Roman;serif"/>
          <w:sz w:val="23"/>
        </w:rPr>
      </w:pPr>
      <w:r>
        <w:rPr>
          <w:rFonts w:ascii="Times New Roman;serif" w:hAnsi="Times New Roman;serif"/>
          <w:b w:val="false"/>
          <w:i/>
          <w:sz w:val="16"/>
        </w:rPr>
        <w:t>The impact of variation margin payments at June 30, 2023 and December 31, 2022</w:t>
      </w:r>
      <w:r>
        <w:rPr>
          <w:rFonts w:ascii="Times New Roman;serif" w:hAnsi="Times New Roman;serif"/>
          <w:sz w:val="23"/>
        </w:rPr>
        <w:t xml:space="preserve"> </w:t>
      </w:r>
      <w:r>
        <w:rPr>
          <w:rFonts w:ascii="Times New Roman;serif" w:hAnsi="Times New Roman;serif"/>
          <w:b w:val="false"/>
          <w:i/>
          <w:sz w:val="16"/>
        </w:rPr>
        <w:t>was a reduction of the estimated fair value of interest rate contracts not designated as hedging instruments in an asset position of $1.1</w:t>
      </w:r>
      <w:r>
        <w:rPr>
          <w:rFonts w:ascii="Times New Roman;serif" w:hAnsi="Times New Roman;serif"/>
          <w:sz w:val="23"/>
        </w:rPr>
        <w:t xml:space="preserve"> </w:t>
      </w:r>
      <w:r>
        <w:rPr>
          <w:rFonts w:ascii="Times New Roman;serif" w:hAnsi="Times New Roman;serif"/>
          <w:b w:val="false"/>
          <w:i/>
          <w:sz w:val="16"/>
        </w:rPr>
        <w:t>billion as of each period end, and in a liability position of $17.4</w:t>
      </w:r>
      <w:r>
        <w:rPr>
          <w:rFonts w:ascii="Times New Roman;serif" w:hAnsi="Times New Roman;serif"/>
          <w:sz w:val="23"/>
        </w:rPr>
        <w:t xml:space="preserve"> </w:t>
      </w:r>
      <w:r>
        <w:rPr>
          <w:rFonts w:ascii="Times New Roman;serif" w:hAnsi="Times New Roman;serif"/>
          <w:b w:val="false"/>
          <w:i/>
          <w:sz w:val="16"/>
        </w:rPr>
        <w:t>million and $29.2</w:t>
      </w:r>
      <w:r>
        <w:rPr>
          <w:rFonts w:ascii="Times New Roman;serif" w:hAnsi="Times New Roman;serif"/>
          <w:sz w:val="23"/>
        </w:rPr>
        <w:t xml:space="preserve"> </w:t>
      </w:r>
      <w:r>
        <w:rPr>
          <w:rFonts w:ascii="Times New Roman;serif" w:hAnsi="Times New Roman;serif"/>
          <w:b w:val="false"/>
          <w:i/>
          <w:sz w:val="16"/>
        </w:rPr>
        <w:t>million, respectively.</w:t>
      </w:r>
    </w:p>
    <w:tbl>
      <w:tblPr>
        <w:tblW w:w="10205" w:type="dxa"/>
        <w:jc w:val="left"/>
        <w:tblInd w:w="0" w:type="dxa"/>
        <w:tblLayout w:type="fixed"/>
        <w:tblCellMar>
          <w:top w:w="28" w:type="dxa"/>
          <w:left w:w="28" w:type="dxa"/>
          <w:bottom w:w="28" w:type="dxa"/>
          <w:right w:w="28" w:type="dxa"/>
        </w:tblCellMar>
      </w:tblPr>
      <w:tblGrid>
        <w:gridCol w:w="4806"/>
        <w:gridCol w:w="146"/>
        <w:gridCol w:w="211"/>
        <w:gridCol w:w="736"/>
        <w:gridCol w:w="166"/>
        <w:gridCol w:w="146"/>
        <w:gridCol w:w="182"/>
        <w:gridCol w:w="843"/>
        <w:gridCol w:w="146"/>
        <w:gridCol w:w="146"/>
        <w:gridCol w:w="211"/>
        <w:gridCol w:w="736"/>
        <w:gridCol w:w="166"/>
        <w:gridCol w:w="146"/>
        <w:gridCol w:w="182"/>
        <w:gridCol w:w="843"/>
        <w:gridCol w:w="393"/>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of Gain (Loss) Recognized</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93" w:type="dxa"/>
            <w:tcBorders/>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Hedged Item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Hedged Item</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3" w:type="dxa"/>
            <w:tcBorders/>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Derivatives in fair value hedging relationships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 agreements: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4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Fixed rate long-term borrowings (a)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(46,429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47,202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20,762</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06"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contracts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and other option and futures contracts (b)</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- 32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10. Derivative financial instruments, continued</w:t>
      </w:r>
    </w:p>
    <w:tbl>
      <w:tblPr>
        <w:tblW w:w="10205" w:type="dxa"/>
        <w:jc w:val="left"/>
        <w:tblInd w:w="0" w:type="dxa"/>
        <w:tblLayout w:type="fixed"/>
        <w:tblCellMar>
          <w:top w:w="28" w:type="dxa"/>
          <w:left w:w="28" w:type="dxa"/>
          <w:bottom w:w="28" w:type="dxa"/>
          <w:right w:w="28" w:type="dxa"/>
        </w:tblCellMar>
      </w:tblPr>
      <w:tblGrid>
        <w:gridCol w:w="4806"/>
        <w:gridCol w:w="146"/>
        <w:gridCol w:w="211"/>
        <w:gridCol w:w="736"/>
        <w:gridCol w:w="166"/>
        <w:gridCol w:w="146"/>
        <w:gridCol w:w="182"/>
        <w:gridCol w:w="843"/>
        <w:gridCol w:w="146"/>
        <w:gridCol w:w="146"/>
        <w:gridCol w:w="211"/>
        <w:gridCol w:w="736"/>
        <w:gridCol w:w="166"/>
        <w:gridCol w:w="146"/>
        <w:gridCol w:w="182"/>
        <w:gridCol w:w="843"/>
        <w:gridCol w:w="393"/>
      </w:tblGrid>
      <w:tr>
        <w:trPr/>
        <w:tc>
          <w:tcPr>
            <w:tcW w:w="4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of Gain (Loss) Recognized</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3" w:type="dxa"/>
            <w:tcBorders/>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Hedged Item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Derivative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Hedged Item</w:t>
            </w:r>
          </w:p>
        </w:tc>
        <w:tc>
          <w:tcPr>
            <w:tcW w:w="3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860"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3" w:type="dxa"/>
            <w:tcBorders/>
            <w:vAlign w:val="center"/>
          </w:tcPr>
          <w:p>
            <w:pPr>
              <w:pStyle w:val="TableContents"/>
              <w:bidi w:val="0"/>
              <w:spacing w:before="0" w:after="0"/>
              <w:ind w:left="0" w:right="0" w:hanging="0"/>
              <w:jc w:val="center"/>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Derivatives in fair value hedging relationships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 agreements: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right"/>
              <w:rPr/>
            </w:pPr>
            <w:r>
              <w:rPr/>
              <w:t> </w:t>
            </w:r>
          </w:p>
        </w:tc>
      </w:tr>
      <w:tr>
        <w:trPr/>
        <w:tc>
          <w:tcPr>
            <w:tcW w:w="480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Fixed rate long-term borrowings (a)</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(63,956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63,760</w:t>
            </w:r>
          </w:p>
        </w:tc>
        <w:tc>
          <w:tcPr>
            <w:tcW w:w="3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Derivatives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contracts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 exchange and other option and futures contracts (b)</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r>
        <w:trPr/>
        <w:tc>
          <w:tcPr>
            <w:tcW w:w="48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5" w:type="dxa"/>
            <w:gridSpan w:val="2"/>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hanging="0"/>
              <w:jc w:val="righ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(a)</w:t>
      </w:r>
    </w:p>
    <w:p>
      <w:pPr>
        <w:pStyle w:val="TextBody"/>
        <w:bidi w:val="0"/>
        <w:spacing w:before="40" w:after="0"/>
        <w:jc w:val="both"/>
        <w:rPr>
          <w:rFonts w:ascii="Times New Roman;serif" w:hAnsi="Times New Roman;serif"/>
          <w:b w:val="false"/>
          <w:i/>
          <w:sz w:val="16"/>
        </w:rPr>
      </w:pPr>
      <w:r>
        <w:rPr>
          <w:rFonts w:ascii="Times New Roman;serif" w:hAnsi="Times New Roman;serif"/>
          <w:b w:val="false"/>
          <w:i/>
          <w:sz w:val="16"/>
        </w:rPr>
        <w:t xml:space="preserve">Reported as an adjustment to interest expense. </w:t>
      </w:r>
    </w:p>
    <w:p>
      <w:pPr>
        <w:pStyle w:val="TextBody"/>
        <w:bidi w:val="0"/>
        <w:spacing w:before="0" w:after="120"/>
        <w:jc w:val="both"/>
        <w:rPr>
          <w:rFonts w:ascii="Times New Roman" w:hAnsi="Times New Roman"/>
          <w:b w:val="false"/>
          <w:i/>
          <w:sz w:val="16"/>
        </w:rPr>
      </w:pPr>
      <w:r>
        <w:rPr>
          <w:rFonts w:ascii="Times New Roman" w:hAnsi="Times New Roman"/>
          <w:b w:val="false"/>
          <w:i/>
          <w:sz w:val="16"/>
        </w:rPr>
        <w:t>(b)</w:t>
      </w:r>
    </w:p>
    <w:p>
      <w:pPr>
        <w:pStyle w:val="TextBody"/>
        <w:bidi w:val="0"/>
        <w:spacing w:before="0" w:after="120"/>
        <w:jc w:val="both"/>
        <w:rPr>
          <w:rFonts w:ascii="Times New Roman;serif" w:hAnsi="Times New Roman;serif"/>
          <w:b w:val="false"/>
          <w:i/>
          <w:sz w:val="16"/>
        </w:rPr>
      </w:pPr>
      <w:r>
        <w:rPr>
          <w:rFonts w:ascii="Times New Roman;serif" w:hAnsi="Times New Roman;serif"/>
          <w:b w:val="false"/>
          <w:i/>
          <w:sz w:val="16"/>
        </w:rPr>
        <w:t xml:space="preserve">Reported as trading account and other non-hedging derivative gains.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86"/>
        <w:gridCol w:w="346"/>
        <w:gridCol w:w="211"/>
        <w:gridCol w:w="931"/>
        <w:gridCol w:w="346"/>
        <w:gridCol w:w="346"/>
        <w:gridCol w:w="229"/>
        <w:gridCol w:w="1010"/>
        <w:gridCol w:w="346"/>
        <w:gridCol w:w="346"/>
        <w:gridCol w:w="343"/>
        <w:gridCol w:w="1369"/>
        <w:gridCol w:w="596"/>
        <w:gridCol w:w="563"/>
        <w:gridCol w:w="343"/>
        <w:gridCol w:w="1198"/>
        <w:gridCol w:w="396"/>
      </w:tblGrid>
      <w:tr>
        <w:trPr/>
        <w:tc>
          <w:tcPr>
            <w:tcW w:w="12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2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07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 Amount of the Hedged Item</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441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Cumulative Amount of Fair Value Hedging Adjustment Increasing (Decreasing) the Carrying Amount of the Hedged Item</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center"/>
              <w:rPr/>
            </w:pPr>
            <w:r>
              <w:rPr/>
              <w:t> </w:t>
            </w:r>
          </w:p>
        </w:tc>
        <w:tc>
          <w:tcPr>
            <w:tcW w:w="12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7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63" w:type="dxa"/>
            <w:tcBorders/>
            <w:vAlign w:val="center"/>
          </w:tcPr>
          <w:p>
            <w:pPr>
              <w:pStyle w:val="TableContents"/>
              <w:bidi w:val="0"/>
              <w:spacing w:before="0" w:after="0"/>
              <w:ind w:left="0" w:right="0" w:hanging="0"/>
              <w:jc w:val="center"/>
              <w:rPr/>
            </w:pPr>
            <w:r>
              <w:rPr/>
              <w:t> </w:t>
            </w:r>
          </w:p>
        </w:tc>
        <w:tc>
          <w:tcPr>
            <w:tcW w:w="1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177"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6" w:type="dxa"/>
            <w:tcBorders/>
            <w:vAlign w:val="center"/>
          </w:tcPr>
          <w:p>
            <w:pPr>
              <w:pStyle w:val="TableContents"/>
              <w:bidi w:val="0"/>
              <w:spacing w:before="0" w:after="0"/>
              <w:ind w:left="0" w:right="0" w:hanging="0"/>
              <w:jc w:val="center"/>
              <w:rPr/>
            </w:pPr>
            <w:r>
              <w:rPr/>
              <w:t> </w:t>
            </w:r>
          </w:p>
        </w:tc>
      </w:tr>
      <w:tr>
        <w:trPr/>
        <w:tc>
          <w:tcPr>
            <w:tcW w:w="9809" w:type="dxa"/>
            <w:gridSpan w:val="16"/>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Location in the</w:t>
            </w:r>
            <w:r>
              <w:rPr>
                <w:rFonts w:ascii="Times New Roman" w:hAnsi="Times New Roman"/>
                <w:sz w:val="20"/>
              </w:rPr>
              <w:t xml:space="preserve"> </w:t>
            </w:r>
            <w:r>
              <w:rPr>
                <w:rFonts w:ascii="Times New Roman;serif" w:hAnsi="Times New Roman;serif"/>
                <w:b/>
                <w:sz w:val="20"/>
              </w:rPr>
              <w:t>Consolidated</w:t>
            </w:r>
            <w:r>
              <w:rPr>
                <w:rFonts w:ascii="Times New Roman" w:hAnsi="Times New Roman"/>
                <w:sz w:val="20"/>
              </w:rPr>
              <w:t xml:space="preserve"> </w:t>
            </w:r>
            <w:r>
              <w:rPr>
                <w:rFonts w:ascii="Times New Roman;serif" w:hAnsi="Times New Roman;serif"/>
                <w:b/>
                <w:sz w:val="20"/>
              </w:rPr>
              <w:t>Balance</w:t>
            </w:r>
            <w:r>
              <w:rPr>
                <w:rFonts w:ascii="Times New Roman" w:hAnsi="Times New Roman"/>
                <w:sz w:val="20"/>
              </w:rPr>
              <w:t xml:space="preserve"> </w:t>
            </w:r>
            <w:r>
              <w:rPr>
                <w:rFonts w:ascii="Times New Roman;serif" w:hAnsi="Times New Roman;serif"/>
                <w:b/>
                <w:sz w:val="20"/>
              </w:rPr>
              <w:t xml:space="preserve">Sheet </w:t>
              <w:br/>
              <w:t>   of the Hedged Items in Fair Value</w:t>
            </w:r>
            <w:r>
              <w:rPr>
                <w:rFonts w:ascii="Times New Roman" w:hAnsi="Times New Roman"/>
                <w:sz w:val="20"/>
              </w:rPr>
              <w:t xml:space="preserve"> </w:t>
            </w:r>
            <w:r>
              <w:rPr>
                <w:rFonts w:ascii="Times New Roman;serif" w:hAnsi="Times New Roman;serif"/>
                <w:b/>
                <w:sz w:val="20"/>
              </w:rPr>
              <w:t>Hedges</w:t>
            </w:r>
          </w:p>
        </w:tc>
        <w:tc>
          <w:tcPr>
            <w:tcW w:w="396" w:type="dxa"/>
            <w:tcBorders/>
            <w:vAlign w:val="center"/>
          </w:tcPr>
          <w:p>
            <w:pPr>
              <w:pStyle w:val="TableContents"/>
              <w:bidi w:val="0"/>
              <w:spacing w:before="0" w:after="0"/>
              <w:ind w:left="0" w:right="0" w:firstLine="200"/>
              <w:jc w:val="left"/>
              <w:rPr/>
            </w:pPr>
            <w:r>
              <w:rPr/>
              <w:t> </w:t>
            </w:r>
          </w:p>
        </w:tc>
      </w:tr>
      <w:tr>
        <w:trPr/>
        <w:tc>
          <w:tcPr>
            <w:tcW w:w="128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1142" w:type="dxa"/>
            <w:gridSpan w:val="2"/>
            <w:tcBorders/>
            <w:vAlign w:val="center"/>
          </w:tcPr>
          <w:p>
            <w:pPr>
              <w:pStyle w:val="TableContents"/>
              <w:bidi w:val="0"/>
              <w:spacing w:before="0" w:after="0"/>
              <w:ind w:left="20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1239" w:type="dxa"/>
            <w:gridSpan w:val="2"/>
            <w:tcBorders/>
            <w:vAlign w:val="center"/>
          </w:tcPr>
          <w:p>
            <w:pPr>
              <w:pStyle w:val="TableContents"/>
              <w:bidi w:val="0"/>
              <w:spacing w:before="0" w:after="0"/>
              <w:ind w:left="200" w:right="0" w:hanging="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1712" w:type="dxa"/>
            <w:gridSpan w:val="2"/>
            <w:tcBorders/>
            <w:vAlign w:val="center"/>
          </w:tcPr>
          <w:p>
            <w:pPr>
              <w:pStyle w:val="TableContents"/>
              <w:bidi w:val="0"/>
              <w:spacing w:before="0" w:after="0"/>
              <w:ind w:left="200" w:right="0" w:hanging="0"/>
              <w:jc w:val="left"/>
              <w:rPr/>
            </w:pPr>
            <w:r>
              <w:rPr/>
              <w:t> </w:t>
            </w:r>
          </w:p>
        </w:tc>
        <w:tc>
          <w:tcPr>
            <w:tcW w:w="596" w:type="dxa"/>
            <w:tcBorders/>
            <w:vAlign w:val="center"/>
          </w:tcPr>
          <w:p>
            <w:pPr>
              <w:pStyle w:val="TableContents"/>
              <w:bidi w:val="0"/>
              <w:spacing w:before="0" w:after="0"/>
              <w:ind w:left="0" w:right="0" w:firstLine="200"/>
              <w:jc w:val="left"/>
              <w:rPr/>
            </w:pPr>
            <w:r>
              <w:rPr/>
              <w:t> </w:t>
            </w:r>
          </w:p>
        </w:tc>
        <w:tc>
          <w:tcPr>
            <w:tcW w:w="563" w:type="dxa"/>
            <w:tcBorders/>
            <w:vAlign w:val="center"/>
          </w:tcPr>
          <w:p>
            <w:pPr>
              <w:pStyle w:val="TableContents"/>
              <w:bidi w:val="0"/>
              <w:spacing w:before="0" w:after="0"/>
              <w:ind w:left="0" w:right="0" w:firstLine="200"/>
              <w:jc w:val="left"/>
              <w:rPr/>
            </w:pPr>
            <w:r>
              <w:rPr/>
              <w:t> </w:t>
            </w:r>
          </w:p>
        </w:tc>
        <w:tc>
          <w:tcPr>
            <w:tcW w:w="1541" w:type="dxa"/>
            <w:gridSpan w:val="2"/>
            <w:tcBorders/>
            <w:vAlign w:val="center"/>
          </w:tcPr>
          <w:p>
            <w:pPr>
              <w:pStyle w:val="TableContents"/>
              <w:bidi w:val="0"/>
              <w:spacing w:before="0" w:after="0"/>
              <w:ind w:left="20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r>
        <w:trPr/>
        <w:tc>
          <w:tcPr>
            <w:tcW w:w="128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Long-term debt</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2,394,614</w:t>
            </w:r>
          </w:p>
        </w:tc>
        <w:tc>
          <w:tcPr>
            <w:tcW w:w="34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1,433,731</w:t>
            </w:r>
          </w:p>
        </w:tc>
        <w:tc>
          <w:tcPr>
            <w:tcW w:w="34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(100,493</w:t>
            </w:r>
          </w:p>
        </w:tc>
        <w:tc>
          <w:tcPr>
            <w:tcW w:w="59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563" w:type="dxa"/>
            <w:tcBorders/>
            <w:vAlign w:val="center"/>
          </w:tcPr>
          <w:p>
            <w:pPr>
              <w:pStyle w:val="TableContents"/>
              <w:bidi w:val="0"/>
              <w:spacing w:before="0" w:after="0"/>
              <w:ind w:left="200" w:right="0" w:hanging="0"/>
              <w:jc w:val="left"/>
              <w:rPr/>
            </w:pPr>
            <w:r>
              <w:rPr/>
              <w:t> </w:t>
            </w:r>
          </w:p>
        </w:tc>
        <w:tc>
          <w:tcPr>
            <w:tcW w:w="3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(65,310</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8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239" w:type="dxa"/>
            <w:gridSpan w:val="2"/>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1712" w:type="dxa"/>
            <w:gridSpan w:val="2"/>
            <w:tcBorders/>
            <w:vAlign w:val="center"/>
          </w:tcPr>
          <w:p>
            <w:pPr>
              <w:pStyle w:val="TableContents"/>
              <w:bidi w:val="0"/>
              <w:spacing w:before="0" w:after="0"/>
              <w:ind w:left="0" w:right="0" w:hanging="0"/>
              <w:jc w:val="left"/>
              <w:rPr/>
            </w:pPr>
            <w:r>
              <w:rPr/>
              <w:t> </w:t>
            </w:r>
          </w:p>
        </w:tc>
        <w:tc>
          <w:tcPr>
            <w:tcW w:w="596" w:type="dxa"/>
            <w:tcBorders/>
            <w:vAlign w:val="center"/>
          </w:tcPr>
          <w:p>
            <w:pPr>
              <w:pStyle w:val="TableContents"/>
              <w:bidi w:val="0"/>
              <w:spacing w:before="0" w:after="0"/>
              <w:ind w:left="0" w:right="0" w:hanging="0"/>
              <w:jc w:val="left"/>
              <w:rPr/>
            </w:pPr>
            <w:r>
              <w:rPr/>
              <w:t> </w:t>
            </w:r>
          </w:p>
        </w:tc>
        <w:tc>
          <w:tcPr>
            <w:tcW w:w="563" w:type="dxa"/>
            <w:tcBorders/>
            <w:vAlign w:val="center"/>
          </w:tcPr>
          <w:p>
            <w:pPr>
              <w:pStyle w:val="TableContents"/>
              <w:bidi w:val="0"/>
              <w:spacing w:before="0" w:after="0"/>
              <w:ind w:left="0" w:right="0" w:hanging="0"/>
              <w:jc w:val="left"/>
              <w:rPr/>
            </w:pPr>
            <w:r>
              <w:rPr/>
              <w:t> </w:t>
            </w:r>
          </w:p>
        </w:tc>
        <w:tc>
          <w:tcPr>
            <w:tcW w:w="1541" w:type="dxa"/>
            <w:gridSpan w:val="2"/>
            <w:tcBorders/>
            <w:vAlign w:val="center"/>
          </w:tcPr>
          <w:p>
            <w:pPr>
              <w:pStyle w:val="TableContents"/>
              <w:bidi w:val="0"/>
              <w:spacing w:before="0" w:after="0"/>
              <w:ind w:left="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23"/>
        </w:rPr>
        <w:t>The amount of interest income recognized in the Consolidated Statement of Income associated with derivatives designated as cash flow hedges was a decrease</w:t>
      </w:r>
      <w:r>
        <w:rPr>
          <w:rFonts w:ascii="Times New Roman" w:hAnsi="Times New Roman"/>
          <w:sz w:val="20"/>
        </w:rPr>
        <w:t xml:space="preserve"> </w:t>
      </w:r>
      <w:r>
        <w:rPr>
          <w:rFonts w:ascii="Times New Roman;serif" w:hAnsi="Times New Roman;serif"/>
          <w:b w:val="false"/>
          <w:sz w:val="23"/>
        </w:rPr>
        <w:t>of $49</w:t>
      </w:r>
      <w:r>
        <w:rPr>
          <w:rFonts w:ascii="Times New Roman" w:hAnsi="Times New Roman"/>
          <w:sz w:val="20"/>
        </w:rPr>
        <w:t xml:space="preserve"> </w:t>
      </w:r>
      <w:r>
        <w:rPr>
          <w:rFonts w:ascii="Times New Roman;serif" w:hAnsi="Times New Roman;serif"/>
          <w:b w:val="false"/>
          <w:sz w:val="23"/>
        </w:rPr>
        <w:t>million and an increase of $20</w:t>
      </w:r>
      <w:r>
        <w:rPr>
          <w:rFonts w:ascii="Times New Roman" w:hAnsi="Times New Roman"/>
          <w:sz w:val="20"/>
        </w:rPr>
        <w:t xml:space="preserve"> </w:t>
      </w:r>
      <w:r>
        <w:rPr>
          <w:rFonts w:ascii="Times New Roman;serif" w:hAnsi="Times New Roman;serif"/>
          <w:b w:val="false"/>
          <w:sz w:val="23"/>
        </w:rPr>
        <w:t>million for the three months ended June 30, 2023 and 2022, respectively, and a decrease of $108</w:t>
      </w:r>
      <w:r>
        <w:rPr>
          <w:rFonts w:ascii="Times New Roman" w:hAnsi="Times New Roman"/>
          <w:sz w:val="20"/>
        </w:rPr>
        <w:t xml:space="preserve"> </w:t>
      </w:r>
      <w:r>
        <w:rPr>
          <w:rFonts w:ascii="Times New Roman;serif" w:hAnsi="Times New Roman;serif"/>
          <w:b w:val="false"/>
          <w:sz w:val="23"/>
        </w:rPr>
        <w:t>million and an increase of $58</w:t>
      </w:r>
      <w:r>
        <w:rPr>
          <w:rFonts w:ascii="Times New Roman" w:hAnsi="Times New Roman"/>
          <w:sz w:val="20"/>
        </w:rPr>
        <w:t xml:space="preserve"> </w:t>
      </w:r>
      <w:r>
        <w:rPr>
          <w:rFonts w:ascii="Times New Roman;serif" w:hAnsi="Times New Roman;serif"/>
          <w:b w:val="false"/>
          <w:sz w:val="23"/>
        </w:rPr>
        <w:t>million for the six-month period ended June 30, 2023 and 2022, respectively. As of June 30, 2023</w:t>
      </w:r>
      <w:r>
        <w:rPr>
          <w:rFonts w:ascii="Times New Roman" w:hAnsi="Times New Roman"/>
          <w:sz w:val="20"/>
        </w:rPr>
        <w:t xml:space="preserve"> </w:t>
      </w:r>
      <w:r>
        <w:rPr>
          <w:rFonts w:ascii="Times New Roman;serif" w:hAnsi="Times New Roman;serif"/>
          <w:b w:val="false"/>
          <w:sz w:val="23"/>
        </w:rPr>
        <w:t>the unrealized net loss recognized in other comprehensive income related to cash flow hedges was $437</w:t>
      </w:r>
      <w:r>
        <w:rPr>
          <w:rFonts w:ascii="Times New Roman" w:hAnsi="Times New Roman"/>
          <w:sz w:val="20"/>
        </w:rPr>
        <w:t xml:space="preserve"> </w:t>
      </w:r>
      <w:r>
        <w:rPr>
          <w:rFonts w:ascii="Times New Roman;serif" w:hAnsi="Times New Roman;serif"/>
          <w:b w:val="false"/>
          <w:sz w:val="23"/>
        </w:rPr>
        <w:t>million, of which losses of $12</w:t>
      </w:r>
      <w:r>
        <w:rPr>
          <w:rFonts w:ascii="Times New Roman" w:hAnsi="Times New Roman"/>
          <w:sz w:val="20"/>
        </w:rPr>
        <w:t xml:space="preserve"> </w:t>
      </w:r>
      <w:r>
        <w:rPr>
          <w:rFonts w:ascii="Times New Roman;serif" w:hAnsi="Times New Roman;serif"/>
          <w:b w:val="false"/>
          <w:sz w:val="23"/>
        </w:rPr>
        <w:t>million, $357</w:t>
      </w:r>
      <w:r>
        <w:rPr>
          <w:rFonts w:ascii="Times New Roman" w:hAnsi="Times New Roman"/>
          <w:sz w:val="20"/>
        </w:rPr>
        <w:t xml:space="preserve"> </w:t>
      </w:r>
      <w:r>
        <w:rPr>
          <w:rFonts w:ascii="Times New Roman;serif" w:hAnsi="Times New Roman;serif"/>
          <w:b w:val="false"/>
          <w:sz w:val="23"/>
        </w:rPr>
        <w:t>million and $68</w:t>
      </w:r>
      <w:r>
        <w:rPr>
          <w:rFonts w:ascii="Times New Roman" w:hAnsi="Times New Roman"/>
          <w:sz w:val="20"/>
        </w:rPr>
        <w:t xml:space="preserve"> </w:t>
      </w:r>
      <w:r>
        <w:rPr>
          <w:rFonts w:ascii="Times New Roman;serif" w:hAnsi="Times New Roman;serif"/>
          <w:b w:val="false"/>
          <w:sz w:val="23"/>
        </w:rPr>
        <w:t>million related to interest rate swap agreements maturing in 2024, 2025 and 2026, respectively.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pStyle w:val="TextBody"/>
        <w:bidi w:val="0"/>
        <w:spacing w:before="240" w:after="0"/>
        <w:jc w:val="center"/>
        <w:rPr>
          <w:rFonts w:ascii="Times New Roman" w:hAnsi="Times New Roman"/>
          <w:sz w:val="20"/>
        </w:rPr>
      </w:pPr>
      <w:r>
        <w:rPr>
          <w:rFonts w:ascii="Times New Roman;serif" w:hAnsi="Times New Roman;serif"/>
          <w:b w:val="false"/>
          <w:sz w:val="20"/>
        </w:rPr>
        <w:t>- 33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10. Derivative financial instruments, continued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aggregate fair value of derivative financial instruments in a liability position, which are subject to master netting arrangements and the related collateral posted, was not material at each of June 30, 2023 and December 31, 2022. Certain of the Company’s derivative financial instruments contain provisions that require the Company to maintain specific credit ratings from credit rating agencies to avoid higher collateral posting requirements. If the Company’s debt ratings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2023 was not material.</w:t>
      </w:r>
    </w:p>
    <w:p>
      <w:pPr>
        <w:pStyle w:val="TextBody"/>
        <w:bidi w:val="0"/>
        <w:spacing w:before="120" w:after="0"/>
        <w:jc w:val="both"/>
        <w:rPr>
          <w:rFonts w:ascii="Times New Roman" w:hAnsi="Times New Roman"/>
          <w:sz w:val="20"/>
        </w:rPr>
      </w:pPr>
      <w:r>
        <w:rPr>
          <w:rFonts w:ascii="Times New Roman;serif" w:hAnsi="Times New Roman;serif"/>
          <w:b w:val="false"/>
          <w:sz w:val="23"/>
        </w:rPr>
        <w:t>The aggregate fair value of derivative financial instruments in an asset position with counterparties, which are subject to enforceable master netting arrangements, was $286</w:t>
      </w:r>
      <w:r>
        <w:rPr>
          <w:rFonts w:ascii="Times New Roman" w:hAnsi="Times New Roman"/>
          <w:sz w:val="20"/>
        </w:rPr>
        <w:t xml:space="preserve"> </w:t>
      </w:r>
      <w:r>
        <w:rPr>
          <w:rFonts w:ascii="Times New Roman;serif" w:hAnsi="Times New Roman;serif"/>
          <w:b w:val="false"/>
          <w:sz w:val="23"/>
        </w:rPr>
        <w:t>million at June 30, 2023</w:t>
      </w:r>
      <w:r>
        <w:rPr>
          <w:rFonts w:ascii="Times New Roman" w:hAnsi="Times New Roman"/>
          <w:sz w:val="20"/>
        </w:rPr>
        <w:t xml:space="preserve"> </w:t>
      </w:r>
      <w:r>
        <w:rPr>
          <w:rFonts w:ascii="Times New Roman;serif" w:hAnsi="Times New Roman;serif"/>
          <w:b w:val="false"/>
          <w:sz w:val="23"/>
        </w:rPr>
        <w:t>and $314</w:t>
      </w:r>
      <w:r>
        <w:rPr>
          <w:rFonts w:ascii="Times New Roman" w:hAnsi="Times New Roman"/>
          <w:sz w:val="20"/>
        </w:rPr>
        <w:t xml:space="preserve"> </w:t>
      </w:r>
      <w:r>
        <w:rPr>
          <w:rFonts w:ascii="Times New Roman;serif" w:hAnsi="Times New Roman;serif"/>
          <w:b w:val="false"/>
          <w:sz w:val="23"/>
        </w:rPr>
        <w:t>million at December 31, 2022. Counterparties posted collateral relating to those positions of $262</w:t>
      </w:r>
      <w:r>
        <w:rPr>
          <w:rFonts w:ascii="Times New Roman" w:hAnsi="Times New Roman"/>
          <w:sz w:val="20"/>
        </w:rPr>
        <w:t xml:space="preserve"> </w:t>
      </w:r>
      <w:r>
        <w:rPr>
          <w:rFonts w:ascii="Times New Roman;serif" w:hAnsi="Times New Roman;serif"/>
          <w:b w:val="false"/>
          <w:sz w:val="23"/>
        </w:rPr>
        <w:t>million at June 30, 2023</w:t>
      </w:r>
      <w:r>
        <w:rPr>
          <w:rFonts w:ascii="Times New Roman" w:hAnsi="Times New Roman"/>
          <w:sz w:val="20"/>
        </w:rPr>
        <w:t xml:space="preserve"> </w:t>
      </w:r>
      <w:r>
        <w:rPr>
          <w:rFonts w:ascii="Times New Roman;serif" w:hAnsi="Times New Roman;serif"/>
          <w:b w:val="false"/>
          <w:sz w:val="23"/>
        </w:rPr>
        <w:t>and $312</w:t>
      </w:r>
      <w:r>
        <w:rPr>
          <w:rFonts w:ascii="Times New Roman" w:hAnsi="Times New Roman"/>
          <w:sz w:val="20"/>
        </w:rPr>
        <w:t xml:space="preserve"> </w:t>
      </w:r>
      <w:r>
        <w:rPr>
          <w:rFonts w:ascii="Times New Roman;serif" w:hAnsi="Times New Roman;serif"/>
          <w:b w:val="false"/>
          <w:sz w:val="23"/>
        </w:rPr>
        <w:t>million at December 31, 2022, respectively. Interest rate swap agreements entered into with customers are subject to the Company’s credit risk standards and often contain collateral provisions.</w:t>
      </w:r>
    </w:p>
    <w:p>
      <w:pPr>
        <w:pStyle w:val="TextBody"/>
        <w:bidi w:val="0"/>
        <w:spacing w:before="120" w:after="0"/>
        <w:jc w:val="both"/>
        <w:rPr>
          <w:rFonts w:ascii="Times New Roman" w:hAnsi="Times New Roman"/>
          <w:sz w:val="20"/>
        </w:rPr>
      </w:pPr>
      <w:r>
        <w:rPr>
          <w:rFonts w:ascii="Times New Roman;serif" w:hAnsi="Times New Roman;serif"/>
          <w:b w:val="false"/>
          <w:sz w:val="23"/>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$96</w:t>
      </w:r>
      <w:r>
        <w:rPr>
          <w:rFonts w:ascii="Times New Roman" w:hAnsi="Times New Roman"/>
          <w:sz w:val="20"/>
        </w:rPr>
        <w:t xml:space="preserve"> </w:t>
      </w:r>
      <w:r>
        <w:rPr>
          <w:rFonts w:ascii="Times New Roman;serif" w:hAnsi="Times New Roman;serif"/>
          <w:b w:val="false"/>
          <w:sz w:val="23"/>
        </w:rPr>
        <w:t>million and $205</w:t>
      </w:r>
      <w:r>
        <w:rPr>
          <w:rFonts w:ascii="Times New Roman" w:hAnsi="Times New Roman"/>
          <w:sz w:val="20"/>
        </w:rPr>
        <w:t xml:space="preserve"> </w:t>
      </w:r>
      <w:r>
        <w:rPr>
          <w:rFonts w:ascii="Times New Roman;serif" w:hAnsi="Times New Roman;serif"/>
          <w:b w:val="false"/>
          <w:sz w:val="23"/>
        </w:rPr>
        <w:t>million at June 30, 2023 and December 31, 2022, respectively. The fair value asset and liability amounts of derivative contracts have been reduced by variation margin payments treated as settlements as described herein. Variation margin on derivative contracts not treated as settlements continues to represent collateral posted or received by the Company.</w:t>
      </w:r>
      <w:r>
        <w:rPr>
          <w:rFonts w:ascii="Times New Roman" w:hAnsi="Times New Roman"/>
          <w:sz w:val="20"/>
        </w:rPr>
        <w:t xml:space="preserve"> </w:t>
      </w:r>
    </w:p>
    <w:p>
      <w:pPr>
        <w:pStyle w:val="TextBody"/>
        <w:bidi w:val="0"/>
        <w:spacing w:before="120" w:after="0"/>
        <w:jc w:val="both"/>
        <w:rPr>
          <w:rFonts w:ascii="Times New Roman;serif" w:hAnsi="Times New Roman;serif"/>
          <w:b/>
          <w:sz w:val="23"/>
        </w:rPr>
      </w:pPr>
      <w:r>
        <w:rPr>
          <w:rFonts w:ascii="Times New Roman;serif" w:hAnsi="Times New Roman;serif"/>
          <w:b/>
          <w:sz w:val="23"/>
        </w:rPr>
        <w:t>11. Variable interest entities and asset securitizations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Company’s securitization activity has consisted of securitizing loans originated for sale into government issued or guaranteed mortgage-backed securities. The Company has not recognized any losses as a result of having securitized assets.</w:t>
      </w:r>
    </w:p>
    <w:p>
      <w:pPr>
        <w:pStyle w:val="TextBody"/>
        <w:bidi w:val="0"/>
        <w:spacing w:before="120" w:after="0"/>
        <w:jc w:val="both"/>
        <w:rPr>
          <w:rFonts w:ascii="Times New Roman" w:hAnsi="Times New Roman"/>
          <w:sz w:val="20"/>
        </w:rPr>
      </w:pPr>
      <w:r>
        <w:rPr>
          <w:rFonts w:ascii="Times New Roman;serif" w:hAnsi="Times New Roman;serif"/>
          <w:b w:val="false"/>
          <w:sz w:val="23"/>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2023 and December 31, 2022, the Company included the junior subordinated debentures as “long-term borrowings” in its Consolidated Balance Sheet and recognized $22</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pStyle w:val="TextBody"/>
        <w:bidi w:val="0"/>
        <w:spacing w:before="240" w:after="0"/>
        <w:jc w:val="center"/>
        <w:rPr>
          <w:rFonts w:ascii="Times New Roman" w:hAnsi="Times New Roman"/>
          <w:sz w:val="20"/>
        </w:rPr>
      </w:pPr>
      <w:r>
        <w:rPr>
          <w:rFonts w:ascii="Times New Roman;serif" w:hAnsi="Times New Roman;serif"/>
          <w:b w:val="false"/>
          <w:sz w:val="20"/>
        </w:rPr>
        <w:t>- 34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11. Variable interest entities and asset securitizations,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has invested as a limited partner in various partnerships that collectively had total assets of approximately $9.7</w:t>
      </w:r>
      <w:r>
        <w:rPr>
          <w:rFonts w:ascii="Times New Roman" w:hAnsi="Times New Roman"/>
          <w:sz w:val="20"/>
        </w:rPr>
        <w:t xml:space="preserve"> </w:t>
      </w:r>
      <w:r>
        <w:rPr>
          <w:rFonts w:ascii="Times New Roman;serif" w:hAnsi="Times New Roman;serif"/>
          <w:b w:val="false"/>
          <w:sz w:val="23"/>
        </w:rPr>
        <w:t>billion at June 30, 2023</w:t>
      </w:r>
      <w:r>
        <w:rPr>
          <w:rFonts w:ascii="Times New Roman" w:hAnsi="Times New Roman"/>
          <w:sz w:val="20"/>
        </w:rPr>
        <w:t xml:space="preserve"> </w:t>
      </w:r>
      <w:r>
        <w:rPr>
          <w:rFonts w:ascii="Times New Roman;serif" w:hAnsi="Times New Roman;serif"/>
          <w:b w:val="false"/>
          <w:sz w:val="23"/>
        </w:rPr>
        <w:t>and $9.2</w:t>
      </w:r>
      <w:r>
        <w:rPr>
          <w:rFonts w:ascii="Times New Roman" w:hAnsi="Times New Roman"/>
          <w:sz w:val="20"/>
        </w:rPr>
        <w:t xml:space="preserve"> </w:t>
      </w:r>
      <w:r>
        <w:rPr>
          <w:rFonts w:ascii="Times New Roman;serif" w:hAnsi="Times New Roman;serif"/>
          <w:b w:val="false"/>
          <w:sz w:val="23"/>
        </w:rPr>
        <w:t>billion at December 31, 2022.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carrying amount of its investments in such partnerships was $1.5</w:t>
      </w:r>
      <w:r>
        <w:rPr>
          <w:rFonts w:ascii="Times New Roman" w:hAnsi="Times New Roman"/>
          <w:sz w:val="20"/>
        </w:rPr>
        <w:t xml:space="preserve"> </w:t>
      </w:r>
      <w:r>
        <w:rPr>
          <w:rFonts w:ascii="Times New Roman;serif" w:hAnsi="Times New Roman;serif"/>
          <w:b w:val="false"/>
          <w:sz w:val="23"/>
        </w:rPr>
        <w:t>billion at each of June 30, 2023 and December 31, 2022, including $522</w:t>
      </w:r>
      <w:r>
        <w:rPr>
          <w:rFonts w:ascii="Times New Roman" w:hAnsi="Times New Roman"/>
          <w:sz w:val="20"/>
        </w:rPr>
        <w:t xml:space="preserve"> </w:t>
      </w:r>
      <w:r>
        <w:rPr>
          <w:rFonts w:ascii="Times New Roman;serif" w:hAnsi="Times New Roman;serif"/>
          <w:b w:val="false"/>
          <w:sz w:val="23"/>
        </w:rPr>
        <w:t>million and $545</w:t>
      </w:r>
      <w:r>
        <w:rPr>
          <w:rFonts w:ascii="Times New Roman" w:hAnsi="Times New Roman"/>
          <w:sz w:val="20"/>
        </w:rPr>
        <w:t xml:space="preserve"> </w:t>
      </w:r>
      <w:r>
        <w:rPr>
          <w:rFonts w:ascii="Times New Roman;serif" w:hAnsi="Times New Roman;serif"/>
          <w:b w:val="false"/>
          <w:sz w:val="23"/>
        </w:rPr>
        <w:t>million of unfunded commitments, at each of those respective dates. Contingent commitments to provide additional capital contributions to these partnerships were $52</w:t>
      </w:r>
      <w:r>
        <w:rPr>
          <w:rFonts w:ascii="Times New Roman" w:hAnsi="Times New Roman"/>
          <w:sz w:val="20"/>
        </w:rPr>
        <w:t xml:space="preserve"> </w:t>
      </w:r>
      <w:r>
        <w:rPr>
          <w:rFonts w:ascii="Times New Roman;serif" w:hAnsi="Times New Roman;serif"/>
          <w:b w:val="false"/>
          <w:sz w:val="23"/>
        </w:rPr>
        <w:t>million at June 30, 2023. The Company has not provided financial or other support to the partnerships that was not contractually required. The Company’s maximum exposure to loss from its investments in such partnerships as of June 30, 2023</w:t>
      </w:r>
      <w:r>
        <w:rPr>
          <w:rFonts w:ascii="Times New Roman" w:hAnsi="Times New Roman"/>
          <w:sz w:val="20"/>
        </w:rPr>
        <w:t xml:space="preserve"> </w:t>
      </w:r>
      <w:r>
        <w:rPr>
          <w:rFonts w:ascii="Times New Roman;serif" w:hAnsi="Times New Roman;serif"/>
          <w:b w:val="false"/>
          <w:sz w:val="23"/>
        </w:rPr>
        <w:t>was $2.1</w:t>
      </w:r>
      <w:r>
        <w:rPr>
          <w:rFonts w:ascii="Times New Roman" w:hAnsi="Times New Roman"/>
          <w:sz w:val="20"/>
        </w:rPr>
        <w:t xml:space="preserve"> </w:t>
      </w:r>
      <w:r>
        <w:rPr>
          <w:rFonts w:ascii="Times New Roman;serif" w:hAnsi="Times New Roman;serif"/>
          <w:b w:val="false"/>
          <w:sz w:val="23"/>
        </w:rPr>
        <w:t>billion, including possible recapture of certain tax credits.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in qualified affordable housing projects is amortized to income taxes in the Consolidated Statement of Income as tax credits and other tax benefits resulting from deductible losses associated with the projects are received. The Company amortized $42</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$82</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of its investments in qualified affordable housing projects to income tax expense during the three-month and six-month periods ended June 30, 2023, respectively, and recognized $49</w:t>
      </w:r>
      <w:r>
        <w:rPr>
          <w:rFonts w:ascii="Times New Roman" w:hAnsi="Times New Roman"/>
          <w:sz w:val="20"/>
        </w:rPr>
        <w:t xml:space="preserve"> </w:t>
      </w:r>
      <w:r>
        <w:rPr>
          <w:rFonts w:ascii="Times New Roman;serif" w:hAnsi="Times New Roman;serif"/>
          <w:b w:val="false"/>
          <w:sz w:val="23"/>
        </w:rPr>
        <w:t>million and $95</w:t>
      </w:r>
      <w:r>
        <w:rPr>
          <w:rFonts w:ascii="Times New Roman" w:hAnsi="Times New Roman"/>
          <w:sz w:val="20"/>
        </w:rPr>
        <w:t xml:space="preserve"> </w:t>
      </w:r>
      <w:r>
        <w:rPr>
          <w:rFonts w:ascii="Times New Roman;serif" w:hAnsi="Times New Roman;serif"/>
          <w:b w:val="false"/>
          <w:sz w:val="23"/>
        </w:rPr>
        <w:t>million of tax credits and other tax benefits during those respective periods. Similarly, for the three-month and six-month periods ended June 30, 2022, the Company amortized $36</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and $57</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of its investments in qualified affordable housing projects to income tax expense, respectively, and recognized $42</w:t>
      </w:r>
      <w:r>
        <w:rPr>
          <w:rFonts w:ascii="Times New Roman" w:hAnsi="Times New Roman"/>
          <w:sz w:val="20"/>
        </w:rPr>
        <w:t xml:space="preserve"> </w:t>
      </w:r>
      <w:r>
        <w:rPr>
          <w:rFonts w:ascii="Times New Roman;serif" w:hAnsi="Times New Roman;serif"/>
          <w:b w:val="false"/>
          <w:sz w:val="23"/>
        </w:rPr>
        <w:t>million and $65</w:t>
      </w:r>
      <w:r>
        <w:rPr>
          <w:rFonts w:ascii="Times New Roman" w:hAnsi="Times New Roman"/>
          <w:sz w:val="20"/>
        </w:rPr>
        <w:t xml:space="preserve"> </w:t>
      </w:r>
      <w:r>
        <w:rPr>
          <w:rFonts w:ascii="Times New Roman;serif" w:hAnsi="Times New Roman;serif"/>
          <w:b w:val="false"/>
          <w:sz w:val="23"/>
        </w:rPr>
        <w:t>million of tax credits and other tax benefits during those respective periods.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serves as investment advisor for certain registered money-market funds. The Company has no explicit arrangement to provide support to those funds but may waive portions of its allowable management fees as a result of market conditions.</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GAAP permits an entity to choose to measure eligible financial instruments and other items at fair value. The Company has not made any fair value elections at June 30,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Level 1 — Valuation is based on quoted prices in active markets for identical assets and liabilities.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3"/>
        </w:rPr>
      </w:pPr>
      <w:r>
        <w:rPr>
          <w:rFonts w:ascii="Times New Roman;serif" w:hAnsi="Times New Roman;serif"/>
          <w:b w:val="false"/>
          <w:sz w:val="23"/>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pStyle w:val="TextBody"/>
        <w:bidi w:val="0"/>
        <w:spacing w:before="240" w:after="0"/>
        <w:jc w:val="center"/>
        <w:rPr>
          <w:rFonts w:ascii="Times New Roman" w:hAnsi="Times New Roman"/>
          <w:sz w:val="20"/>
        </w:rPr>
      </w:pPr>
      <w:r>
        <w:rPr>
          <w:rFonts w:ascii="Times New Roman;serif" w:hAnsi="Times New Roman;serif"/>
          <w:b w:val="false"/>
          <w:sz w:val="20"/>
        </w:rPr>
        <w:t>- 35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240" w:after="0"/>
        <w:jc w:val="both"/>
        <w:rPr>
          <w:rFonts w:ascii="Times New Roman;serif" w:hAnsi="Times New Roman;serif"/>
          <w:b w:val="false"/>
          <w:sz w:val="23"/>
        </w:rPr>
      </w:pPr>
      <w:r>
        <w:rPr>
          <w:rFonts w:ascii="Times New Roman;serif" w:hAnsi="Times New Roman;serif"/>
          <w:b w:val="false"/>
          <w:sz w:val="23"/>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pStyle w:val="TextBody"/>
        <w:bidi w:val="0"/>
        <w:spacing w:before="120" w:after="0"/>
        <w:jc w:val="both"/>
        <w:rPr>
          <w:rFonts w:ascii="Times New Roman" w:hAnsi="Times New Roman"/>
          <w:sz w:val="20"/>
        </w:rPr>
      </w:pPr>
      <w:r>
        <w:rPr>
          <w:rFonts w:ascii="Times New Roman;serif" w:hAnsi="Times New Roman;serif"/>
          <w:b/>
          <w:i/>
          <w:sz w:val="23"/>
        </w:rPr>
        <w:t>Trading account</w:t>
      </w:r>
      <w:r>
        <w:rPr>
          <w:rFonts w:ascii="Times New Roman" w:hAnsi="Times New Roman"/>
          <w:sz w:val="20"/>
        </w:rPr>
        <w:t xml:space="preserve">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Mutual funds held in connection with deferred compensation and other arrangements have been classified as Level 1 valuations. Valuations of investments in debt securities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pStyle w:val="TextBody"/>
        <w:bidi w:val="0"/>
        <w:spacing w:before="120" w:after="0"/>
        <w:jc w:val="both"/>
        <w:rPr>
          <w:rFonts w:ascii="Times New Roman;serif" w:hAnsi="Times New Roman;serif"/>
          <w:b/>
          <w:i/>
          <w:sz w:val="23"/>
        </w:rPr>
      </w:pPr>
      <w:r>
        <w:rPr>
          <w:rFonts w:ascii="Times New Roman;serif" w:hAnsi="Times New Roman;serif"/>
          <w:b/>
          <w:i/>
          <w:sz w:val="23"/>
        </w:rPr>
        <w:t>Investment securities available for sale and equity securities</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pStyle w:val="TextBody"/>
        <w:bidi w:val="0"/>
        <w:spacing w:before="120" w:after="0"/>
        <w:jc w:val="both"/>
        <w:rPr>
          <w:rFonts w:ascii="Times New Roman;serif" w:hAnsi="Times New Roman;serif"/>
          <w:b/>
          <w:i/>
          <w:sz w:val="23"/>
        </w:rPr>
      </w:pPr>
      <w:r>
        <w:rPr>
          <w:rFonts w:ascii="Times New Roman;serif" w:hAnsi="Times New Roman;serif"/>
          <w:b/>
          <w:i/>
          <w:sz w:val="23"/>
        </w:rPr>
        <w:t>Real estate loans held for sale</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pStyle w:val="TextBody"/>
        <w:bidi w:val="0"/>
        <w:spacing w:before="120" w:after="0"/>
        <w:jc w:val="both"/>
        <w:rPr>
          <w:rFonts w:ascii="Times New Roman;serif" w:hAnsi="Times New Roman;serif"/>
          <w:b/>
          <w:i/>
          <w:sz w:val="23"/>
        </w:rPr>
      </w:pPr>
      <w:r>
        <w:rPr>
          <w:rFonts w:ascii="Times New Roman;serif" w:hAnsi="Times New Roman;serif"/>
          <w:b/>
          <w:i/>
          <w:sz w:val="23"/>
        </w:rPr>
        <w:t>Commitments to originate real estate loans for sale and commitments to sell real estate loans</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Company enters into various commitments to originate real estate loans for sale and commitments to sell real estate loans. Such commitments are accounted for as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pStyle w:val="TextBody"/>
        <w:bidi w:val="0"/>
        <w:spacing w:before="120" w:after="0"/>
        <w:jc w:val="both"/>
        <w:rPr>
          <w:rFonts w:ascii="Times New Roman;serif" w:hAnsi="Times New Roman;serif"/>
          <w:b/>
          <w:i/>
          <w:sz w:val="23"/>
        </w:rPr>
      </w:pPr>
      <w:r>
        <w:rPr>
          <w:rFonts w:ascii="Times New Roman;serif" w:hAnsi="Times New Roman;serif"/>
          <w:b/>
          <w:i/>
          <w:sz w:val="23"/>
        </w:rPr>
        <w:t>Interest rate swap agreements used for interest rate risk management</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pStyle w:val="TextBody"/>
        <w:bidi w:val="0"/>
        <w:spacing w:before="240" w:after="0"/>
        <w:jc w:val="center"/>
        <w:rPr>
          <w:rFonts w:ascii="Times New Roman" w:hAnsi="Times New Roman"/>
          <w:sz w:val="20"/>
        </w:rPr>
      </w:pPr>
      <w:r>
        <w:rPr>
          <w:rFonts w:ascii="Times New Roman;serif" w:hAnsi="Times New Roman;serif"/>
          <w:b w:val="false"/>
          <w:sz w:val="20"/>
        </w:rPr>
        <w:t>- 36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120" w:after="0"/>
        <w:jc w:val="both"/>
        <w:rPr>
          <w:rFonts w:ascii="Times New Roman;serif" w:hAnsi="Times New Roman;serif"/>
          <w:b/>
          <w:i/>
          <w:sz w:val="23"/>
        </w:rPr>
      </w:pPr>
      <w:r>
        <w:rPr>
          <w:rFonts w:ascii="Times New Roman;serif" w:hAnsi="Times New Roman;serif"/>
          <w:b/>
          <w:i/>
          <w:sz w:val="23"/>
        </w:rPr>
        <w:t>Other non-hedging derivatives</w:t>
      </w:r>
    </w:p>
    <w:p>
      <w:pPr>
        <w:pStyle w:val="TextBody"/>
        <w:bidi w:val="0"/>
        <w:spacing w:before="0" w:after="0"/>
        <w:jc w:val="both"/>
        <w:rPr>
          <w:rFonts w:ascii="Times New Roman" w:hAnsi="Times New Roman"/>
          <w:sz w:val="20"/>
        </w:rPr>
      </w:pPr>
      <w:r>
        <w:rPr>
          <w:rFonts w:ascii="Times New Roman;serif" w:hAnsi="Times New Roman;serif"/>
          <w:b w:val="false"/>
          <w:sz w:val="23"/>
        </w:rPr>
        <w:t>Other non-hedging derivatives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other non-hedging derivative assets and liabilities using externally developed pricing models based on market observable inputs and, therefore, classifies such valuations as Level 2.</w:t>
      </w:r>
      <w:r>
        <w:rPr>
          <w:rFonts w:ascii="Times New Roman" w:hAnsi="Times New Roman"/>
          <w:sz w:val="20"/>
        </w:rPr>
        <w:t xml:space="preserve"> </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following tables present assets and liabilities at June 30, 2023 and December 31, 2022 measured at estimated fair value on a recurring basis:</w:t>
      </w:r>
    </w:p>
    <w:tbl>
      <w:tblPr>
        <w:tblW w:w="10205" w:type="dxa"/>
        <w:jc w:val="left"/>
        <w:tblInd w:w="0" w:type="dxa"/>
        <w:tblLayout w:type="fixed"/>
        <w:tblCellMar>
          <w:top w:w="28" w:type="dxa"/>
          <w:left w:w="28" w:type="dxa"/>
          <w:bottom w:w="28" w:type="dxa"/>
          <w:right w:w="28" w:type="dxa"/>
        </w:tblCellMar>
      </w:tblPr>
      <w:tblGrid>
        <w:gridCol w:w="3305"/>
        <w:gridCol w:w="146"/>
        <w:gridCol w:w="331"/>
        <w:gridCol w:w="1629"/>
        <w:gridCol w:w="146"/>
        <w:gridCol w:w="146"/>
        <w:gridCol w:w="211"/>
        <w:gridCol w:w="781"/>
        <w:gridCol w:w="146"/>
        <w:gridCol w:w="146"/>
        <w:gridCol w:w="211"/>
        <w:gridCol w:w="1036"/>
        <w:gridCol w:w="146"/>
        <w:gridCol w:w="146"/>
        <w:gridCol w:w="211"/>
        <w:gridCol w:w="676"/>
        <w:gridCol w:w="792"/>
      </w:tblGrid>
      <w:tr>
        <w:trPr/>
        <w:tc>
          <w:tcPr>
            <w:tcW w:w="3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305"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br/>
              <w:br/>
            </w:r>
            <w:r>
              <w:rPr>
                <w:rFonts w:ascii="Times New Roman" w:hAnsi="Times New Roman"/>
                <w:sz w:val="16"/>
              </w:rPr>
              <w:t> </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Measurements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0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962"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792" w:type="dxa"/>
            <w:tcBorders/>
            <w:vAlign w:val="center"/>
          </w:tcPr>
          <w:p>
            <w:pPr>
              <w:pStyle w:val="TableContents"/>
              <w:bidi w:val="0"/>
              <w:spacing w:before="0" w:after="0"/>
              <w:ind w:left="0" w:right="0" w:hanging="0"/>
              <w:jc w:val="center"/>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Trading account</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200"/>
              <w:jc w:val="righ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7,692,452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7,692,452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400"/>
              <w:jc w:val="right"/>
              <w:rPr/>
            </w:pPr>
            <w:r>
              <w:rPr/>
              <w:t> </w:t>
            </w:r>
          </w:p>
        </w:tc>
      </w:tr>
      <w:tr>
        <w:trPr/>
        <w:tc>
          <w:tcPr>
            <w:tcW w:w="330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600"/>
              <w:jc w:val="right"/>
              <w:rPr/>
            </w:pPr>
            <w:r>
              <w:rPr/>
              <w:t> </w:t>
            </w:r>
          </w:p>
        </w:tc>
      </w:tr>
      <w:tr>
        <w:trPr/>
        <w:tc>
          <w:tcPr>
            <w:tcW w:w="330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600"/>
              <w:jc w:val="left"/>
              <w:rPr/>
            </w:pPr>
            <w:r>
              <w:rPr/>
              <w:t> </w:t>
            </w:r>
          </w:p>
        </w:tc>
      </w:tr>
      <w:tr>
        <w:trPr/>
        <w:tc>
          <w:tcPr>
            <w:tcW w:w="330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2,340,028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160,216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10,807,659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10,807,659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securities</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 loans held for sale</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538,306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 (a)</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374,790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371,653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12,076,163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348,581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11,724,445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 (a)</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1,295,532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40,315</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1,295,532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1,255,217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40,315</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Trading account</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securities available for sale:</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200"/>
              <w:jc w:val="righ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7,670,960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7,670,960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Mortgage-backed securities:</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400"/>
              <w:jc w:val="right"/>
              <w:rPr/>
            </w:pPr>
            <w:r>
              <w:rPr/>
              <w:t> </w:t>
            </w:r>
          </w:p>
        </w:tc>
      </w:tr>
      <w:tr>
        <w:trPr/>
        <w:tc>
          <w:tcPr>
            <w:tcW w:w="330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Government issued or guaranteed</w:t>
            </w:r>
          </w:p>
        </w:tc>
        <w:tc>
          <w:tcPr>
            <w:tcW w:w="146" w:type="dxa"/>
            <w:tcBorders/>
            <w:vAlign w:val="center"/>
          </w:tcPr>
          <w:p>
            <w:pPr>
              <w:pStyle w:val="TableContents"/>
              <w:bidi w:val="0"/>
              <w:spacing w:before="0" w:after="0"/>
              <w:ind w:left="0" w:right="0" w:hanging="0"/>
              <w:jc w:val="left"/>
              <w:rPr/>
            </w:pPr>
            <w:r>
              <w:rPr/>
              <w:t> </w:t>
            </w:r>
          </w:p>
        </w:tc>
        <w:tc>
          <w:tcPr>
            <w:tcW w:w="19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792" w:type="dxa"/>
            <w:tcBorders/>
            <w:vAlign w:val="center"/>
          </w:tcPr>
          <w:p>
            <w:pPr>
              <w:pStyle w:val="TableContents"/>
              <w:bidi w:val="0"/>
              <w:spacing w:before="0" w:after="0"/>
              <w:ind w:left="0" w:right="0" w:firstLine="600"/>
              <w:jc w:val="right"/>
              <w:rPr/>
            </w:pPr>
            <w:r>
              <w:rPr/>
              <w:t> </w:t>
            </w:r>
          </w:p>
        </w:tc>
      </w:tr>
      <w:tr>
        <w:trPr/>
        <w:tc>
          <w:tcPr>
            <w:tcW w:w="330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600"/>
              <w:jc w:val="left"/>
              <w:rPr/>
            </w:pPr>
            <w:r>
              <w:rPr/>
              <w:t> </w:t>
            </w:r>
          </w:p>
        </w:tc>
      </w:tr>
      <w:tr>
        <w:trPr/>
        <w:tc>
          <w:tcPr>
            <w:tcW w:w="330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2,330,118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2,330,118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debt securities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10,748,961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10,748,961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securities</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 loans held for sale</w:t>
            </w:r>
          </w:p>
        </w:tc>
        <w:tc>
          <w:tcPr>
            <w:tcW w:w="14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pPr>
            <w:r>
              <w:rPr/>
              <w:t> </w:t>
            </w:r>
          </w:p>
        </w:tc>
        <w:tc>
          <w:tcPr>
            <w:tcW w:w="16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792" w:type="dxa"/>
            <w:tcBorders/>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 (a)</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435,969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435,517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11,616,628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263,136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11,353,040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452</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0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 (a)</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1,355,326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1,309,301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46,025</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0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1,355,326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1,309,301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46,025</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(a)</w:t>
      </w:r>
    </w:p>
    <w:p>
      <w:pPr>
        <w:pStyle w:val="TextBody"/>
        <w:bidi w:val="0"/>
        <w:spacing w:before="40" w:after="283"/>
        <w:jc w:val="both"/>
        <w:rPr>
          <w:rFonts w:ascii="Times New Roman;serif" w:hAnsi="Times New Roman;serif"/>
          <w:b w:val="false"/>
          <w:i/>
          <w:sz w:val="16"/>
        </w:rPr>
      </w:pPr>
      <w:r>
        <w:rPr>
          <w:rFonts w:ascii="Times New Roman;serif" w:hAnsi="Times New Roman;serif"/>
          <w:b w:val="false"/>
          <w:i/>
          <w:sz w:val="16"/>
        </w:rPr>
        <w:t>Comprised predominantly of interest rate swap agreements used for interest rate risk management (Level 2), interest rate and foreign exchange contracts not designated as hedging instruments (Level 2), commitments to sell real estate loans (Level 2) and commitments to originate real estate loans to be held for sale (Level 3).</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- 37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changes in Level 3 assets and liabilities measured at estimated fair value on a recurring basis during the three months ended June 30, 2023 and 2022 were as follows:</w:t>
      </w:r>
    </w:p>
    <w:tbl>
      <w:tblPr>
        <w:tblW w:w="10205" w:type="dxa"/>
        <w:jc w:val="left"/>
        <w:tblInd w:w="0" w:type="dxa"/>
        <w:tblLayout w:type="fixed"/>
        <w:tblCellMar>
          <w:top w:w="28" w:type="dxa"/>
          <w:left w:w="28" w:type="dxa"/>
          <w:bottom w:w="28" w:type="dxa"/>
          <w:right w:w="28" w:type="dxa"/>
        </w:tblCellMar>
      </w:tblPr>
      <w:tblGrid>
        <w:gridCol w:w="7117"/>
        <w:gridCol w:w="146"/>
        <w:gridCol w:w="544"/>
        <w:gridCol w:w="1839"/>
        <w:gridCol w:w="166"/>
        <w:gridCol w:w="393"/>
      </w:tblGrid>
      <w:tr>
        <w:trPr/>
        <w:tc>
          <w:tcPr>
            <w:tcW w:w="7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11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Other Assets</w:t>
            </w:r>
            <w:r>
              <w:rPr>
                <w:rFonts w:ascii="Times New Roman" w:hAnsi="Times New Roman"/>
                <w:sz w:val="16"/>
              </w:rPr>
              <w:t xml:space="preserve"> </w:t>
            </w:r>
            <w:r>
              <w:rPr>
                <w:rFonts w:ascii="Times New Roman;serif" w:hAnsi="Times New Roman;serif"/>
                <w:b/>
                <w:sz w:val="16"/>
              </w:rPr>
              <w:t>and Other</w:t>
            </w:r>
            <w:r>
              <w:rPr>
                <w:rFonts w:ascii="Times New Roman" w:hAnsi="Times New Roman"/>
                <w:sz w:val="16"/>
              </w:rPr>
              <w:t xml:space="preserve"> </w:t>
            </w:r>
            <w:r>
              <w:rPr>
                <w:rFonts w:ascii="Times New Roman;serif" w:hAnsi="Times New Roman;serif"/>
                <w:b/>
                <w:sz w:val="16"/>
              </w:rPr>
              <w:t>Liabilities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2023</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April 1, 2023</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(28,141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losses realized/unrealized:</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711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Included in earnings</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Transfers out of Level 3</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June 30, 2023</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net unrealized gains (losses) included in earnings related to instruments still held at June 30, 2023</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11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2022</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April 1, 2022</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losses realized/unrealized:</w:t>
            </w:r>
          </w:p>
        </w:tc>
        <w:tc>
          <w:tcPr>
            <w:tcW w:w="146" w:type="dxa"/>
            <w:tcBorders/>
            <w:vAlign w:val="center"/>
          </w:tcPr>
          <w:p>
            <w:pPr>
              <w:pStyle w:val="TableContents"/>
              <w:bidi w:val="0"/>
              <w:spacing w:before="0" w:after="0"/>
              <w:ind w:left="0" w:right="0" w:hanging="0"/>
              <w:jc w:val="left"/>
              <w:rPr/>
            </w:pPr>
            <w:r>
              <w:rPr/>
              <w:t> </w:t>
            </w:r>
          </w:p>
        </w:tc>
        <w:tc>
          <w:tcPr>
            <w:tcW w:w="2383"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93" w:type="dxa"/>
            <w:tcBorders/>
            <w:vAlign w:val="center"/>
          </w:tcPr>
          <w:p>
            <w:pPr>
              <w:pStyle w:val="TableContents"/>
              <w:bidi w:val="0"/>
              <w:spacing w:before="0" w:after="0"/>
              <w:ind w:left="0" w:right="0" w:firstLine="200"/>
              <w:jc w:val="left"/>
              <w:rPr/>
            </w:pPr>
            <w:r>
              <w:rPr/>
              <w:t> </w:t>
            </w:r>
          </w:p>
        </w:tc>
      </w:tr>
      <w:tr>
        <w:trPr/>
        <w:tc>
          <w:tcPr>
            <w:tcW w:w="7117"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Included in earnings</w:t>
            </w:r>
          </w:p>
        </w:tc>
        <w:tc>
          <w:tcPr>
            <w:tcW w:w="146"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left"/>
              <w:rPr/>
            </w:pPr>
            <w:r>
              <w:rPr/>
              <w:t> </w:t>
            </w:r>
          </w:p>
        </w:tc>
        <w:tc>
          <w:tcPr>
            <w:tcW w:w="1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(6,609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Transfers out of Level 3</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June 30, 2022</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pPr>
            <w:r>
              <w:rPr/>
              <w:t> </w:t>
            </w:r>
          </w:p>
        </w:tc>
      </w:tr>
      <w:tr>
        <w:trPr/>
        <w:tc>
          <w:tcPr>
            <w:tcW w:w="71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net unrealized gains (losses) included in earnings related to instruments still held at June 30, 2022</w:t>
            </w:r>
          </w:p>
        </w:tc>
        <w:tc>
          <w:tcPr>
            <w:tcW w:w="146" w:type="dxa"/>
            <w:tcBorders/>
            <w:vAlign w:val="center"/>
          </w:tcPr>
          <w:p>
            <w:pPr>
              <w:pStyle w:val="TableContents"/>
              <w:bidi w:val="0"/>
              <w:spacing w:before="0" w:after="0"/>
              <w:ind w:left="0" w:right="0" w:hanging="0"/>
              <w:jc w:val="left"/>
              <w:rPr/>
            </w:pPr>
            <w:r>
              <w:rPr/>
              <w:t> </w:t>
            </w:r>
          </w:p>
        </w:tc>
        <w:tc>
          <w:tcPr>
            <w:tcW w:w="5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9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bl>
    <w:p>
      <w:pPr>
        <w:pStyle w:val="TextBody"/>
        <w:bidi w:val="0"/>
        <w:spacing w:before="120" w:after="120"/>
        <w:jc w:val="both"/>
        <w:rPr>
          <w:rFonts w:ascii="Times New Roman" w:hAnsi="Times New Roman"/>
          <w:sz w:val="20"/>
        </w:rPr>
      </w:pPr>
      <w:r>
        <w:rPr>
          <w:rFonts w:ascii="Times New Roman;serif" w:hAnsi="Times New Roman;serif"/>
          <w:b w:val="false"/>
          <w:sz w:val="23"/>
        </w:rPr>
        <w:t>The changes in Level 3 assets and liabilities measured at estimated fair value on a recurring basis during the six months ended June 30, 2023 and 2022 were as follows:</w:t>
      </w:r>
      <w:r>
        <w:rPr>
          <w:rFonts w:ascii="Times New Roman" w:hAnsi="Times New Roman"/>
          <w:sz w:val="20"/>
        </w:rPr>
        <w:t xml:space="preserve"> </w:t>
      </w:r>
    </w:p>
    <w:p>
      <w:pPr>
        <w:pStyle w:val="TextBody"/>
        <w:bidi w:val="0"/>
        <w:spacing w:before="120" w:after="0"/>
        <w:jc w:val="both"/>
        <w:rPr/>
      </w:pPr>
      <w:r>
        <w:rPr/>
        <w:t> </w:t>
      </w:r>
    </w:p>
    <w:tbl>
      <w:tblPr>
        <w:tblW w:w="9858" w:type="dxa"/>
        <w:jc w:val="left"/>
        <w:tblInd w:w="0" w:type="dxa"/>
        <w:tblLayout w:type="fixed"/>
        <w:tblCellMar>
          <w:top w:w="28" w:type="dxa"/>
          <w:left w:w="28" w:type="dxa"/>
          <w:bottom w:w="28" w:type="dxa"/>
          <w:right w:w="28" w:type="dxa"/>
        </w:tblCellMar>
      </w:tblPr>
      <w:tblGrid>
        <w:gridCol w:w="7846"/>
        <w:gridCol w:w="339"/>
        <w:gridCol w:w="1146"/>
        <w:gridCol w:w="166"/>
        <w:gridCol w:w="361"/>
      </w:tblGrid>
      <w:tr>
        <w:trPr/>
        <w:tc>
          <w:tcPr>
            <w:tcW w:w="78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before="0" w:after="0"/>
              <w:ind w:left="0" w:right="0" w:hanging="0"/>
              <w:jc w:val="left"/>
              <w:rPr/>
            </w:pPr>
            <w:r>
              <w:rPr/>
              <w:t> </w:t>
            </w:r>
          </w:p>
        </w:tc>
        <w:tc>
          <w:tcPr>
            <w:tcW w:w="14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8"/>
              </w:rPr>
            </w:pPr>
            <w:r>
              <w:rPr>
                <w:rFonts w:ascii="Times New Roman;serif" w:hAnsi="Times New Roman;serif"/>
                <w:b/>
                <w:sz w:val="18"/>
              </w:rPr>
              <w:t>Other Assets</w:t>
            </w:r>
            <w:r>
              <w:rPr>
                <w:rFonts w:ascii="Times New Roman" w:hAnsi="Times New Roman"/>
                <w:sz w:val="18"/>
              </w:rPr>
              <w:t xml:space="preserve"> </w:t>
            </w:r>
            <w:r>
              <w:rPr>
                <w:rFonts w:ascii="Times New Roman;serif" w:hAnsi="Times New Roman;serif"/>
                <w:b/>
                <w:sz w:val="18"/>
              </w:rPr>
              <w:t xml:space="preserve">and </w:t>
              <w:br/>
              <w:t>Other</w:t>
            </w:r>
            <w:r>
              <w:rPr>
                <w:rFonts w:ascii="Times New Roman" w:hAnsi="Times New Roman"/>
                <w:sz w:val="18"/>
              </w:rPr>
              <w:t xml:space="preserve"> </w:t>
            </w:r>
            <w:r>
              <w:rPr>
                <w:rFonts w:ascii="Times New Roman;serif" w:hAnsi="Times New Roman;serif"/>
                <w:b/>
                <w:sz w:val="18"/>
              </w:rPr>
              <w:t>Liabilities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center"/>
              <w:rPr/>
            </w:pPr>
            <w:r>
              <w:rPr/>
              <w:t> </w:t>
            </w:r>
          </w:p>
        </w:tc>
        <w:tc>
          <w:tcPr>
            <w:tcW w:w="1485"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(In thousands)</w:t>
            </w:r>
          </w:p>
        </w:tc>
        <w:tc>
          <w:tcPr>
            <w:tcW w:w="166"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2023</w:t>
            </w:r>
          </w:p>
        </w:tc>
        <w:tc>
          <w:tcPr>
            <w:tcW w:w="14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January 1, 2023</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gains realized/unrealized:</w:t>
            </w:r>
          </w:p>
        </w:tc>
        <w:tc>
          <w:tcPr>
            <w:tcW w:w="14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Included in earnings</w:t>
            </w:r>
          </w:p>
        </w:tc>
        <w:tc>
          <w:tcPr>
            <w:tcW w:w="339"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16,456</w:t>
            </w:r>
          </w:p>
        </w:tc>
        <w:tc>
          <w:tcPr>
            <w:tcW w:w="16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Transfers out of Level 3</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June 30, 2023</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net unrealized gains (losses) included in earnings related to instruments still held at June 30, 2023</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846" w:type="dxa"/>
            <w:tcBorders/>
            <w:vAlign w:val="center"/>
          </w:tcPr>
          <w:p>
            <w:pPr>
              <w:pStyle w:val="TableContents"/>
              <w:bidi w:val="0"/>
              <w:spacing w:before="0" w:after="0"/>
              <w:ind w:left="0" w:right="0" w:hanging="0"/>
              <w:jc w:val="left"/>
              <w:rPr/>
            </w:pPr>
            <w:r>
              <w:rPr/>
              <w:t> </w:t>
            </w:r>
          </w:p>
        </w:tc>
        <w:tc>
          <w:tcPr>
            <w:tcW w:w="14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sz w:val="18"/>
                <w:u w:val="single"/>
              </w:rPr>
            </w:pPr>
            <w:r>
              <w:rPr>
                <w:rFonts w:ascii="Times New Roman;serif" w:hAnsi="Times New Roman;serif"/>
                <w:b/>
                <w:sz w:val="18"/>
                <w:u w:val="single"/>
              </w:rPr>
              <w:t>2022</w:t>
            </w:r>
          </w:p>
        </w:tc>
        <w:tc>
          <w:tcPr>
            <w:tcW w:w="14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January 1, 2022</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6,440</w:t>
            </w:r>
          </w:p>
        </w:tc>
        <w:tc>
          <w:tcPr>
            <w:tcW w:w="16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Total losses realized/unrealized:</w:t>
            </w:r>
          </w:p>
        </w:tc>
        <w:tc>
          <w:tcPr>
            <w:tcW w:w="148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Included in earnings</w:t>
            </w:r>
          </w:p>
        </w:tc>
        <w:tc>
          <w:tcPr>
            <w:tcW w:w="339" w:type="dxa"/>
            <w:tcBorders/>
            <w:vAlign w:val="center"/>
          </w:tcPr>
          <w:p>
            <w:pPr>
              <w:pStyle w:val="TableContents"/>
              <w:bidi w:val="0"/>
              <w:spacing w:before="0" w:after="0"/>
              <w:ind w:left="0" w:right="0" w:hanging="0"/>
              <w:jc w:val="left"/>
              <w:rPr/>
            </w:pPr>
            <w:r>
              <w:rPr/>
              <w:t> </w:t>
            </w:r>
          </w:p>
        </w:tc>
        <w:tc>
          <w:tcPr>
            <w:tcW w:w="11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Transfers out of Level 3</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 June 30, 2022</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(24,181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61" w:type="dxa"/>
            <w:tcBorders/>
            <w:vAlign w:val="center"/>
          </w:tcPr>
          <w:p>
            <w:pPr>
              <w:pStyle w:val="TableContents"/>
              <w:bidi w:val="0"/>
              <w:spacing w:before="0" w:after="0"/>
              <w:ind w:left="0" w:right="0" w:hanging="0"/>
              <w:jc w:val="left"/>
              <w:rPr/>
            </w:pPr>
            <w:r>
              <w:rPr/>
              <w:t> </w:t>
            </w:r>
          </w:p>
        </w:tc>
      </w:tr>
      <w:tr>
        <w:trPr/>
        <w:tc>
          <w:tcPr>
            <w:tcW w:w="784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Changes in net unrealized gains (losses) included in earnings related to instruments still held at June 30, 2022</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Reported as mortgage banking revenues in the Consolidated Statement of Income and includes the fair value of commitment issuances and expirations.</w:t>
      </w:r>
    </w:p>
    <w:p>
      <w:pPr>
        <w:pStyle w:val="TextBody"/>
        <w:bidi w:val="0"/>
        <w:spacing w:before="0" w:after="0"/>
        <w:jc w:val="both"/>
        <w:rPr>
          <w:rFonts w:ascii="Times New Roman" w:hAnsi="Times New Roman"/>
          <w:b w:val="false"/>
          <w:i/>
          <w:sz w:val="16"/>
        </w:rPr>
      </w:pPr>
      <w:r>
        <w:rPr>
          <w:rFonts w:ascii="Times New Roman" w:hAnsi="Times New Roman"/>
          <w:b w:val="false"/>
          <w:i/>
          <w:sz w:val="16"/>
        </w:rPr>
        <w:t>(b)</w:t>
      </w:r>
    </w:p>
    <w:p>
      <w:pPr>
        <w:pStyle w:val="TextBody"/>
        <w:bidi w:val="0"/>
        <w:jc w:val="both"/>
        <w:rPr>
          <w:rFonts w:ascii="Times New Roman;serif" w:hAnsi="Times New Roman;serif"/>
          <w:b w:val="false"/>
          <w:i/>
          <w:sz w:val="16"/>
        </w:rPr>
      </w:pPr>
      <w:r>
        <w:rPr>
          <w:rFonts w:ascii="Times New Roman;serif" w:hAnsi="Times New Roman;serif"/>
          <w:b w:val="false"/>
          <w:i/>
          <w:sz w:val="16"/>
        </w:rPr>
        <w:t>Transfers out of Level 3 consist of interest rate locks transferred to closed loans.</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- 38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is required, on a nonrecurring basis, to adjust the carrying value of certain assets or provide valuation allowances related to certain assets using fair value measurements. The more significant of those assets follow.</w:t>
      </w:r>
    </w:p>
    <w:p>
      <w:pPr>
        <w:pStyle w:val="TextBody"/>
        <w:bidi w:val="0"/>
        <w:spacing w:before="120" w:after="0"/>
        <w:jc w:val="both"/>
        <w:rPr>
          <w:rFonts w:ascii="Times New Roman;serif" w:hAnsi="Times New Roman;serif"/>
          <w:b/>
          <w:i/>
          <w:sz w:val="23"/>
        </w:rPr>
      </w:pPr>
      <w:r>
        <w:rPr>
          <w:rFonts w:ascii="Times New Roman;serif" w:hAnsi="Times New Roman;serif"/>
          <w:b/>
          <w:i/>
          <w:sz w:val="23"/>
        </w:rPr>
        <w:t>Loans</w:t>
      </w:r>
    </w:p>
    <w:p>
      <w:pPr>
        <w:pStyle w:val="TextBody"/>
        <w:bidi w:val="0"/>
        <w:spacing w:before="0" w:after="0"/>
        <w:jc w:val="both"/>
        <w:rPr>
          <w:rFonts w:ascii="Times New Roman" w:hAnsi="Times New Roman"/>
          <w:sz w:val="20"/>
        </w:rPr>
      </w:pPr>
      <w:r>
        <w:rPr>
          <w:rFonts w:ascii="Times New Roman;serif" w:hAnsi="Times New Roman;serif"/>
          <w:b w:val="false"/>
          <w:sz w:val="23"/>
        </w:rPr>
        <w:t>Loans are generally not recorded at fair value on a recurring basis. Periodically, the Company records nonrecurring adjustments to the carrying value of loans based on fair value measurements for partial charge-offs of the uncollectable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w:t>
      </w:r>
      <w:r>
        <w:rPr>
          <w:rFonts w:ascii="Times New Roman" w:hAnsi="Times New Roman"/>
          <w:sz w:val="20"/>
        </w:rPr>
        <w:t xml:space="preserve"> </w:t>
      </w:r>
      <w:r>
        <w:rPr>
          <w:rFonts w:ascii="Times New Roman;serif" w:hAnsi="Times New Roman;serif"/>
          <w:b w:val="false"/>
          <w:sz w:val="23"/>
        </w:rPr>
        <w:t>specific borrower facts and circumstances and the experience of credit personnel in their dealings with similar borrower collateral liquidations. Such discounts were in the range of 10% to 90% with a weighted-average of 47% at June 30, 2023. As these discounts are not readily observable and are considered significant, the valuations have been classified as Level 3. Automobile collateral is typically valued by reference to independent pricing sources based on recent sales transactions of similar vehicles and, accordingly, the related nonrecurring fair value measurement adjustments have been classified as Level 2. Collateral values for other consumer installment loans are generally estimated based on historical recovery rates for similar types of loans which at June 30, 2023</w:t>
      </w:r>
      <w:r>
        <w:rPr>
          <w:rFonts w:ascii="Times New Roman" w:hAnsi="Times New Roman"/>
          <w:sz w:val="20"/>
        </w:rPr>
        <w:t xml:space="preserve"> </w:t>
      </w:r>
      <w:r>
        <w:rPr>
          <w:rFonts w:ascii="Times New Roman;serif" w:hAnsi="Times New Roman;serif"/>
          <w:b w:val="false"/>
          <w:sz w:val="23"/>
        </w:rPr>
        <w:t>was 54%. As these recovery rates are not readily observable by market participants, such valuation adjustments have been classified as Level 3. Loans subject to nonrecurring fair value measurement were $652</w:t>
      </w:r>
      <w:r>
        <w:rPr>
          <w:rFonts w:ascii="Times New Roman" w:hAnsi="Times New Roman"/>
          <w:sz w:val="20"/>
        </w:rPr>
        <w:t xml:space="preserve"> </w:t>
      </w:r>
      <w:r>
        <w:rPr>
          <w:rFonts w:ascii="Times New Roman;serif" w:hAnsi="Times New Roman;serif"/>
          <w:b w:val="false"/>
          <w:sz w:val="23"/>
        </w:rPr>
        <w:t>million at June 30, 2023</w:t>
      </w:r>
      <w:r>
        <w:rPr>
          <w:rFonts w:ascii="Times New Roman" w:hAnsi="Times New Roman"/>
          <w:sz w:val="20"/>
        </w:rPr>
        <w:t xml:space="preserve"> </w:t>
      </w:r>
      <w:r>
        <w:rPr>
          <w:rFonts w:ascii="Times New Roman;serif" w:hAnsi="Times New Roman;serif"/>
          <w:b w:val="false"/>
          <w:sz w:val="23"/>
        </w:rPr>
        <w:t>($297</w:t>
      </w:r>
      <w:r>
        <w:rPr>
          <w:rFonts w:ascii="Times New Roman" w:hAnsi="Times New Roman"/>
          <w:sz w:val="20"/>
        </w:rPr>
        <w:t xml:space="preserve"> </w:t>
      </w:r>
      <w:r>
        <w:rPr>
          <w:rFonts w:ascii="Times New Roman;serif" w:hAnsi="Times New Roman;serif"/>
          <w:b w:val="false"/>
          <w:sz w:val="23"/>
        </w:rPr>
        <w:t>million and $355</w:t>
      </w:r>
      <w:r>
        <w:rPr>
          <w:rFonts w:ascii="Times New Roman" w:hAnsi="Times New Roman"/>
          <w:sz w:val="20"/>
        </w:rPr>
        <w:t xml:space="preserve"> </w:t>
      </w:r>
      <w:r>
        <w:rPr>
          <w:rFonts w:ascii="Times New Roman;serif" w:hAnsi="Times New Roman;serif"/>
          <w:b w:val="false"/>
          <w:sz w:val="23"/>
        </w:rPr>
        <w:t>million of which were classified as Level 2 and Level 3, respectively), $853</w:t>
      </w:r>
      <w:r>
        <w:rPr>
          <w:rFonts w:ascii="Times New Roman" w:hAnsi="Times New Roman"/>
          <w:sz w:val="20"/>
        </w:rPr>
        <w:t xml:space="preserve"> </w:t>
      </w:r>
      <w:r>
        <w:rPr>
          <w:rFonts w:ascii="Times New Roman;serif" w:hAnsi="Times New Roman;serif"/>
          <w:b w:val="false"/>
          <w:sz w:val="23"/>
        </w:rPr>
        <w:t>million at December 31, 2022</w:t>
      </w:r>
      <w:r>
        <w:rPr>
          <w:rFonts w:ascii="Times New Roman" w:hAnsi="Times New Roman"/>
          <w:sz w:val="20"/>
        </w:rPr>
        <w:t xml:space="preserve"> </w:t>
      </w:r>
      <w:r>
        <w:rPr>
          <w:rFonts w:ascii="Times New Roman;serif" w:hAnsi="Times New Roman;serif"/>
          <w:b w:val="false"/>
          <w:sz w:val="23"/>
        </w:rPr>
        <w:t>($329</w:t>
      </w:r>
      <w:r>
        <w:rPr>
          <w:rFonts w:ascii="Times New Roman" w:hAnsi="Times New Roman"/>
          <w:sz w:val="20"/>
        </w:rPr>
        <w:t xml:space="preserve"> </w:t>
      </w:r>
      <w:r>
        <w:rPr>
          <w:rFonts w:ascii="Times New Roman;serif" w:hAnsi="Times New Roman;serif"/>
          <w:b w:val="false"/>
          <w:sz w:val="23"/>
        </w:rPr>
        <w:t>million and $524</w:t>
      </w:r>
      <w:r>
        <w:rPr>
          <w:rFonts w:ascii="Times New Roman" w:hAnsi="Times New Roman"/>
          <w:sz w:val="20"/>
        </w:rPr>
        <w:t xml:space="preserve"> </w:t>
      </w:r>
      <w:r>
        <w:rPr>
          <w:rFonts w:ascii="Times New Roman;serif" w:hAnsi="Times New Roman;serif"/>
          <w:b w:val="false"/>
          <w:sz w:val="23"/>
        </w:rPr>
        <w:t>million of which were classified as Level 2 and Level 3, respectively) and $761</w:t>
      </w:r>
      <w:r>
        <w:rPr>
          <w:rFonts w:ascii="Times New Roman" w:hAnsi="Times New Roman"/>
          <w:sz w:val="20"/>
        </w:rPr>
        <w:t xml:space="preserve"> </w:t>
      </w:r>
      <w:r>
        <w:rPr>
          <w:rFonts w:ascii="Times New Roman;serif" w:hAnsi="Times New Roman;serif"/>
          <w:b w:val="false"/>
          <w:sz w:val="23"/>
        </w:rPr>
        <w:t>million at June 30, 2022</w:t>
      </w:r>
      <w:r>
        <w:rPr>
          <w:rFonts w:ascii="Times New Roman" w:hAnsi="Times New Roman"/>
          <w:sz w:val="20"/>
        </w:rPr>
        <w:t xml:space="preserve"> </w:t>
      </w:r>
      <w:r>
        <w:rPr>
          <w:rFonts w:ascii="Times New Roman;serif" w:hAnsi="Times New Roman;serif"/>
          <w:b w:val="false"/>
          <w:sz w:val="23"/>
        </w:rPr>
        <w:t>($424</w:t>
      </w:r>
      <w:r>
        <w:rPr>
          <w:rFonts w:ascii="Times New Roman" w:hAnsi="Times New Roman"/>
          <w:sz w:val="20"/>
        </w:rPr>
        <w:t xml:space="preserve"> </w:t>
      </w:r>
      <w:r>
        <w:rPr>
          <w:rFonts w:ascii="Times New Roman;serif" w:hAnsi="Times New Roman;serif"/>
          <w:b w:val="false"/>
          <w:sz w:val="23"/>
        </w:rPr>
        <w:t>million and $337</w:t>
      </w:r>
      <w:r>
        <w:rPr>
          <w:rFonts w:ascii="Times New Roman" w:hAnsi="Times New Roman"/>
          <w:sz w:val="20"/>
        </w:rPr>
        <w:t xml:space="preserve"> </w:t>
      </w:r>
      <w:r>
        <w:rPr>
          <w:rFonts w:ascii="Times New Roman;serif" w:hAnsi="Times New Roman;serif"/>
          <w:b w:val="false"/>
          <w:sz w:val="23"/>
        </w:rPr>
        <w:t>million of which were classified as Level 2 and Level 3, respectively). Changes in fair value recognized for partial charge-offs of loans and loan impairment reserves on loans held by the Company on June 30, 2023</w:t>
      </w:r>
      <w:r>
        <w:rPr>
          <w:rFonts w:ascii="Times New Roman" w:hAnsi="Times New Roman"/>
          <w:sz w:val="20"/>
        </w:rPr>
        <w:t xml:space="preserve"> </w:t>
      </w:r>
      <w:r>
        <w:rPr>
          <w:rFonts w:ascii="Times New Roman;serif" w:hAnsi="Times New Roman;serif"/>
          <w:b w:val="false"/>
          <w:sz w:val="23"/>
        </w:rPr>
        <w:t>were decreases of $101</w:t>
      </w:r>
      <w:r>
        <w:rPr>
          <w:rFonts w:ascii="Times New Roman" w:hAnsi="Times New Roman"/>
          <w:sz w:val="20"/>
        </w:rPr>
        <w:t xml:space="preserve"> </w:t>
      </w:r>
      <w:r>
        <w:rPr>
          <w:rFonts w:ascii="Times New Roman;serif" w:hAnsi="Times New Roman;serif"/>
          <w:b w:val="false"/>
          <w:sz w:val="23"/>
        </w:rPr>
        <w:t>million and $177</w:t>
      </w:r>
      <w:r>
        <w:rPr>
          <w:rFonts w:ascii="Times New Roman" w:hAnsi="Times New Roman"/>
          <w:sz w:val="20"/>
        </w:rPr>
        <w:t xml:space="preserve"> </w:t>
      </w:r>
      <w:r>
        <w:rPr>
          <w:rFonts w:ascii="Times New Roman;serif" w:hAnsi="Times New Roman;serif"/>
          <w:b w:val="false"/>
          <w:sz w:val="23"/>
        </w:rPr>
        <w:t>million for the three-month and six-month periods ended June 30, 2023, respectively. Changes in the fair value recognized for partial charge-offs of loans and loan impairment reserves on loans held by the Company on June 30, 2022</w:t>
      </w:r>
      <w:r>
        <w:rPr>
          <w:rFonts w:ascii="Times New Roman" w:hAnsi="Times New Roman"/>
          <w:sz w:val="20"/>
        </w:rPr>
        <w:t xml:space="preserve"> </w:t>
      </w:r>
      <w:r>
        <w:rPr>
          <w:rFonts w:ascii="Times New Roman;serif" w:hAnsi="Times New Roman;serif"/>
          <w:b w:val="false"/>
          <w:sz w:val="23"/>
        </w:rPr>
        <w:t>were decreases of $73</w:t>
      </w:r>
      <w:r>
        <w:rPr>
          <w:rFonts w:ascii="Times New Roman" w:hAnsi="Times New Roman"/>
          <w:sz w:val="20"/>
        </w:rPr>
        <w:t xml:space="preserve"> </w:t>
      </w:r>
      <w:r>
        <w:rPr>
          <w:rFonts w:ascii="Times New Roman;serif" w:hAnsi="Times New Roman;serif"/>
          <w:b w:val="false"/>
          <w:sz w:val="23"/>
        </w:rPr>
        <w:t>million and $117</w:t>
      </w:r>
      <w:r>
        <w:rPr>
          <w:rFonts w:ascii="Times New Roman" w:hAnsi="Times New Roman"/>
          <w:sz w:val="20"/>
        </w:rPr>
        <w:t xml:space="preserve"> </w:t>
      </w:r>
      <w:r>
        <w:rPr>
          <w:rFonts w:ascii="Times New Roman;serif" w:hAnsi="Times New Roman;serif"/>
          <w:b w:val="false"/>
          <w:sz w:val="23"/>
        </w:rPr>
        <w:t>million for the three-month and six-month periods ended June 30, 2022, respectively.</w:t>
      </w:r>
    </w:p>
    <w:p>
      <w:pPr>
        <w:pStyle w:val="TextBody"/>
        <w:bidi w:val="0"/>
        <w:spacing w:before="120" w:after="0"/>
        <w:jc w:val="both"/>
        <w:rPr>
          <w:rFonts w:ascii="Times New Roman;serif" w:hAnsi="Times New Roman;serif"/>
          <w:b/>
          <w:i/>
          <w:sz w:val="23"/>
        </w:rPr>
      </w:pPr>
      <w:r>
        <w:rPr>
          <w:rFonts w:ascii="Times New Roman;serif" w:hAnsi="Times New Roman;serif"/>
          <w:b/>
          <w:i/>
          <w:sz w:val="23"/>
        </w:rPr>
        <w:t>Assets taken in foreclosure of defaulted loans</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into foreclosure of defaulted loans subject to nonrecurring fair value measurement were not material at each of June 30, 2023 and 2022. Changes in fair value recognized for those foreclosed assets held by the Company were not material during the three-month and six-month periods ended June 30, 2023 and 2022.</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- 39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120" w:after="0"/>
        <w:jc w:val="both"/>
        <w:rPr>
          <w:rFonts w:ascii="Times New Roman;serif" w:hAnsi="Times New Roman;serif"/>
          <w:b/>
          <w:i/>
          <w:sz w:val="23"/>
        </w:rPr>
      </w:pPr>
      <w:r>
        <w:rPr>
          <w:rFonts w:ascii="Times New Roman;serif" w:hAnsi="Times New Roman;serif"/>
          <w:b/>
          <w:i/>
          <w:sz w:val="23"/>
        </w:rPr>
        <w:t>Capitalized servicing rights</w:t>
      </w:r>
    </w:p>
    <w:p>
      <w:pPr>
        <w:pStyle w:val="TextBody"/>
        <w:bidi w:val="0"/>
        <w:spacing w:before="0" w:after="0"/>
        <w:jc w:val="both"/>
        <w:rPr>
          <w:rFonts w:ascii="Times New Roman" w:hAnsi="Times New Roman"/>
          <w:sz w:val="20"/>
        </w:rPr>
      </w:pPr>
      <w:r>
        <w:rPr>
          <w:rFonts w:ascii="Times New Roman;serif" w:hAnsi="Times New Roman;serif"/>
          <w:b w:val="false"/>
          <w:sz w:val="23"/>
        </w:rPr>
        <w:t>Capitalized servicing rights are initially measured at fair value in the Company’s Consolidated Balance Sheet. The Company utilizes the amortization method to subsequently measure its capitalized servicing assets. In accordance with GAAP, the Company must record impairment charges, on a nonrecurring basis, when the carrying value of certain strata exceed their estimated fair value. To estimate the fair value of servicing rights, the Company considers market prices for similar assets, if available,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 estimated fair value. Impairment is recognized through a valuation allowance. The determination of fair value of capitalized servicing rights is considered a Level 3 valuation. Capitalized servicing rights related to residential mortgage loans required no</w:t>
      </w:r>
      <w:r>
        <w:rPr>
          <w:rFonts w:ascii="Times New Roman" w:hAnsi="Times New Roman"/>
          <w:sz w:val="20"/>
        </w:rPr>
        <w:t xml:space="preserve"> </w:t>
      </w:r>
      <w:r>
        <w:rPr>
          <w:rFonts w:ascii="Times New Roman;serif" w:hAnsi="Times New Roman;serif"/>
          <w:b w:val="false"/>
          <w:sz w:val="23"/>
        </w:rPr>
        <w:t>valuation allowance at June 30, 2023 and December 31, 2022. A reduction of the valuation allowance of $11</w:t>
      </w:r>
      <w:r>
        <w:rPr>
          <w:rFonts w:ascii="Times New Roman" w:hAnsi="Times New Roman"/>
          <w:sz w:val="20"/>
        </w:rPr>
        <w:t xml:space="preserve"> </w:t>
      </w:r>
      <w:r>
        <w:rPr>
          <w:rFonts w:ascii="Times New Roman;serif" w:hAnsi="Times New Roman;serif"/>
          <w:b w:val="false"/>
          <w:sz w:val="23"/>
        </w:rPr>
        <w:t>million and $14</w:t>
      </w:r>
      <w:r>
        <w:rPr>
          <w:rFonts w:ascii="Times New Roman" w:hAnsi="Times New Roman"/>
          <w:sz w:val="20"/>
        </w:rPr>
        <w:t xml:space="preserve"> </w:t>
      </w:r>
      <w:r>
        <w:rPr>
          <w:rFonts w:ascii="Times New Roman;serif" w:hAnsi="Times New Roman;serif"/>
          <w:b w:val="false"/>
          <w:sz w:val="23"/>
        </w:rPr>
        <w:t>million was recognized for the three-month and six-month periods ended June 30, 2022, respectively.</w:t>
      </w:r>
    </w:p>
    <w:p>
      <w:pPr>
        <w:pStyle w:val="TextBody"/>
        <w:bidi w:val="0"/>
        <w:spacing w:before="120" w:after="0"/>
        <w:jc w:val="left"/>
        <w:rPr>
          <w:rFonts w:ascii="Times New Roman;serif" w:hAnsi="Times New Roman;serif"/>
          <w:b/>
          <w:i/>
          <w:sz w:val="23"/>
        </w:rPr>
      </w:pPr>
      <w:r>
        <w:rPr>
          <w:rFonts w:ascii="Times New Roman;serif" w:hAnsi="Times New Roman;serif"/>
          <w:b/>
          <w:i/>
          <w:sz w:val="23"/>
        </w:rPr>
        <w:t>Significant unobservable inputs to Level 3 measurements</w:t>
      </w:r>
    </w:p>
    <w:p>
      <w:pPr>
        <w:pStyle w:val="TextBody"/>
        <w:bidi w:val="0"/>
        <w:spacing w:before="0" w:after="120"/>
        <w:jc w:val="both"/>
        <w:rPr>
          <w:rFonts w:ascii="Times New Roman;serif" w:hAnsi="Times New Roman;serif"/>
          <w:b w:val="false"/>
          <w:sz w:val="23"/>
        </w:rPr>
      </w:pPr>
      <w:r>
        <w:rPr>
          <w:rFonts w:ascii="Times New Roman;serif" w:hAnsi="Times New Roman;serif"/>
          <w:b w:val="false"/>
          <w:sz w:val="23"/>
        </w:rPr>
        <w:t>The following table presents quantitative information about significant unobservable inputs used in the fair value measurements for certain Level 3 assets and liabilities at June 30, 2023 and December 31, 2022:</w:t>
      </w:r>
    </w:p>
    <w:tbl>
      <w:tblPr>
        <w:tblW w:w="10205" w:type="dxa"/>
        <w:jc w:val="left"/>
        <w:tblInd w:w="0" w:type="dxa"/>
        <w:tblLayout w:type="fixed"/>
        <w:tblCellMar>
          <w:top w:w="28" w:type="dxa"/>
          <w:left w:w="28" w:type="dxa"/>
          <w:bottom w:w="28" w:type="dxa"/>
          <w:right w:w="28" w:type="dxa"/>
        </w:tblCellMar>
      </w:tblPr>
      <w:tblGrid>
        <w:gridCol w:w="2896"/>
        <w:gridCol w:w="146"/>
        <w:gridCol w:w="253"/>
        <w:gridCol w:w="883"/>
        <w:gridCol w:w="166"/>
        <w:gridCol w:w="146"/>
        <w:gridCol w:w="1831"/>
        <w:gridCol w:w="146"/>
        <w:gridCol w:w="2113"/>
        <w:gridCol w:w="146"/>
        <w:gridCol w:w="1479"/>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2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w:t>
              <w:br/>
              <w:t>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w:t>
              <w:br/>
              <w:t>Inputs / Assumptions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w:t>
              <w:br/>
              <w:t>(Weighted-</w:t>
              <w:br/>
              <w:t>Average)</w:t>
            </w:r>
          </w:p>
        </w:tc>
      </w:tr>
      <w:tr>
        <w:trPr/>
        <w:tc>
          <w:tcPr>
            <w:tcW w:w="2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30, 2023</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Recurring fair value measurements</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3"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other assets (liabilities) (a)</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Discounted cash flow</w:t>
            </w:r>
          </w:p>
        </w:tc>
        <w:tc>
          <w:tcPr>
            <w:tcW w:w="146" w:type="dxa"/>
            <w:tcBorders/>
            <w:vAlign w:val="center"/>
          </w:tcPr>
          <w:p>
            <w:pPr>
              <w:pStyle w:val="TableContents"/>
              <w:bidi w:val="0"/>
              <w:spacing w:before="0" w:after="0"/>
              <w:ind w:left="0" w:right="0" w:hanging="0"/>
              <w:jc w:val="center"/>
              <w:rPr/>
            </w:pPr>
            <w:r>
              <w:rPr/>
              <w:t> </w:t>
            </w:r>
          </w:p>
        </w:tc>
        <w:tc>
          <w:tcPr>
            <w:tcW w:w="211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Commitment expirations</w:t>
            </w:r>
          </w:p>
        </w:tc>
        <w:tc>
          <w:tcPr>
            <w:tcW w:w="146" w:type="dxa"/>
            <w:tcBorders/>
            <w:vAlign w:val="center"/>
          </w:tcPr>
          <w:p>
            <w:pPr>
              <w:pStyle w:val="TableContents"/>
              <w:bidi w:val="0"/>
              <w:spacing w:before="0" w:after="0"/>
              <w:ind w:left="0" w:right="0" w:hanging="0"/>
              <w:jc w:val="center"/>
              <w:rPr/>
            </w:pPr>
            <w:r>
              <w:rPr/>
              <w:t> </w:t>
            </w:r>
          </w:p>
        </w:tc>
        <w:tc>
          <w:tcPr>
            <w:tcW w:w="147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 - 97% (10%)</w:t>
            </w:r>
          </w:p>
        </w:tc>
      </w:tr>
      <w:tr>
        <w:trPr/>
        <w:tc>
          <w:tcPr>
            <w:tcW w:w="289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79" w:type="dxa"/>
            <w:tcBorders/>
            <w:vAlign w:val="center"/>
          </w:tcPr>
          <w:p>
            <w:pPr>
              <w:pStyle w:val="TableContents"/>
              <w:bidi w:val="0"/>
              <w:spacing w:before="0" w:after="0"/>
              <w:ind w:left="0" w:right="0" w:hanging="0"/>
              <w:jc w:val="center"/>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Recurring fair value measurements</w:t>
            </w:r>
          </w:p>
        </w:tc>
        <w:tc>
          <w:tcPr>
            <w:tcW w:w="146" w:type="dxa"/>
            <w:tcBorders/>
            <w:vAlign w:val="center"/>
          </w:tcPr>
          <w:p>
            <w:pPr>
              <w:pStyle w:val="TableContents"/>
              <w:bidi w:val="0"/>
              <w:spacing w:before="0" w:after="0"/>
              <w:ind w:left="0" w:right="0" w:hanging="0"/>
              <w:jc w:val="left"/>
              <w:rPr/>
            </w:pPr>
            <w:r>
              <w:rPr/>
              <w:t> </w:t>
            </w:r>
          </w:p>
        </w:tc>
        <w:tc>
          <w:tcPr>
            <w:tcW w:w="113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1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79" w:type="dxa"/>
            <w:tcBorders/>
            <w:vAlign w:val="center"/>
          </w:tcPr>
          <w:p>
            <w:pPr>
              <w:pStyle w:val="TableContents"/>
              <w:bidi w:val="0"/>
              <w:spacing w:before="0" w:after="0"/>
              <w:ind w:left="0" w:right="0" w:hanging="0"/>
              <w:jc w:val="right"/>
              <w:rPr/>
            </w:pPr>
            <w:r>
              <w:rPr/>
              <w:t> </w:t>
            </w:r>
          </w:p>
        </w:tc>
      </w:tr>
      <w:tr>
        <w:trPr/>
        <w:tc>
          <w:tcPr>
            <w:tcW w:w="28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other assets (liabilities) (a)</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8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Discounted cash flow</w:t>
            </w:r>
          </w:p>
        </w:tc>
        <w:tc>
          <w:tcPr>
            <w:tcW w:w="146" w:type="dxa"/>
            <w:tcBorders/>
            <w:vAlign w:val="center"/>
          </w:tcPr>
          <w:p>
            <w:pPr>
              <w:pStyle w:val="TableContents"/>
              <w:bidi w:val="0"/>
              <w:spacing w:before="0" w:after="0"/>
              <w:ind w:left="0" w:right="0" w:hanging="0"/>
              <w:jc w:val="center"/>
              <w:rPr/>
            </w:pPr>
            <w:r>
              <w:rPr/>
              <w:t> </w:t>
            </w:r>
          </w:p>
        </w:tc>
        <w:tc>
          <w:tcPr>
            <w:tcW w:w="211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Commitment expirations</w:t>
            </w:r>
          </w:p>
        </w:tc>
        <w:tc>
          <w:tcPr>
            <w:tcW w:w="146" w:type="dxa"/>
            <w:tcBorders/>
            <w:vAlign w:val="center"/>
          </w:tcPr>
          <w:p>
            <w:pPr>
              <w:pStyle w:val="TableContents"/>
              <w:bidi w:val="0"/>
              <w:spacing w:before="0" w:after="0"/>
              <w:ind w:left="0" w:right="0" w:hanging="0"/>
              <w:jc w:val="center"/>
              <w:rPr/>
            </w:pPr>
            <w:r>
              <w:rPr/>
              <w:t> </w:t>
            </w:r>
          </w:p>
        </w:tc>
        <w:tc>
          <w:tcPr>
            <w:tcW w:w="1479"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 - 97% (3%)</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20"/>
        </w:rPr>
      </w:pPr>
      <w:r>
        <w:rPr>
          <w:rFonts w:ascii="Times New Roman" w:hAnsi="Times New Roman"/>
          <w:b w:val="false"/>
          <w:i/>
          <w:sz w:val="20"/>
        </w:rPr>
        <w:t>(a)</w:t>
      </w:r>
    </w:p>
    <w:p>
      <w:pPr>
        <w:pStyle w:val="TextBody"/>
        <w:bidi w:val="0"/>
        <w:jc w:val="both"/>
        <w:rPr>
          <w:rFonts w:ascii="Times New Roman;serif" w:hAnsi="Times New Roman;serif"/>
          <w:b w:val="false"/>
          <w:i/>
          <w:sz w:val="16"/>
        </w:rPr>
      </w:pPr>
      <w:r>
        <w:rPr>
          <w:rFonts w:ascii="Times New Roman;serif" w:hAnsi="Times New Roman;serif"/>
          <w:b w:val="false"/>
          <w:i/>
          <w:sz w:val="16"/>
        </w:rPr>
        <w:t>Other Level 3 assets (liabilities) consist of commitments to originate real estate loans.</w:t>
      </w:r>
    </w:p>
    <w:p>
      <w:pPr>
        <w:pStyle w:val="TextBody"/>
        <w:bidi w:val="0"/>
        <w:spacing w:before="120" w:after="0"/>
        <w:jc w:val="left"/>
        <w:rPr>
          <w:rFonts w:ascii="Times New Roman;serif" w:hAnsi="Times New Roman;serif"/>
          <w:b/>
          <w:i/>
          <w:sz w:val="23"/>
        </w:rPr>
      </w:pPr>
      <w:r>
        <w:rPr>
          <w:rFonts w:ascii="Times New Roman;serif" w:hAnsi="Times New Roman;serif"/>
          <w:b/>
          <w:i/>
          <w:sz w:val="23"/>
        </w:rPr>
        <w:t>Sensitivity of fair value measurements to changes in unobservable inputs</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12. Fair value measurements, continued</w:t>
      </w:r>
    </w:p>
    <w:p>
      <w:pPr>
        <w:pStyle w:val="TextBody"/>
        <w:bidi w:val="0"/>
        <w:spacing w:before="120" w:after="0"/>
        <w:jc w:val="left"/>
        <w:rPr>
          <w:rFonts w:ascii="Times New Roman;serif" w:hAnsi="Times New Roman;serif"/>
          <w:b/>
          <w:i/>
          <w:sz w:val="23"/>
        </w:rPr>
      </w:pPr>
      <w:r>
        <w:rPr>
          <w:rFonts w:ascii="Times New Roman;serif" w:hAnsi="Times New Roman;serif"/>
          <w:b/>
          <w:i/>
          <w:sz w:val="23"/>
        </w:rPr>
        <w:t>Disclosures of fair value of financial instruments</w:t>
      </w:r>
    </w:p>
    <w:p>
      <w:pPr>
        <w:pStyle w:val="TextBody"/>
        <w:bidi w:val="0"/>
        <w:spacing w:before="0" w:after="120"/>
        <w:jc w:val="both"/>
        <w:rPr>
          <w:rFonts w:ascii="Times New Roman;serif" w:hAnsi="Times New Roman;serif"/>
          <w:b w:val="false"/>
          <w:sz w:val="23"/>
        </w:rPr>
      </w:pPr>
      <w:r>
        <w:rPr>
          <w:rFonts w:ascii="Times New Roman;serif" w:hAnsi="Times New Roman;serif"/>
          <w:b w:val="false"/>
          <w:sz w:val="23"/>
        </w:rPr>
        <w:t>The carrying amounts and estimated fair value for financial instrument assets (liabilities) are presented in the following tables:</w:t>
      </w:r>
    </w:p>
    <w:tbl>
      <w:tblPr>
        <w:tblW w:w="10205" w:type="dxa"/>
        <w:jc w:val="left"/>
        <w:tblInd w:w="0" w:type="dxa"/>
        <w:tblLayout w:type="fixed"/>
        <w:tblCellMar>
          <w:top w:w="28" w:type="dxa"/>
          <w:left w:w="28" w:type="dxa"/>
          <w:bottom w:w="28" w:type="dxa"/>
          <w:right w:w="28" w:type="dxa"/>
        </w:tblCellMar>
      </w:tblPr>
      <w:tblGrid>
        <w:gridCol w:w="1795"/>
        <w:gridCol w:w="146"/>
        <w:gridCol w:w="211"/>
        <w:gridCol w:w="1141"/>
        <w:gridCol w:w="166"/>
        <w:gridCol w:w="146"/>
        <w:gridCol w:w="146"/>
        <w:gridCol w:w="1141"/>
        <w:gridCol w:w="166"/>
        <w:gridCol w:w="146"/>
        <w:gridCol w:w="146"/>
        <w:gridCol w:w="931"/>
        <w:gridCol w:w="146"/>
        <w:gridCol w:w="146"/>
        <w:gridCol w:w="146"/>
        <w:gridCol w:w="1096"/>
        <w:gridCol w:w="166"/>
        <w:gridCol w:w="146"/>
        <w:gridCol w:w="146"/>
        <w:gridCol w:w="1141"/>
        <w:gridCol w:w="791"/>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7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473"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br/>
            </w:r>
            <w:r>
              <w:rPr>
                <w:rFonts w:ascii="Times New Roman" w:hAnsi="Times New Roman"/>
                <w:sz w:val="14"/>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 Fair 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473"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791" w:type="dxa"/>
            <w:tcBorders/>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1,848,386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1,780,005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27,106,899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27,106,899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27,106,899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Trading account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27,916,455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26,711,845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26,451,387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49,117</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and leases: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loans and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44,683,549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43,817,470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43,817,470</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44,648,711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42,386,809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322,029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42,064,780</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23,762,217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21,800,553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7,256,914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14,543,639</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Consumer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20,249,252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19,335,779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19,335,779</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(1,998,366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179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Loans and leases,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131,345,363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127,340,611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7,578,943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119,761,668</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interest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695,030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695,030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695,030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(54,937,913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(54,937,913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(54,937,913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(88,046,247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(88,046,247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(88,046,247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Time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(19,074,220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(18,968,171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(18,968,171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(7,907,884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(7,907,884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(7,907,884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(7,416,638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(7,091,668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(7,091,668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interest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(389,251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financial instruments: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Commitments to originate real estate </w:t>
              <w:br/>
              <w:t>   loans for 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(37,178</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Commitments to sell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credit-related commitments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(155,903</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Interest rate swap agreements used </w:t>
              <w:br/>
              <w:t>   for interest rate risk management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Interest rate and foreign exchange </w:t>
              <w:br/>
              <w:t xml:space="preserve">   contracts not designated as </w:t>
              <w:br/>
              <w:t>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(940,230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12. Fair value measurements, continued</w:t>
      </w:r>
    </w:p>
    <w:tbl>
      <w:tblPr>
        <w:tblW w:w="10205" w:type="dxa"/>
        <w:jc w:val="left"/>
        <w:tblInd w:w="0" w:type="dxa"/>
        <w:tblLayout w:type="fixed"/>
        <w:tblCellMar>
          <w:top w:w="28" w:type="dxa"/>
          <w:left w:w="28" w:type="dxa"/>
          <w:bottom w:w="28" w:type="dxa"/>
          <w:right w:w="28" w:type="dxa"/>
        </w:tblCellMar>
      </w:tblPr>
      <w:tblGrid>
        <w:gridCol w:w="1795"/>
        <w:gridCol w:w="146"/>
        <w:gridCol w:w="211"/>
        <w:gridCol w:w="1141"/>
        <w:gridCol w:w="166"/>
        <w:gridCol w:w="146"/>
        <w:gridCol w:w="146"/>
        <w:gridCol w:w="1141"/>
        <w:gridCol w:w="166"/>
        <w:gridCol w:w="146"/>
        <w:gridCol w:w="146"/>
        <w:gridCol w:w="931"/>
        <w:gridCol w:w="146"/>
        <w:gridCol w:w="146"/>
        <w:gridCol w:w="146"/>
        <w:gridCol w:w="1096"/>
        <w:gridCol w:w="166"/>
        <w:gridCol w:w="146"/>
        <w:gridCol w:w="146"/>
        <w:gridCol w:w="1141"/>
        <w:gridCol w:w="791"/>
      </w:tblGrid>
      <w:tr>
        <w:trPr/>
        <w:tc>
          <w:tcPr>
            <w:tcW w:w="1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7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473" w:type="dxa"/>
            <w:gridSpan w:val="18"/>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br/>
            </w:r>
            <w:r>
              <w:rPr>
                <w:rFonts w:ascii="Times New Roman" w:hAnsi="Times New Roman"/>
                <w:sz w:val="14"/>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Carrying</w:t>
              <w:b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3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21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assets: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1,517,244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1,371,688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24,958,719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24,958,719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24,958,719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Federal funds sold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Trading account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25,210,871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24,056,322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145,289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23,860,445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50,588</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Loans and leases: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loans and leases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41,850,566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41,139,985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41,139,985</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Commercial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45,364,571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43,214,646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130,652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43,083,994</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Residential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23,755,947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21,780,214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7,049,540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14,730,674</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Consumer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20,593,079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20,093,523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20,093,523</w:t>
            </w:r>
          </w:p>
        </w:tc>
        <w:tc>
          <w:tcPr>
            <w:tcW w:w="791" w:type="dxa"/>
            <w:tcBorders/>
            <w:vAlign w:val="center"/>
          </w:tcPr>
          <w:p>
            <w:pPr>
              <w:pStyle w:val="TableContents"/>
              <w:bidi w:val="0"/>
              <w:spacing w:before="0" w:after="0"/>
              <w:ind w:left="0" w:right="0" w:firstLine="400"/>
              <w:jc w:val="left"/>
              <w:rPr/>
            </w:pPr>
            <w:r>
              <w:rPr/>
              <w:t> </w:t>
            </w:r>
          </w:p>
        </w:tc>
      </w:tr>
      <w:tr>
        <w:trPr/>
        <w:tc>
          <w:tcPr>
            <w:tcW w:w="1795"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(1,925,331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1795"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Loans and leases,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129,638,832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126,228,368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7,180,192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119,048,176</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interest receivable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liabilities: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(65,501,860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(65,501,860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(65,501,860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(87,911,463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(87,911,463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(87,911,463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Time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(10,101,545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(10,143,110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(10,143,110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(3,554,951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(3,554,951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(3,554,951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Long-term borrowings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(3,964,537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(3,926,489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(3,926,489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interest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r>
        <w:trPr/>
        <w:tc>
          <w:tcPr>
            <w:tcW w:w="1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financial instruments:</w:t>
            </w:r>
          </w:p>
        </w:tc>
        <w:tc>
          <w:tcPr>
            <w:tcW w:w="146" w:type="dxa"/>
            <w:tcBorders/>
            <w:vAlign w:val="center"/>
          </w:tcPr>
          <w:p>
            <w:pPr>
              <w:pStyle w:val="TableContents"/>
              <w:bidi w:val="0"/>
              <w:spacing w:before="0" w:after="0"/>
              <w:ind w:left="0" w:right="0" w:hanging="0"/>
              <w:jc w:val="left"/>
              <w:rPr/>
            </w:pPr>
            <w:r>
              <w:rPr/>
              <w:t> </w:t>
            </w:r>
          </w:p>
        </w:tc>
        <w:tc>
          <w:tcPr>
            <w:tcW w:w="13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righ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Commitments to originate real estate </w:t>
              <w:br/>
              <w:t>   loans for sale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(45,573</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Commitments to sell real estate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credit-related commitments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(148,772</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Interest rate swap agreements used </w:t>
              <w:br/>
              <w:t>   for interest rate risk management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firstLine="200"/>
              <w:jc w:val="left"/>
              <w:rPr/>
            </w:pPr>
            <w:r>
              <w:rPr/>
              <w:t> </w:t>
            </w:r>
          </w:p>
        </w:tc>
      </w:tr>
      <w:tr>
        <w:trPr/>
        <w:tc>
          <w:tcPr>
            <w:tcW w:w="179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Interest rate and foreign exchange contracts </w:t>
              <w:br/>
              <w:t>   not designated as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(920,316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7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w:t>
      </w:r>
      <w:r>
        <w:rPr>
          <w:rFonts w:ascii="Times New Roman" w:hAnsi="Times New Roman"/>
          <w:sz w:val="20"/>
        </w:rPr>
        <w:t xml:space="preserve"> </w:t>
      </w:r>
      <w:r>
        <w:rPr>
          <w:rFonts w:ascii="Times New Roman;serif" w:hAnsi="Times New Roman;serif"/>
          <w:b w:val="false"/>
          <w:sz w:val="23"/>
        </w:rPr>
        <w:t>because the disclosed fair value amounts were estimated as of the balance sheet date, the amounts actually realized or paid upon maturity or settlement of the various financial instruments could be significantly different.</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13. Commitments and contingencies</w:t>
      </w:r>
    </w:p>
    <w:p>
      <w:pPr>
        <w:pStyle w:val="TextBody"/>
        <w:bidi w:val="0"/>
        <w:spacing w:before="120" w:after="120"/>
        <w:jc w:val="both"/>
        <w:rPr>
          <w:rFonts w:ascii="Times New Roman" w:hAnsi="Times New Roman"/>
          <w:sz w:val="20"/>
        </w:rPr>
      </w:pPr>
      <w:r>
        <w:rPr>
          <w:rFonts w:ascii="Times New Roman;serif" w:hAnsi="Times New Roman;serif"/>
          <w:b w:val="false"/>
          <w:sz w:val="23"/>
        </w:rPr>
        <w:t>In the normal course of business, various commitments and contingent liabilities are outstanding.</w:t>
      </w:r>
      <w:r>
        <w:rPr>
          <w:rFonts w:ascii="Times New Roman" w:hAnsi="Times New Roman"/>
          <w:sz w:val="20"/>
        </w:rPr>
        <w:t xml:space="preserve"> </w:t>
      </w:r>
      <w:r>
        <w:rPr>
          <w:rFonts w:ascii="Times New Roman;serif" w:hAnsi="Times New Roman;serif"/>
          <w:b w:val="false"/>
          <w:sz w:val="23"/>
        </w:rPr>
        <w:t>The following table presents the Company's significant commitments. Certain of these commitments are not included in the Company's Consolidated Balance Sheet.</w:t>
      </w:r>
    </w:p>
    <w:tbl>
      <w:tblPr>
        <w:tblW w:w="7453" w:type="dxa"/>
        <w:jc w:val="left"/>
        <w:tblInd w:w="0" w:type="dxa"/>
        <w:tblLayout w:type="fixed"/>
        <w:tblCellMar>
          <w:top w:w="28" w:type="dxa"/>
          <w:left w:w="28" w:type="dxa"/>
          <w:bottom w:w="28" w:type="dxa"/>
          <w:right w:w="28" w:type="dxa"/>
        </w:tblCellMar>
      </w:tblPr>
      <w:tblGrid>
        <w:gridCol w:w="4276"/>
        <w:gridCol w:w="211"/>
        <w:gridCol w:w="1036"/>
        <w:gridCol w:w="146"/>
        <w:gridCol w:w="146"/>
        <w:gridCol w:w="211"/>
        <w:gridCol w:w="1036"/>
        <w:gridCol w:w="391"/>
      </w:tblGrid>
      <w:tr>
        <w:trPr/>
        <w:tc>
          <w:tcPr>
            <w:tcW w:w="4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278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to extend credit</w:t>
            </w:r>
          </w:p>
        </w:tc>
        <w:tc>
          <w:tcPr>
            <w:tcW w:w="124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of credit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8,227,815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8,261,560</w:t>
            </w:r>
          </w:p>
        </w:tc>
        <w:tc>
          <w:tcPr>
            <w:tcW w:w="391"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real estate loans to be sold</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348,701</w:t>
            </w:r>
          </w:p>
        </w:tc>
        <w:tc>
          <w:tcPr>
            <w:tcW w:w="391"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commercial real estate</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6,440,726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5,776,116</w:t>
            </w:r>
          </w:p>
        </w:tc>
        <w:tc>
          <w:tcPr>
            <w:tcW w:w="391"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 real estate loans to be sold</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31,208</w:t>
            </w:r>
          </w:p>
        </w:tc>
        <w:tc>
          <w:tcPr>
            <w:tcW w:w="391"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residential real estate</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505,121</w:t>
            </w:r>
          </w:p>
        </w:tc>
        <w:tc>
          <w:tcPr>
            <w:tcW w:w="391"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 and other</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33,148,044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32,625,840</w:t>
            </w:r>
          </w:p>
        </w:tc>
        <w:tc>
          <w:tcPr>
            <w:tcW w:w="3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Standby letters of credit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2,379,057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2,376,644</w:t>
            </w:r>
          </w:p>
        </w:tc>
        <w:tc>
          <w:tcPr>
            <w:tcW w:w="3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letters of credit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65,066</w:t>
            </w:r>
          </w:p>
        </w:tc>
        <w:tc>
          <w:tcPr>
            <w:tcW w:w="3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guarantees and indemnification contracts</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4,081,370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4,022,432</w:t>
            </w:r>
          </w:p>
        </w:tc>
        <w:tc>
          <w:tcPr>
            <w:tcW w:w="391"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to sell real estate loans</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533,458</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Commitments to extend credit are agreements to lend to customers, generally having fixed expiration dates or other termination clauses that may require payment of a fee. In addition to the amounts in the preceding table, the Company had discretionary funding commitments to commercial customers of $12.5</w:t>
      </w:r>
      <w:r>
        <w:rPr>
          <w:rFonts w:ascii="Times New Roman" w:hAnsi="Times New Roman"/>
          <w:sz w:val="20"/>
        </w:rPr>
        <w:t xml:space="preserve"> </w:t>
      </w:r>
      <w:r>
        <w:rPr>
          <w:rFonts w:ascii="Times New Roman;serif" w:hAnsi="Times New Roman;serif"/>
          <w:b w:val="false"/>
          <w:sz w:val="23"/>
        </w:rPr>
        <w:t>billion and $11.7</w:t>
      </w:r>
      <w:r>
        <w:rPr>
          <w:rFonts w:ascii="Times New Roman" w:hAnsi="Times New Roman"/>
          <w:sz w:val="20"/>
        </w:rPr>
        <w:t xml:space="preserve"> </w:t>
      </w:r>
      <w:r>
        <w:rPr>
          <w:rFonts w:ascii="Times New Roman;serif" w:hAnsi="Times New Roman;serif"/>
          <w:b w:val="false"/>
          <w:sz w:val="23"/>
        </w:rPr>
        <w:t>billion at June 30, 2023 and December 31, 2022, respectively, that the Company had the unconditional right to cancel prior to funding.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pStyle w:val="TextBody"/>
        <w:bidi w:val="0"/>
        <w:spacing w:before="120" w:after="0"/>
        <w:jc w:val="both"/>
        <w:rPr>
          <w:rFonts w:ascii="Times New Roman" w:hAnsi="Times New Roman"/>
          <w:sz w:val="20"/>
        </w:rPr>
      </w:pPr>
      <w:r>
        <w:rPr>
          <w:rFonts w:ascii="Times New Roman;serif" w:hAnsi="Times New Roman;serif"/>
          <w:b w:val="false"/>
          <w:sz w:val="23"/>
        </w:rPr>
        <w:t>Financial guarantees and indemnification contracts are predominantly comprised of recourse obligations associated with sold loans and other guarantees and commitments.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$3.9</w:t>
      </w:r>
      <w:r>
        <w:rPr>
          <w:rFonts w:ascii="Times New Roman" w:hAnsi="Times New Roman"/>
          <w:sz w:val="20"/>
        </w:rPr>
        <w:t xml:space="preserve"> </w:t>
      </w:r>
      <w:r>
        <w:rPr>
          <w:rFonts w:ascii="Times New Roman;serif" w:hAnsi="Times New Roman;serif"/>
          <w:b w:val="false"/>
          <w:sz w:val="23"/>
        </w:rPr>
        <w:t>billion at each of June 30, 2023 and December 31, 2022. There have been no material losses incurred as a result of those credit recourse arrangements.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Since many loan commitments, standby letters of credit, and guarantees and indemnification contracts expire without being funded in whole or in part, the contract amounts are not necessarily indicative of future cash flows.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utilizes commitments to sell real estate loans to hedge exposure to changes in the fair value of real estate loans held for sale. Such commitments are accounted for as derivatives and along with commitments to originate real estate loans to be held for sale are generally recorded in the Consolidated Balance Sheet at estimated fair market value.</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2023, the Company believes that its obligation to loan purchasers was not material to the Company’s consolidated financial position.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- 43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3"/>
        </w:rPr>
      </w:pPr>
      <w:r>
        <w:rPr>
          <w:rFonts w:ascii="Times New Roman;serif" w:hAnsi="Times New Roman;serif"/>
          <w:b/>
          <w:sz w:val="23"/>
        </w:rPr>
        <w:t>13. Commitments and contingencies, continued</w:t>
      </w:r>
    </w:p>
    <w:p>
      <w:pPr>
        <w:pStyle w:val="TextBody"/>
        <w:bidi w:val="0"/>
        <w:spacing w:before="120" w:after="0"/>
        <w:jc w:val="both"/>
        <w:rPr>
          <w:rFonts w:ascii="Times New Roman" w:hAnsi="Times New Roman"/>
          <w:sz w:val="20"/>
        </w:rPr>
      </w:pPr>
      <w:r>
        <w:rPr>
          <w:rFonts w:ascii="Times New Roman;serif" w:hAnsi="Times New Roman;serif"/>
          <w:b w:val="false"/>
          <w:sz w:val="23"/>
        </w:rPr>
        <w:t>M&amp;T and its subsidiaries are subject in the normal course of business to various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w:t>
      </w:r>
      <w:r>
        <w:rPr>
          <w:rFonts w:ascii="Times New Roman" w:hAnsi="Times New Roman"/>
          <w:sz w:val="20"/>
        </w:rPr>
        <w:t xml:space="preserve"> </w:t>
      </w:r>
      <w:r>
        <w:rPr>
          <w:rFonts w:ascii="Times New Roman;serif" w:hAnsi="Times New Roman;serif"/>
          <w:b w:val="false"/>
          <w:sz w:val="23"/>
        </w:rPr>
        <w:t>and $25</w:t>
      </w:r>
      <w:r>
        <w:rPr>
          <w:rFonts w:ascii="Times New Roman" w:hAnsi="Times New Roman"/>
          <w:sz w:val="20"/>
        </w:rPr>
        <w:t xml:space="preserve"> </w:t>
      </w:r>
      <w:r>
        <w:rPr>
          <w:rFonts w:ascii="Times New Roman;serif" w:hAnsi="Times New Roman;serif"/>
          <w:b w:val="false"/>
          <w:sz w:val="23"/>
        </w:rPr>
        <w:t>million</w:t>
      </w:r>
      <w:r>
        <w:rPr>
          <w:rFonts w:ascii="Times New Roman" w:hAnsi="Times New Roman"/>
          <w:sz w:val="20"/>
        </w:rPr>
        <w:t xml:space="preserve"> </w:t>
      </w:r>
      <w:r>
        <w:rPr>
          <w:rFonts w:ascii="Times New Roman;serif" w:hAnsi="Times New Roman;serif"/>
          <w:b w:val="false"/>
          <w:sz w:val="23"/>
        </w:rPr>
        <w:t>as of June 30, 2023.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On May 11, 2023, the Federal Deposit Insurance Corporation (“FDIC”) released a proposed rule that would impose a special assessment to recover the costs to the deposit insurance fund (“DIF”) resulting from the FDIC’s use, in March 2023, of the systemic risk exception to the least-cost resolution test under the Federal Deposit Insurance Act in connection with the receiverships of Silicon Valley Bank and Signature Bank. The FDIC stated that it currently estimates those assessed losses to total $15.8</w:t>
      </w:r>
      <w:r>
        <w:rPr>
          <w:rFonts w:ascii="Times New Roman" w:hAnsi="Times New Roman"/>
          <w:sz w:val="20"/>
        </w:rPr>
        <w:t xml:space="preserve"> </w:t>
      </w:r>
      <w:r>
        <w:rPr>
          <w:rFonts w:ascii="Times New Roman;serif" w:hAnsi="Times New Roman;serif"/>
          <w:b w:val="false"/>
          <w:sz w:val="23"/>
        </w:rPr>
        <w:t>billion and that the amount of the special assessments would be adjusted as the loss estimate changes. Under the proposed rule, the assessment base would be the estimated uninsured deposits that an insured depository institution (“IDI”) reported in its Consolidated Reports of Condition and Income ("Call Report") at December 31, 2022, excluding the first $5</w:t>
      </w:r>
      <w:r>
        <w:rPr>
          <w:rFonts w:ascii="Times New Roman" w:hAnsi="Times New Roman"/>
          <w:sz w:val="20"/>
        </w:rPr>
        <w:t xml:space="preserve"> </w:t>
      </w:r>
      <w:r>
        <w:rPr>
          <w:rFonts w:ascii="Times New Roman;serif" w:hAnsi="Times New Roman;serif"/>
          <w:b w:val="false"/>
          <w:sz w:val="23"/>
        </w:rPr>
        <w:t>billion in estimated uninsured deposits. For a holding company that has more than one IDI subsidiary, such as M&amp;T, the $5</w:t>
      </w:r>
      <w:r>
        <w:rPr>
          <w:rFonts w:ascii="Times New Roman" w:hAnsi="Times New Roman"/>
          <w:sz w:val="20"/>
        </w:rPr>
        <w:t xml:space="preserve"> </w:t>
      </w:r>
      <w:r>
        <w:rPr>
          <w:rFonts w:ascii="Times New Roman;serif" w:hAnsi="Times New Roman;serif"/>
          <w:b w:val="false"/>
          <w:sz w:val="23"/>
        </w:rPr>
        <w:t>billion exclusion would be allocated among the company’s IDI subsidiaries in proportion to each IDI’s estimated uninsured deposits. The special assessments would be collected at an annual rate of approximately 12.5</w:t>
      </w:r>
      <w:r>
        <w:rPr>
          <w:rFonts w:ascii="Times New Roman" w:hAnsi="Times New Roman"/>
          <w:sz w:val="20"/>
        </w:rPr>
        <w:t xml:space="preserve"> </w:t>
      </w:r>
      <w:r>
        <w:rPr>
          <w:rFonts w:ascii="Times New Roman;serif" w:hAnsi="Times New Roman;serif"/>
          <w:b w:val="false"/>
          <w:sz w:val="23"/>
        </w:rPr>
        <w:t>basis points per year (3.13</w:t>
      </w:r>
      <w:r>
        <w:rPr>
          <w:rFonts w:ascii="Times New Roman" w:hAnsi="Times New Roman"/>
          <w:sz w:val="20"/>
        </w:rPr>
        <w:t xml:space="preserve"> </w:t>
      </w:r>
      <w:r>
        <w:rPr>
          <w:rFonts w:ascii="Times New Roman;serif" w:hAnsi="Times New Roman;serif"/>
          <w:b w:val="false"/>
          <w:sz w:val="23"/>
        </w:rPr>
        <w:t>basis points per quarter) over eight quarters in 2024 and 2025, with the first assessment period beginning January 1, 2024. Under the proposed rule, the estimated loss pursuant to the systemic risk determination would be periodically adjusted, and the FDIC would retain the ability to cease collection early, extend the special assessment collection period and impose a final shortfall special assessment on a one-time basis. M&amp;T expects the special assessments, as currently contemplated, would be tax deductible. Although the proposal could be revised, the total of the assessments for the Company is estimated at $183</w:t>
      </w:r>
      <w:r>
        <w:rPr>
          <w:rFonts w:ascii="Times New Roman" w:hAnsi="Times New Roman"/>
          <w:sz w:val="20"/>
        </w:rPr>
        <w:t xml:space="preserve"> </w:t>
      </w:r>
      <w:r>
        <w:rPr>
          <w:rFonts w:ascii="Times New Roman;serif" w:hAnsi="Times New Roman;serif"/>
          <w:b w:val="false"/>
          <w:sz w:val="23"/>
        </w:rPr>
        <w:t>million and such amount is expected to be recorded as an expense in the quarter of enactment.</w:t>
      </w:r>
    </w:p>
    <w:p>
      <w:pPr>
        <w:pStyle w:val="TextBody"/>
        <w:bidi w:val="0"/>
        <w:spacing w:before="120" w:after="0"/>
        <w:jc w:val="both"/>
        <w:rPr>
          <w:rFonts w:ascii="Times New Roman;serif" w:hAnsi="Times New Roman;serif"/>
          <w:b/>
          <w:sz w:val="23"/>
        </w:rPr>
      </w:pPr>
      <w:r>
        <w:rPr>
          <w:rFonts w:ascii="Times New Roman;serif" w:hAnsi="Times New Roman;serif"/>
          <w:b/>
          <w:sz w:val="23"/>
        </w:rPr>
        <w:t>14. Segment information</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financial information of the Company's segments was compiled utilizing the accounting policies described in note 23 of Notes to Financial Statements in the 2022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 As described in the 2022 Annual Report, certain lending relationships within the hospitality sector that had previously received oversight within the Commercial Banking segment were realigned to the Commercial Real Estate segment and certain expenses were reallocated from the All Other segment to various reportable segments in the fourth quarter of 2022. During 2022, the Company also realigned certain acquired operations associated with People's United primarily consisting of reclassifications of certain revenues and expenses to the Commercial Banking segment from other reportable segments. As a result, financial information for the three and six months ended June 30, 2022 has been reclassified to provide segment information on a comparable basis, as noted in the accompanying tables.</w:t>
      </w:r>
    </w:p>
    <w:p>
      <w:pPr>
        <w:pStyle w:val="TextBody"/>
        <w:bidi w:val="0"/>
        <w:spacing w:before="240" w:after="0"/>
        <w:jc w:val="center"/>
        <w:rPr>
          <w:rFonts w:ascii="Times New Roman" w:hAnsi="Times New Roman"/>
          <w:sz w:val="20"/>
        </w:rPr>
      </w:pPr>
      <w:r>
        <w:rPr>
          <w:rFonts w:ascii="Times New Roman;serif" w:hAnsi="Times New Roman;serif"/>
          <w:b w:val="false"/>
          <w:sz w:val="20"/>
        </w:rPr>
        <w:t>- 44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14. Segment information, continued</w:t>
      </w:r>
    </w:p>
    <w:tbl>
      <w:tblPr>
        <w:tblW w:w="10205" w:type="dxa"/>
        <w:jc w:val="left"/>
        <w:tblInd w:w="0" w:type="dxa"/>
        <w:tblLayout w:type="fixed"/>
        <w:tblCellMar>
          <w:top w:w="28" w:type="dxa"/>
          <w:left w:w="28" w:type="dxa"/>
          <w:bottom w:w="28" w:type="dxa"/>
          <w:right w:w="28" w:type="dxa"/>
        </w:tblCellMar>
      </w:tblPr>
      <w:tblGrid>
        <w:gridCol w:w="1360"/>
        <w:gridCol w:w="146"/>
        <w:gridCol w:w="244"/>
        <w:gridCol w:w="1079"/>
        <w:gridCol w:w="146"/>
        <w:gridCol w:w="146"/>
        <w:gridCol w:w="154"/>
        <w:gridCol w:w="827"/>
        <w:gridCol w:w="166"/>
        <w:gridCol w:w="146"/>
        <w:gridCol w:w="232"/>
        <w:gridCol w:w="1026"/>
        <w:gridCol w:w="146"/>
        <w:gridCol w:w="146"/>
        <w:gridCol w:w="253"/>
        <w:gridCol w:w="1009"/>
        <w:gridCol w:w="166"/>
        <w:gridCol w:w="146"/>
        <w:gridCol w:w="155"/>
        <w:gridCol w:w="785"/>
        <w:gridCol w:w="166"/>
        <w:gridCol w:w="146"/>
        <w:gridCol w:w="240"/>
        <w:gridCol w:w="957"/>
        <w:gridCol w:w="218"/>
      </w:tblGrid>
      <w:tr>
        <w:trPr/>
        <w:tc>
          <w:tcPr>
            <w:tcW w:w="1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3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81"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Revenues as Previously Reported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of Changes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5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Revenues as Reclassified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 (Loss) as Previously Reported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of Changes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 (Loss) as Reclassified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81"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8" w:type="dxa"/>
            <w:tcBorders/>
            <w:vAlign w:val="center"/>
          </w:tcPr>
          <w:p>
            <w:pPr>
              <w:pStyle w:val="TableContents"/>
              <w:bidi w:val="0"/>
              <w:spacing w:before="0" w:after="0"/>
              <w:ind w:left="0" w:right="0" w:hanging="0"/>
              <w:jc w:val="center"/>
              <w:rPr/>
            </w:pPr>
            <w:r>
              <w:rPr/>
              <w:t> </w:t>
            </w:r>
          </w:p>
        </w:tc>
      </w:tr>
      <w:tr>
        <w:trPr/>
        <w:tc>
          <w:tcPr>
            <w:tcW w:w="136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6" w:type="dxa"/>
            <w:gridSpan w:val="10"/>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0"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97" w:type="dxa"/>
            <w:gridSpan w:val="2"/>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Banking</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67,583</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Banking</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161,810</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239,610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117,945</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Discretionary Portfolio</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44,411</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Residential Mortgage Banking</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7,929</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Banking</w:t>
            </w:r>
          </w:p>
        </w:tc>
        <w:tc>
          <w:tcPr>
            <w:tcW w:w="14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 </w:t>
            </w:r>
          </w:p>
        </w:tc>
        <w:tc>
          <w:tcPr>
            <w:tcW w:w="10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593,228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102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0"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104,569</w:t>
            </w:r>
          </w:p>
        </w:tc>
        <w:tc>
          <w:tcPr>
            <w:tcW w:w="218" w:type="dxa"/>
            <w:tcBorders/>
            <w:vAlign w:val="center"/>
          </w:tcPr>
          <w:p>
            <w:pPr>
              <w:pStyle w:val="TableContents"/>
              <w:bidi w:val="0"/>
              <w:spacing w:before="0" w:after="0"/>
              <w:ind w:left="0" w:right="0" w:hanging="0"/>
              <w:jc w:val="left"/>
              <w:rPr/>
            </w:pPr>
            <w:r>
              <w:rPr/>
              <w:t> </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399,710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377,485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(310,045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(286,725</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1,982,817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1,982,817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217,522</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pPr>
      <w:r>
        <w:rPr/>
        <w:t> </w:t>
      </w:r>
    </w:p>
    <w:tbl>
      <w:tblPr>
        <w:tblW w:w="10205" w:type="dxa"/>
        <w:jc w:val="left"/>
        <w:tblInd w:w="0" w:type="dxa"/>
        <w:tblLayout w:type="fixed"/>
        <w:tblCellMar>
          <w:top w:w="28" w:type="dxa"/>
          <w:left w:w="28" w:type="dxa"/>
          <w:bottom w:w="28" w:type="dxa"/>
          <w:right w:w="28" w:type="dxa"/>
        </w:tblCellMar>
      </w:tblPr>
      <w:tblGrid>
        <w:gridCol w:w="1366"/>
        <w:gridCol w:w="146"/>
        <w:gridCol w:w="246"/>
        <w:gridCol w:w="1086"/>
        <w:gridCol w:w="146"/>
        <w:gridCol w:w="146"/>
        <w:gridCol w:w="156"/>
        <w:gridCol w:w="787"/>
        <w:gridCol w:w="166"/>
        <w:gridCol w:w="146"/>
        <w:gridCol w:w="233"/>
        <w:gridCol w:w="1030"/>
        <w:gridCol w:w="146"/>
        <w:gridCol w:w="146"/>
        <w:gridCol w:w="255"/>
        <w:gridCol w:w="1017"/>
        <w:gridCol w:w="166"/>
        <w:gridCol w:w="146"/>
        <w:gridCol w:w="156"/>
        <w:gridCol w:w="787"/>
        <w:gridCol w:w="166"/>
        <w:gridCol w:w="146"/>
        <w:gridCol w:w="241"/>
        <w:gridCol w:w="962"/>
        <w:gridCol w:w="217"/>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6"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Revenues as Previously Reported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of Changes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Revenues as Reclassified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 (Loss) as Previously Reported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Impact of Changes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Income (Loss) as Reclassified</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76"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7" w:type="dxa"/>
            <w:tcBorders/>
            <w:vAlign w:val="center"/>
          </w:tcPr>
          <w:p>
            <w:pPr>
              <w:pStyle w:val="TableContents"/>
              <w:bidi w:val="0"/>
              <w:spacing w:before="0" w:after="0"/>
              <w:ind w:left="0" w:right="0" w:hanging="0"/>
              <w:jc w:val="center"/>
              <w:rPr/>
            </w:pPr>
            <w:r>
              <w:rPr/>
              <w:t> </w:t>
            </w:r>
          </w:p>
        </w:tc>
      </w:tr>
      <w:tr>
        <w:trPr/>
        <w:tc>
          <w:tcPr>
            <w:tcW w:w="13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42" w:type="dxa"/>
            <w:gridSpan w:val="10"/>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3"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03" w:type="dxa"/>
            <w:gridSpan w:val="2"/>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Banking</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111,647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107,115</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Banking</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275,039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290,270</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17,072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219,347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229,191</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Discretionary Portfolio</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79,096</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Residential Mortgage Banking</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38,311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35,043</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Banking</w:t>
            </w:r>
          </w:p>
        </w:tc>
        <w:tc>
          <w:tcPr>
            <w:tcW w:w="14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0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948,376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(74,611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10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183,651</w:t>
            </w:r>
          </w:p>
        </w:tc>
        <w:tc>
          <w:tcPr>
            <w:tcW w:w="217" w:type="dxa"/>
            <w:tcBorders/>
            <w:vAlign w:val="center"/>
          </w:tcPr>
          <w:p>
            <w:pPr>
              <w:pStyle w:val="TableContents"/>
              <w:bidi w:val="0"/>
              <w:spacing w:before="0" w:after="0"/>
              <w:ind w:left="0" w:right="0" w:hanging="0"/>
              <w:jc w:val="left"/>
              <w:rPr/>
            </w:pPr>
            <w:r>
              <w:rPr/>
              <w:t> </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654,647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(379,713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(344,670</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3,427,878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3,427,878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579,696</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14. Segment information, continued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Information about the Company's segments follows:</w:t>
      </w:r>
    </w:p>
    <w:tbl>
      <w:tblPr>
        <w:tblW w:w="10205" w:type="dxa"/>
        <w:jc w:val="left"/>
        <w:tblInd w:w="0" w:type="dxa"/>
        <w:tblLayout w:type="fixed"/>
        <w:tblCellMar>
          <w:top w:w="28" w:type="dxa"/>
          <w:left w:w="28" w:type="dxa"/>
          <w:bottom w:w="28" w:type="dxa"/>
          <w:right w:w="28" w:type="dxa"/>
        </w:tblCellMar>
      </w:tblPr>
      <w:tblGrid>
        <w:gridCol w:w="2086"/>
        <w:gridCol w:w="146"/>
        <w:gridCol w:w="211"/>
        <w:gridCol w:w="931"/>
        <w:gridCol w:w="166"/>
        <w:gridCol w:w="146"/>
        <w:gridCol w:w="211"/>
        <w:gridCol w:w="736"/>
        <w:gridCol w:w="166"/>
        <w:gridCol w:w="146"/>
        <w:gridCol w:w="211"/>
        <w:gridCol w:w="781"/>
        <w:gridCol w:w="166"/>
        <w:gridCol w:w="146"/>
        <w:gridCol w:w="211"/>
        <w:gridCol w:w="931"/>
        <w:gridCol w:w="146"/>
        <w:gridCol w:w="146"/>
        <w:gridCol w:w="211"/>
        <w:gridCol w:w="736"/>
        <w:gridCol w:w="166"/>
        <w:gridCol w:w="146"/>
        <w:gridCol w:w="211"/>
        <w:gridCol w:w="841"/>
        <w:gridCol w:w="21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6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0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4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Revenues(a)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w:t>
              <w:br/>
              <w:t>segment</w:t>
              <w:b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Income</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Revenues(a)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w:t>
              <w:br/>
              <w:t>segment</w:t>
              <w:b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Income</w:t>
              <w:br/>
              <w:t>(Loss)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62"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116,163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67,583</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460,625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161,810</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217,254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117,945</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Discretionary Portfolio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(23,937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44,411</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Residential</w:t>
            </w:r>
            <w:r>
              <w:rPr>
                <w:rFonts w:ascii="Times New Roman" w:hAnsi="Times New Roman"/>
                <w:sz w:val="20"/>
              </w:rPr>
              <w:t xml:space="preserve"> </w:t>
            </w:r>
            <w:r>
              <w:rPr>
                <w:rFonts w:ascii="Times New Roman;serif" w:hAnsi="Times New Roman;serif"/>
                <w:b w:val="false"/>
                <w:sz w:val="20"/>
              </w:rPr>
              <w:t>Mortgage</w:t>
            </w:r>
            <w:r>
              <w:rPr>
                <w:rFonts w:ascii="Times New Roman" w:hAnsi="Times New Roman"/>
                <w:sz w:val="20"/>
              </w:rPr>
              <w:t xml:space="preserve"> </w:t>
            </w:r>
            <w:r>
              <w:rPr>
                <w:rFonts w:ascii="Times New Roman;serif" w:hAnsi="Times New Roman;serif"/>
                <w:b w:val="false"/>
                <w:sz w:val="20"/>
              </w:rPr>
              <w:t>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7,929</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864,566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336,633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518,617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104,569</w:t>
            </w:r>
          </w:p>
        </w:tc>
        <w:tc>
          <w:tcPr>
            <w:tcW w:w="211"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704,055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255,983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377,485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(286,725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2,602,300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867,034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1,982,817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217,522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36"/>
        <w:gridCol w:w="146"/>
        <w:gridCol w:w="211"/>
        <w:gridCol w:w="931"/>
        <w:gridCol w:w="166"/>
        <w:gridCol w:w="146"/>
        <w:gridCol w:w="211"/>
        <w:gridCol w:w="736"/>
        <w:gridCol w:w="166"/>
        <w:gridCol w:w="146"/>
        <w:gridCol w:w="211"/>
        <w:gridCol w:w="931"/>
        <w:gridCol w:w="166"/>
        <w:gridCol w:w="146"/>
        <w:gridCol w:w="211"/>
        <w:gridCol w:w="931"/>
        <w:gridCol w:w="146"/>
        <w:gridCol w:w="146"/>
        <w:gridCol w:w="211"/>
        <w:gridCol w:w="736"/>
        <w:gridCol w:w="166"/>
        <w:gridCol w:w="146"/>
        <w:gridCol w:w="211"/>
        <w:gridCol w:w="841"/>
        <w:gridCol w:w="21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1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85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74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Revenues(a)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w:t>
              <w:br/>
              <w:t>segment</w:t>
              <w:b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Income</w:t>
              <w:b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 Revenues(a)</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w:t>
              <w:br/>
              <w:t>segment</w:t>
              <w:br/>
              <w:t>Revenues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Net </w:t>
              <w:br/>
              <w:t>Income</w:t>
              <w:br/>
              <w:t>(Loss)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12" w:type="dxa"/>
            <w:gridSpan w:val="2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550,732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229,414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344,976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107,115</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967,645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385,541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290,270</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458,769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229,191</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Discretionary Portfolio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(51,908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79,096</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Residential Mortgage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180,210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35,043</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1,696,408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653,227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873,765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183,651</w:t>
            </w:r>
          </w:p>
        </w:tc>
        <w:tc>
          <w:tcPr>
            <w:tcW w:w="211"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1,227,062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279,725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632,422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(344,670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5,007,697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1,568,658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3,427,878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579,696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6596" w:type="dxa"/>
        <w:jc w:val="left"/>
        <w:tblInd w:w="0" w:type="dxa"/>
        <w:tblLayout w:type="fixed"/>
        <w:tblCellMar>
          <w:top w:w="28" w:type="dxa"/>
          <w:left w:w="28" w:type="dxa"/>
          <w:bottom w:w="28" w:type="dxa"/>
          <w:right w:w="28" w:type="dxa"/>
        </w:tblCellMar>
      </w:tblPr>
      <w:tblGrid>
        <w:gridCol w:w="2641"/>
        <w:gridCol w:w="146"/>
        <w:gridCol w:w="211"/>
        <w:gridCol w:w="781"/>
        <w:gridCol w:w="146"/>
        <w:gridCol w:w="146"/>
        <w:gridCol w:w="211"/>
        <w:gridCol w:w="781"/>
        <w:gridCol w:w="146"/>
        <w:gridCol w:w="146"/>
        <w:gridCol w:w="223"/>
        <w:gridCol w:w="827"/>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1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Total Assets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7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Year Ended</w:t>
              <w:br/>
              <w:t>December</w:t>
            </w:r>
            <w:r>
              <w:rPr>
                <w:rFonts w:ascii="Times New Roman" w:hAnsi="Times New Roman"/>
                <w:sz w:val="16"/>
              </w:rPr>
              <w:t xml:space="preserve"> </w:t>
            </w:r>
            <w:r>
              <w:rPr>
                <w:rFonts w:ascii="Times New Roman;serif" w:hAnsi="Times New Roman;serif"/>
                <w:b/>
                <w:sz w:val="16"/>
              </w:rPr>
              <w:t>31</w:t>
            </w:r>
          </w:p>
        </w:tc>
        <w:tc>
          <w:tcPr>
            <w:tcW w:w="191" w:type="dxa"/>
            <w:tcBorders/>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361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7,597</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Banking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40,930</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Real Estate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30,599</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Discretionary Portfolio</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42,657</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Residential Mortgage Banking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3,986</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Retail Banking (b)</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20,312</w:t>
            </w:r>
          </w:p>
        </w:tc>
        <w:tc>
          <w:tcPr>
            <w:tcW w:w="19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(b)</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47,374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44,171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203,492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180,414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190,252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spacing w:before="0" w:after="0"/>
        <w:jc w:val="both"/>
        <w:rPr>
          <w:rFonts w:ascii="Times New Roman;serif" w:hAnsi="Times New Roman;serif"/>
          <w:sz w:val="23"/>
        </w:rPr>
      </w:pPr>
      <w:r>
        <w:rPr>
          <w:rFonts w:ascii="Times New Roman;serif" w:hAnsi="Times New Roman;serif"/>
          <w:b w:val="false"/>
          <w:i/>
          <w:sz w:val="16"/>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$13,886,000</w:t>
      </w:r>
      <w:r>
        <w:rPr>
          <w:rFonts w:ascii="Times New Roman;serif" w:hAnsi="Times New Roman;serif"/>
          <w:sz w:val="23"/>
        </w:rPr>
        <w:t xml:space="preserve"> </w:t>
      </w:r>
      <w:r>
        <w:rPr>
          <w:rFonts w:ascii="Times New Roman;serif" w:hAnsi="Times New Roman;serif"/>
          <w:b w:val="false"/>
          <w:i/>
          <w:sz w:val="16"/>
        </w:rPr>
        <w:t>and $10,726,000</w:t>
      </w:r>
      <w:r>
        <w:rPr>
          <w:rFonts w:ascii="Times New Roman;serif" w:hAnsi="Times New Roman;serif"/>
          <w:sz w:val="23"/>
        </w:rPr>
        <w:t xml:space="preserve"> </w:t>
      </w:r>
      <w:r>
        <w:rPr>
          <w:rFonts w:ascii="Times New Roman;serif" w:hAnsi="Times New Roman;serif"/>
          <w:b w:val="false"/>
          <w:i/>
          <w:sz w:val="16"/>
        </w:rPr>
        <w:t>for the three-month periods ended June 30, 2023 and 2022, respectively, and $27,348,000</w:t>
      </w:r>
      <w:r>
        <w:rPr>
          <w:rFonts w:ascii="Times New Roman;serif" w:hAnsi="Times New Roman;serif"/>
          <w:sz w:val="23"/>
        </w:rPr>
        <w:t xml:space="preserve"> </w:t>
      </w:r>
      <w:r>
        <w:rPr>
          <w:rFonts w:ascii="Times New Roman;serif" w:hAnsi="Times New Roman;serif"/>
          <w:b w:val="false"/>
          <w:i/>
          <w:sz w:val="16"/>
        </w:rPr>
        <w:t>and $13,960,000</w:t>
      </w:r>
      <w:r>
        <w:rPr>
          <w:rFonts w:ascii="Times New Roman;serif" w:hAnsi="Times New Roman;serif"/>
          <w:sz w:val="23"/>
        </w:rPr>
        <w:t xml:space="preserve"> </w:t>
      </w:r>
      <w:r>
        <w:rPr>
          <w:rFonts w:ascii="Times New Roman;serif" w:hAnsi="Times New Roman;serif"/>
          <w:b w:val="false"/>
          <w:i/>
          <w:sz w:val="16"/>
        </w:rPr>
        <w:t>for the six-month periods ended June 30, 2023 and 2022, and is eliminated in "All Other" total revenues. Intersegment revenues are included in total revenues of the reportable segments. The elimination of intersegment revenues is included in the determination of "All Other" total revenues.</w:t>
      </w:r>
    </w:p>
    <w:p>
      <w:pPr>
        <w:pStyle w:val="TextBody"/>
        <w:bidi w:val="0"/>
        <w:spacing w:before="0" w:after="0"/>
        <w:jc w:val="both"/>
        <w:rPr>
          <w:rFonts w:ascii="Times New Roman" w:hAnsi="Times New Roman"/>
          <w:b w:val="false"/>
          <w:i/>
          <w:sz w:val="16"/>
        </w:rPr>
      </w:pPr>
      <w:r>
        <w:rPr>
          <w:rFonts w:ascii="Times New Roman" w:hAnsi="Times New Roman"/>
          <w:b w:val="false"/>
          <w:i/>
          <w:sz w:val="16"/>
        </w:rPr>
        <w:t>(b)</w:t>
      </w:r>
    </w:p>
    <w:p>
      <w:pPr>
        <w:pStyle w:val="TextBody"/>
        <w:bidi w:val="0"/>
        <w:jc w:val="both"/>
        <w:rPr>
          <w:rFonts w:ascii="Times New Roman;serif" w:hAnsi="Times New Roman;serif"/>
          <w:sz w:val="23"/>
        </w:rPr>
      </w:pPr>
      <w:r>
        <w:rPr>
          <w:rFonts w:ascii="Times New Roman;serif" w:hAnsi="Times New Roman;serif"/>
          <w:b w:val="false"/>
          <w:i/>
          <w:sz w:val="16"/>
        </w:rPr>
        <w:t>For the six months ended June 30, 2022, average total assets totaling (i) approximately $1.25</w:t>
      </w:r>
      <w:r>
        <w:rPr>
          <w:rFonts w:ascii="Times New Roman;serif" w:hAnsi="Times New Roman;serif"/>
          <w:sz w:val="23"/>
        </w:rPr>
        <w:t xml:space="preserve"> </w:t>
      </w:r>
      <w:r>
        <w:rPr>
          <w:rFonts w:ascii="Times New Roman;serif" w:hAnsi="Times New Roman;serif"/>
          <w:b w:val="false"/>
          <w:i/>
          <w:sz w:val="16"/>
        </w:rPr>
        <w:t>billion were reclassified to the Commercial Real Estate segment from the Commercial Banking segment as a result of the realignment of certain lending relationships within the hospitality sector and (ii) approximately $4.72</w:t>
      </w:r>
      <w:r>
        <w:rPr>
          <w:rFonts w:ascii="Times New Roman;serif" w:hAnsi="Times New Roman;serif"/>
          <w:sz w:val="23"/>
        </w:rPr>
        <w:t xml:space="preserve"> </w:t>
      </w:r>
      <w:r>
        <w:rPr>
          <w:rFonts w:ascii="Times New Roman;serif" w:hAnsi="Times New Roman;serif"/>
          <w:b w:val="false"/>
          <w:i/>
          <w:sz w:val="16"/>
        </w:rPr>
        <w:t>billion and $591</w:t>
      </w:r>
      <w:r>
        <w:rPr>
          <w:rFonts w:ascii="Times New Roman;serif" w:hAnsi="Times New Roman;serif"/>
          <w:sz w:val="23"/>
        </w:rPr>
        <w:t xml:space="preserve"> </w:t>
      </w:r>
      <w:r>
        <w:rPr>
          <w:rFonts w:ascii="Times New Roman;serif" w:hAnsi="Times New Roman;serif"/>
          <w:b w:val="false"/>
          <w:i/>
          <w:sz w:val="16"/>
        </w:rPr>
        <w:t>million were reclassified to the Commercial Banking segment from the Retail Banking and All Other segments, respectively, as a result of the realignment of certain acquired operations associated with People's United.</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15. Relationship with Bayview Lending Group LLC and Bayview Financial Holdings, L.P.</w:t>
      </w:r>
    </w:p>
    <w:p>
      <w:pPr>
        <w:pStyle w:val="TextBody"/>
        <w:bidi w:val="0"/>
        <w:spacing w:before="120" w:after="0"/>
        <w:jc w:val="both"/>
        <w:rPr>
          <w:rFonts w:ascii="Times New Roman" w:hAnsi="Times New Roman"/>
          <w:sz w:val="20"/>
        </w:rPr>
      </w:pPr>
      <w:r>
        <w:rPr>
          <w:rFonts w:ascii="Times New Roman;serif" w:hAnsi="Times New Roman;serif"/>
          <w:b w:val="false"/>
          <w:sz w:val="23"/>
        </w:rPr>
        <w:t>M&amp;T holds a 20% minority interest in Bayview Lending Group LLC ("BLG"), a privately-held commercial mortgage company. That investment had no</w:t>
      </w:r>
      <w:r>
        <w:rPr>
          <w:rFonts w:ascii="Times New Roman" w:hAnsi="Times New Roman"/>
          <w:sz w:val="20"/>
        </w:rPr>
        <w:t xml:space="preserve"> </w:t>
      </w:r>
      <w:r>
        <w:rPr>
          <w:rFonts w:ascii="Times New Roman;serif" w:hAnsi="Times New Roman;serif"/>
          <w:b w:val="false"/>
          <w:sz w:val="23"/>
        </w:rPr>
        <w:t>remaining carrying value at June 30, 2023</w:t>
      </w:r>
      <w:r>
        <w:rPr>
          <w:rFonts w:ascii="Times New Roman" w:hAnsi="Times New Roman"/>
          <w:sz w:val="20"/>
        </w:rPr>
        <w:t xml:space="preserve"> </w:t>
      </w:r>
      <w:r>
        <w:rPr>
          <w:rFonts w:ascii="Times New Roman;serif" w:hAnsi="Times New Roman;serif"/>
          <w:b w:val="false"/>
          <w:sz w:val="23"/>
        </w:rPr>
        <w:t>as a result of cumulative losses recognized and cash distributions received in prior years. Cash distributions now received from BLG are recognized as income by M&amp;T and included in other revenues from operations. That income totaled $20</w:t>
      </w:r>
      <w:r>
        <w:rPr>
          <w:rFonts w:ascii="Times New Roman" w:hAnsi="Times New Roman"/>
          <w:sz w:val="20"/>
        </w:rPr>
        <w:t xml:space="preserve"> </w:t>
      </w:r>
      <w:r>
        <w:rPr>
          <w:rFonts w:ascii="Times New Roman;serif" w:hAnsi="Times New Roman;serif"/>
          <w:b w:val="false"/>
          <w:sz w:val="23"/>
        </w:rPr>
        <w:t>million and $30</w:t>
      </w:r>
      <w:r>
        <w:rPr>
          <w:rFonts w:ascii="Times New Roman" w:hAnsi="Times New Roman"/>
          <w:sz w:val="20"/>
        </w:rPr>
        <w:t xml:space="preserve"> </w:t>
      </w:r>
      <w:r>
        <w:rPr>
          <w:rFonts w:ascii="Times New Roman;serif" w:hAnsi="Times New Roman;serif"/>
          <w:b w:val="false"/>
          <w:sz w:val="23"/>
        </w:rPr>
        <w:t>million for the six-month periods ended June 30, 2023 and 2022, respectively. There were no</w:t>
      </w:r>
      <w:r>
        <w:rPr>
          <w:rFonts w:ascii="Times New Roman" w:hAnsi="Times New Roman"/>
          <w:sz w:val="20"/>
        </w:rPr>
        <w:t xml:space="preserve"> </w:t>
      </w:r>
      <w:r>
        <w:rPr>
          <w:rFonts w:ascii="Times New Roman;serif" w:hAnsi="Times New Roman;serif"/>
          <w:b w:val="false"/>
          <w:sz w:val="23"/>
        </w:rPr>
        <w:t>cash distributions during the three-month periods ended June 30, 2023 and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Bayview Financial Holdings, L.P. (together with its affiliates, "Bayview Financial"), a privately-held specialty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$1.3</w:t>
      </w:r>
      <w:r>
        <w:rPr>
          <w:rFonts w:ascii="Times New Roman" w:hAnsi="Times New Roman"/>
          <w:sz w:val="20"/>
        </w:rPr>
        <w:t xml:space="preserve"> </w:t>
      </w:r>
      <w:r>
        <w:rPr>
          <w:rFonts w:ascii="Times New Roman;serif" w:hAnsi="Times New Roman;serif"/>
          <w:b w:val="false"/>
          <w:sz w:val="23"/>
        </w:rPr>
        <w:t>billion and $1.4</w:t>
      </w:r>
      <w:r>
        <w:rPr>
          <w:rFonts w:ascii="Times New Roman" w:hAnsi="Times New Roman"/>
          <w:sz w:val="20"/>
        </w:rPr>
        <w:t xml:space="preserve"> </w:t>
      </w:r>
      <w:r>
        <w:rPr>
          <w:rFonts w:ascii="Times New Roman;serif" w:hAnsi="Times New Roman;serif"/>
          <w:b w:val="false"/>
          <w:sz w:val="23"/>
        </w:rPr>
        <w:t>billion at June 30, 2023 and December 31, 2022, respectively. Revenues from those servicing rights were $2</w:t>
      </w:r>
      <w:r>
        <w:rPr>
          <w:rFonts w:ascii="Times New Roman" w:hAnsi="Times New Roman"/>
          <w:sz w:val="20"/>
        </w:rPr>
        <w:t xml:space="preserve"> </w:t>
      </w:r>
      <w:r>
        <w:rPr>
          <w:rFonts w:ascii="Times New Roman;serif" w:hAnsi="Times New Roman;serif"/>
          <w:b w:val="false"/>
          <w:sz w:val="23"/>
        </w:rPr>
        <w:t>million in each of the three-month periods ended June 30, 2023 and 2022, and $3</w:t>
      </w:r>
      <w:r>
        <w:rPr>
          <w:rFonts w:ascii="Times New Roman" w:hAnsi="Times New Roman"/>
          <w:sz w:val="20"/>
        </w:rPr>
        <w:t xml:space="preserve"> </w:t>
      </w:r>
      <w:r>
        <w:rPr>
          <w:rFonts w:ascii="Times New Roman;serif" w:hAnsi="Times New Roman;serif"/>
          <w:b w:val="false"/>
          <w:sz w:val="23"/>
        </w:rPr>
        <w:t>million and $4</w:t>
      </w:r>
      <w:r>
        <w:rPr>
          <w:rFonts w:ascii="Times New Roman" w:hAnsi="Times New Roman"/>
          <w:sz w:val="20"/>
        </w:rPr>
        <w:t xml:space="preserve"> </w:t>
      </w:r>
      <w:r>
        <w:rPr>
          <w:rFonts w:ascii="Times New Roman;serif" w:hAnsi="Times New Roman;serif"/>
          <w:b w:val="false"/>
          <w:sz w:val="23"/>
        </w:rPr>
        <w:t>million for the six-month periods ended June 30, 2023 and 2022, respectively. The Company sub-services residential mortgage loans for Bayview Financial having outstanding principal balances of $112.8</w:t>
      </w:r>
      <w:r>
        <w:rPr>
          <w:rFonts w:ascii="Times New Roman" w:hAnsi="Times New Roman"/>
          <w:sz w:val="20"/>
        </w:rPr>
        <w:t xml:space="preserve"> </w:t>
      </w:r>
      <w:r>
        <w:rPr>
          <w:rFonts w:ascii="Times New Roman;serif" w:hAnsi="Times New Roman;serif"/>
          <w:b w:val="false"/>
          <w:sz w:val="23"/>
        </w:rPr>
        <w:t>billion and $96.0</w:t>
      </w:r>
      <w:r>
        <w:rPr>
          <w:rFonts w:ascii="Times New Roman" w:hAnsi="Times New Roman"/>
          <w:sz w:val="20"/>
        </w:rPr>
        <w:t xml:space="preserve"> </w:t>
      </w:r>
      <w:r>
        <w:rPr>
          <w:rFonts w:ascii="Times New Roman;serif" w:hAnsi="Times New Roman;serif"/>
          <w:b w:val="false"/>
          <w:sz w:val="23"/>
        </w:rPr>
        <w:t>billion at June 30, 2023 and December 31, 2022, respectively. Revenues earned for sub-servicing loans for Bayview Financial were $32</w:t>
      </w:r>
      <w:r>
        <w:rPr>
          <w:rFonts w:ascii="Times New Roman" w:hAnsi="Times New Roman"/>
          <w:sz w:val="20"/>
        </w:rPr>
        <w:t xml:space="preserve"> </w:t>
      </w:r>
      <w:r>
        <w:rPr>
          <w:rFonts w:ascii="Times New Roman;serif" w:hAnsi="Times New Roman;serif"/>
          <w:b w:val="false"/>
          <w:sz w:val="23"/>
        </w:rPr>
        <w:t>million and $44</w:t>
      </w:r>
      <w:r>
        <w:rPr>
          <w:rFonts w:ascii="Times New Roman" w:hAnsi="Times New Roman"/>
          <w:sz w:val="20"/>
        </w:rPr>
        <w:t xml:space="preserve"> </w:t>
      </w:r>
      <w:r>
        <w:rPr>
          <w:rFonts w:ascii="Times New Roman;serif" w:hAnsi="Times New Roman;serif"/>
          <w:b w:val="false"/>
          <w:sz w:val="23"/>
        </w:rPr>
        <w:t>million for the three-month periods ended June 30, 2023 and 2022, respectively, and $64</w:t>
      </w:r>
      <w:r>
        <w:rPr>
          <w:rFonts w:ascii="Times New Roman" w:hAnsi="Times New Roman"/>
          <w:sz w:val="20"/>
        </w:rPr>
        <w:t xml:space="preserve"> </w:t>
      </w:r>
      <w:r>
        <w:rPr>
          <w:rFonts w:ascii="Times New Roman;serif" w:hAnsi="Times New Roman;serif"/>
          <w:b w:val="false"/>
          <w:sz w:val="23"/>
        </w:rPr>
        <w:t>million and $86</w:t>
      </w:r>
      <w:r>
        <w:rPr>
          <w:rFonts w:ascii="Times New Roman" w:hAnsi="Times New Roman"/>
          <w:sz w:val="20"/>
        </w:rPr>
        <w:t xml:space="preserve"> </w:t>
      </w:r>
      <w:r>
        <w:rPr>
          <w:rFonts w:ascii="Times New Roman;serif" w:hAnsi="Times New Roman;serif"/>
          <w:b w:val="false"/>
          <w:sz w:val="23"/>
        </w:rPr>
        <w:t>million in the six-month periods ended June 30, 2023 and 2022, respectively. In addition, the Company held $47</w:t>
      </w:r>
      <w:r>
        <w:rPr>
          <w:rFonts w:ascii="Times New Roman" w:hAnsi="Times New Roman"/>
          <w:sz w:val="20"/>
        </w:rPr>
        <w:t xml:space="preserve"> </w:t>
      </w:r>
      <w:r>
        <w:rPr>
          <w:rFonts w:ascii="Times New Roman;serif" w:hAnsi="Times New Roman;serif"/>
          <w:b w:val="false"/>
          <w:sz w:val="23"/>
        </w:rPr>
        <w:t>million and $50</w:t>
      </w:r>
      <w:r>
        <w:rPr>
          <w:rFonts w:ascii="Times New Roman" w:hAnsi="Times New Roman"/>
          <w:sz w:val="20"/>
        </w:rPr>
        <w:t xml:space="preserve"> </w:t>
      </w:r>
      <w:r>
        <w:rPr>
          <w:rFonts w:ascii="Times New Roman;serif" w:hAnsi="Times New Roman;serif"/>
          <w:b w:val="false"/>
          <w:sz w:val="23"/>
        </w:rPr>
        <w:t>million of mortgage-backed securities in its held-to-maturity portfolio at June 30, 2023 and December 31, 2022, respectively, that were securitized by Bayview Financial. At June 30, 2023, the Company held $481</w:t>
      </w:r>
      <w:r>
        <w:rPr>
          <w:rFonts w:ascii="Times New Roman" w:hAnsi="Times New Roman"/>
          <w:sz w:val="20"/>
        </w:rPr>
        <w:t xml:space="preserve"> </w:t>
      </w:r>
      <w:r>
        <w:rPr>
          <w:rFonts w:ascii="Times New Roman;serif" w:hAnsi="Times New Roman;serif"/>
          <w:b w:val="false"/>
          <w:sz w:val="23"/>
        </w:rPr>
        <w:t>million of Bayview Financial's $2.4</w:t>
      </w:r>
      <w:r>
        <w:rPr>
          <w:rFonts w:ascii="Times New Roman" w:hAnsi="Times New Roman"/>
          <w:sz w:val="20"/>
        </w:rPr>
        <w:t xml:space="preserve"> </w:t>
      </w:r>
      <w:r>
        <w:rPr>
          <w:rFonts w:ascii="Times New Roman;serif" w:hAnsi="Times New Roman;serif"/>
          <w:b w:val="false"/>
          <w:sz w:val="23"/>
        </w:rPr>
        <w:t>billion syndicated loan facility.</w:t>
      </w:r>
    </w:p>
    <w:p>
      <w:pPr>
        <w:pStyle w:val="TextBody"/>
        <w:bidi w:val="0"/>
        <w:spacing w:before="240" w:after="0"/>
        <w:jc w:val="center"/>
        <w:rPr>
          <w:rFonts w:ascii="Times New Roman" w:hAnsi="Times New Roman"/>
          <w:sz w:val="20"/>
        </w:rPr>
      </w:pPr>
      <w:r>
        <w:rPr>
          <w:rFonts w:ascii="Times New Roman;serif" w:hAnsi="Times New Roman;serif"/>
          <w:b w:val="false"/>
          <w:sz w:val="20"/>
        </w:rPr>
        <w:t>- 47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16. Recent accounting developments</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The following table provides a description of accounting standards that were adopted by the Company in 2023 as well as standards that are not effective that could have an impact to M&amp;T’s consolidated financial statements upon adoption.</w:t>
      </w:r>
    </w:p>
    <w:tbl>
      <w:tblPr>
        <w:tblW w:w="10205" w:type="dxa"/>
        <w:jc w:val="left"/>
        <w:tblInd w:w="0" w:type="dxa"/>
        <w:tblLayout w:type="fixed"/>
        <w:tblCellMar>
          <w:top w:w="28" w:type="dxa"/>
          <w:left w:w="28" w:type="dxa"/>
          <w:bottom w:w="28" w:type="dxa"/>
          <w:right w:w="28" w:type="dxa"/>
        </w:tblCellMar>
      </w:tblPr>
      <w:tblGrid>
        <w:gridCol w:w="161"/>
        <w:gridCol w:w="1559"/>
        <w:gridCol w:w="146"/>
        <w:gridCol w:w="146"/>
        <w:gridCol w:w="4394"/>
        <w:gridCol w:w="146"/>
        <w:gridCol w:w="146"/>
        <w:gridCol w:w="795"/>
        <w:gridCol w:w="146"/>
        <w:gridCol w:w="146"/>
        <w:gridCol w:w="2227"/>
        <w:gridCol w:w="193"/>
      </w:tblGrid>
      <w:tr>
        <w:trPr/>
        <w:tc>
          <w:tcPr>
            <w:tcW w:w="16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ind w:left="0" w:right="0" w:hanging="0"/>
              <w:jc w:val="left"/>
              <w:rPr/>
            </w:pPr>
            <w:r>
              <w:rPr/>
              <w:t> </w:t>
            </w:r>
          </w:p>
        </w:tc>
        <w:tc>
          <w:tcPr>
            <w:tcW w:w="1559"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Standard</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4394"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Required date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adoption</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2227"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Effect on consolidated financial statements</w:t>
            </w:r>
          </w:p>
        </w:tc>
        <w:tc>
          <w:tcPr>
            <w:tcW w:w="19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9851"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Standards Adopted in 2023</w:t>
            </w:r>
          </w:p>
        </w:tc>
        <w:tc>
          <w:tcPr>
            <w:tcW w:w="19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1559"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Accounting for Contract Assets and Contract Liabilities from Contracts with Customers in a Business Combination</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4"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amendments require that an entity (acquirer) recognize and measure contract assets and contract liabilities acquired in a business combination in accordance with specified revenue recognition guidance. At the acquisition date, an acquirer should account for the related revenue contracts as if it had originated the contracts and may assess how the acquiree applied the revenue guidance to determine what to record for such contracts. The guidance is generally expected to result in an acquirer recognizing and measuring the acquired contract assets and contract liabilities consistent with how they were recognized and measured in the acquiree’s financial statements.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January 1, 2023</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7"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Company adopted the amended guidance effective January 1, 2023 using a prospective transition method and the guidance will be applied, as applicable, to future acquisitions. The Company does not expect the guidance will have a material impact on its consolidated financial statements.</w:t>
            </w:r>
          </w:p>
        </w:tc>
        <w:tc>
          <w:tcPr>
            <w:tcW w:w="19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1559"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Fair Value Hedging of Multiple Hedge Layers under Portfolio Layer Method</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4"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amendments allow multiple hedged layers to be designated for a single closed portfolio of financial assets or one or more beneficial interests secured by a portfolio of financial instruments. If multiple hedged layers are designated, the amendments require an analysis to be performed to support the expectation that the aggregate amount of the hedged layers is anticipated to be outstanding for the designated hedge periods. Only closed portfolios may be hedged under the portfolio layer method (that is, no assets can be added to the closed portfolio once established), however designating new hedging relationships and dedesignating existing hedging relationships associated with the closed portfolio any time after the closed portfolio is established is permitted.</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January 1, 2023</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7"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 w:hAnsi="Times New Roman"/>
                <w:sz w:val="16"/>
              </w:rPr>
            </w:pPr>
            <w:r>
              <w:rPr>
                <w:rFonts w:ascii="Times New Roman;serif" w:hAnsi="Times New Roman;serif"/>
                <w:b w:val="false"/>
                <w:sz w:val="16"/>
              </w:rPr>
              <w:t>At January 1, 2023 the Company did not have any designated hedging relationships under the portfolio layer method and, therefore, the adoption had no impact on its consolidated financial statements.</w:t>
            </w:r>
            <w:r>
              <w:rPr>
                <w:rFonts w:ascii="Times New Roman" w:hAnsi="Times New Roman"/>
                <w:sz w:val="16"/>
              </w:rPr>
              <w:t xml:space="preserve"> </w:t>
            </w:r>
          </w:p>
        </w:tc>
        <w:tc>
          <w:tcPr>
            <w:tcW w:w="19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1559"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Accounting for Troubled Debt Restructurings (TDRs) and Expansion of Vintage Disclosures Applicable to Credit Losses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94"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amendments (1) eliminate the accounting guidance for TDRs and require enhanced disclosure for certain loan refinancings by creditors when a borrower is experiencing financial difficulty and (2) require disclosure of current-period gross write-offs by year of origination for financing receivables and net investments in leases within credit loss disclosures.</w:t>
            </w:r>
          </w:p>
          <w:p>
            <w:pPr>
              <w:pStyle w:val="TableContents"/>
              <w:bidi w:val="0"/>
              <w:spacing w:before="120" w:after="0"/>
              <w:ind w:left="0" w:right="0" w:hanging="0"/>
              <w:jc w:val="left"/>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January 1, 2023</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27"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Company adopted the amended guidance effective January 1, 2023 using a prospective transition method and will no longer be required to identify TDRs and apply specialized accounting to such loans. The Company has complied with the modified disclosure requirements in note 4.</w:t>
            </w:r>
          </w:p>
        </w:tc>
        <w:tc>
          <w:tcPr>
            <w:tcW w:w="193"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NOTES TO FINANCIAL STATEMENTS, CONTINUED</w:t>
      </w:r>
    </w:p>
    <w:p>
      <w:pPr>
        <w:pStyle w:val="TextBody"/>
        <w:bidi w:val="0"/>
        <w:spacing w:before="0" w:after="0"/>
        <w:jc w:val="left"/>
        <w:rPr/>
      </w:pPr>
      <w:r>
        <w:rPr/>
        <w:t> </w:t>
      </w:r>
    </w:p>
    <w:p>
      <w:pPr>
        <w:pStyle w:val="TextBody"/>
        <w:bidi w:val="0"/>
        <w:spacing w:before="120" w:after="120"/>
        <w:jc w:val="both"/>
        <w:rPr>
          <w:rFonts w:ascii="Times New Roman;serif" w:hAnsi="Times New Roman;serif"/>
          <w:b/>
          <w:sz w:val="23"/>
        </w:rPr>
      </w:pPr>
      <w:r>
        <w:rPr>
          <w:rFonts w:ascii="Times New Roman;serif" w:hAnsi="Times New Roman;serif"/>
          <w:b/>
          <w:sz w:val="23"/>
        </w:rPr>
        <w:t>16. Recent accounting developments, continued</w:t>
      </w:r>
    </w:p>
    <w:tbl>
      <w:tblPr>
        <w:tblW w:w="10205" w:type="dxa"/>
        <w:jc w:val="left"/>
        <w:tblInd w:w="0" w:type="dxa"/>
        <w:tblLayout w:type="fixed"/>
        <w:tblCellMar>
          <w:top w:w="28" w:type="dxa"/>
          <w:left w:w="28" w:type="dxa"/>
          <w:bottom w:w="28" w:type="dxa"/>
          <w:right w:w="28" w:type="dxa"/>
        </w:tblCellMar>
      </w:tblPr>
      <w:tblGrid>
        <w:gridCol w:w="161"/>
        <w:gridCol w:w="1176"/>
        <w:gridCol w:w="146"/>
        <w:gridCol w:w="146"/>
        <w:gridCol w:w="4546"/>
        <w:gridCol w:w="146"/>
        <w:gridCol w:w="146"/>
        <w:gridCol w:w="791"/>
        <w:gridCol w:w="146"/>
        <w:gridCol w:w="146"/>
        <w:gridCol w:w="2461"/>
        <w:gridCol w:w="194"/>
      </w:tblGrid>
      <w:tr>
        <w:trPr/>
        <w:tc>
          <w:tcPr>
            <w:tcW w:w="16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ind w:left="0" w:right="0" w:hanging="0"/>
              <w:jc w:val="left"/>
              <w:rPr/>
            </w:pPr>
            <w:r>
              <w:rPr/>
              <w:t> </w:t>
            </w:r>
          </w:p>
        </w:tc>
        <w:tc>
          <w:tcPr>
            <w:tcW w:w="1176"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Standard</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4546"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7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Required date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of adoption</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2461" w:type="dxa"/>
            <w:tcBorders>
              <w:top w:val="single" w:sz="4" w:space="0" w:color="000000"/>
              <w:bottom w:val="single" w:sz="4" w:space="0" w:color="000000"/>
            </w:tcBorders>
            <w:tcMar>
              <w:left w:w="0" w:type="dxa"/>
              <w:right w:w="0" w:type="dxa"/>
            </w:tcMar>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Effect on consolidated financial statements</w:t>
            </w:r>
          </w:p>
        </w:tc>
        <w:tc>
          <w:tcPr>
            <w:tcW w:w="194"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98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Standards Not Yet Adopted as of June 30, 2023</w:t>
            </w:r>
          </w:p>
        </w:tc>
        <w:tc>
          <w:tcPr>
            <w:tcW w:w="194"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1176"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Fair Value Measurement of Equity Securities Subject to Contractual Sale Restrictions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46"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 w:hAnsi="Times New Roman"/>
                <w:sz w:val="16"/>
              </w:rPr>
            </w:pPr>
            <w:r>
              <w:rPr>
                <w:rFonts w:ascii="Times New Roman;serif" w:hAnsi="Times New Roman;serif"/>
                <w:b w:val="false"/>
                <w:sz w:val="16"/>
              </w:rPr>
              <w:t>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require the following disclosures for equity securities subject to contractual sale restrictions:</w:t>
            </w:r>
            <w:r>
              <w:rPr>
                <w:rFonts w:ascii="Times New Roman" w:hAnsi="Times New Roman"/>
                <w:sz w:val="16"/>
              </w:rPr>
              <w:t xml:space="preserve"> </w:t>
            </w:r>
          </w:p>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1. The fair value of equity securities subject to contractual sale restrictions reflected in the balance sheet;</w:t>
            </w:r>
            <w:r>
              <w:rPr>
                <w:rFonts w:ascii="Times New Roman" w:hAnsi="Times New Roman"/>
                <w:sz w:val="16"/>
              </w:rPr>
              <w:t xml:space="preserve"> </w:t>
            </w:r>
          </w:p>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 The nature and remaining duration of the restriction(s); and</w:t>
            </w:r>
            <w:r>
              <w:rPr>
                <w:rFonts w:ascii="Times New Roman" w:hAnsi="Times New Roman"/>
                <w:sz w:val="16"/>
              </w:rPr>
              <w:t xml:space="preserve"> </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 The circumstances that could cause a lapse in the restriction(s).</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center"/>
              <w:rPr>
                <w:rFonts w:ascii="Times New Roman;serif" w:hAnsi="Times New Roman;serif"/>
                <w:b w:val="false"/>
                <w:sz w:val="16"/>
              </w:rPr>
            </w:pPr>
            <w:r>
              <w:rPr>
                <w:rFonts w:ascii="Times New Roman;serif" w:hAnsi="Times New Roman;serif"/>
                <w:b w:val="false"/>
                <w:sz w:val="16"/>
              </w:rPr>
              <w:t>January 1, 2024</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Early adoption permitted</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1"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The amendments should be applied prospectively with any adjustments from the adoption of the amendments recognized in earnings and disclosed on the date of adoption.</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Company does not expect the guidance will have a material impact on its consolidated financial statements.</w:t>
            </w:r>
          </w:p>
        </w:tc>
        <w:tc>
          <w:tcPr>
            <w:tcW w:w="194"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r>
        <w:trPr/>
        <w:tc>
          <w:tcPr>
            <w:tcW w:w="161" w:type="dxa"/>
            <w:tcBorders>
              <w:left w:val="single" w:sz="4"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11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Accounting for Investments in Tax Credit Structures Using the Proportional Amortization Method</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The amendments permit an election to account for tax equity investments, regardless of the tax credit program from which the income tax credits are received, using the proportional amortization method if certain conditions are met.</w:t>
            </w:r>
            <w:r>
              <w:rPr>
                <w:rFonts w:ascii="Times New Roman" w:hAnsi="Times New Roman"/>
                <w:sz w:val="16"/>
              </w:rPr>
              <w:t xml:space="preserve"> </w:t>
            </w:r>
          </w:p>
          <w:p>
            <w:pPr>
              <w:pStyle w:val="TableContents"/>
              <w:bidi w:val="0"/>
              <w:spacing w:before="120" w:after="0"/>
              <w:ind w:left="0" w:right="0" w:hanging="0"/>
              <w:jc w:val="left"/>
              <w:rPr>
                <w:rFonts w:ascii="Times New Roman" w:hAnsi="Times New Roman"/>
                <w:sz w:val="16"/>
              </w:rPr>
            </w:pPr>
            <w:r>
              <w:rPr>
                <w:rFonts w:ascii="Times New Roman;serif" w:hAnsi="Times New Roman;serif"/>
                <w:b w:val="false"/>
                <w:sz w:val="16"/>
              </w:rPr>
              <w:t>Under the proportional amortization method, the initial cost of the investment is amortized in proportion to the income tax credits and other income tax benefits received and the net amortization and income tax credits and other income tax benefits are recognized in the income statement as a component of income tax expense (benefit).</w:t>
            </w:r>
            <w:r>
              <w:rPr>
                <w:rFonts w:ascii="Times New Roman" w:hAnsi="Times New Roman"/>
                <w:sz w:val="16"/>
              </w:rPr>
              <w:t xml:space="preserve"> </w:t>
            </w:r>
          </w:p>
          <w:p>
            <w:pPr>
              <w:pStyle w:val="TableContents"/>
              <w:bidi w:val="0"/>
              <w:spacing w:before="120" w:after="0"/>
              <w:ind w:left="0" w:right="0" w:hanging="0"/>
              <w:jc w:val="left"/>
              <w:rPr>
                <w:rFonts w:ascii="Times New Roman" w:hAnsi="Times New Roman"/>
                <w:sz w:val="16"/>
              </w:rPr>
            </w:pPr>
            <w:r>
              <w:rPr>
                <w:rFonts w:ascii="Times New Roman;serif" w:hAnsi="Times New Roman;serif"/>
                <w:b w:val="false"/>
                <w:sz w:val="16"/>
              </w:rPr>
              <w:t>All of the following conditions must be met to qualify for the proportional amortization method:</w:t>
            </w:r>
            <w:r>
              <w:rPr>
                <w:rFonts w:ascii="Times New Roman" w:hAnsi="Times New Roman"/>
                <w:sz w:val="16"/>
              </w:rPr>
              <w:t xml:space="preserve"> </w:t>
            </w:r>
          </w:p>
          <w:p>
            <w:pPr>
              <w:pStyle w:val="TableContents"/>
              <w:bidi w:val="0"/>
              <w:spacing w:before="120" w:after="0"/>
              <w:ind w:left="0" w:right="0" w:hanging="0"/>
              <w:jc w:val="left"/>
              <w:rPr>
                <w:rFonts w:ascii="Times New Roman" w:hAnsi="Times New Roman"/>
                <w:sz w:val="16"/>
              </w:rPr>
            </w:pPr>
            <w:r>
              <w:rPr>
                <w:rFonts w:ascii="Times New Roman;serif" w:hAnsi="Times New Roman;serif"/>
                <w:b w:val="false"/>
                <w:sz w:val="16"/>
              </w:rPr>
              <w:t>1. It is probable that the income tax credits allocable to the tax equity investor will be available.</w:t>
            </w:r>
            <w:r>
              <w:rPr>
                <w:rFonts w:ascii="Times New Roman" w:hAnsi="Times New Roman"/>
                <w:sz w:val="16"/>
              </w:rPr>
              <w:t xml:space="preserve"> </w:t>
            </w:r>
          </w:p>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 The tax equity investor does not have the ability to exercise significant influence over the operating and financial policies of the underlying project.</w:t>
            </w:r>
            <w:r>
              <w:rPr>
                <w:rFonts w:ascii="Times New Roman" w:hAnsi="Times New Roman"/>
                <w:sz w:val="16"/>
              </w:rPr>
              <w:t xml:space="preserve"> </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 Substantially all of the projected benefits are from income tax credits and other income tax benefits. Projected benefits include income tax credits, other income tax benefits, and other non-income-tax-related benefits. The projected benefits are determined on a discounted basis, using a discount rate that is consistent with the cash flow assumptions used by the tax equity investor in making its decision to invest in the project.</w:t>
            </w:r>
          </w:p>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4. The tax equity investor’s projected yield based solely on the cash flows from the income tax credits and other income tax benefits is positive.</w:t>
            </w:r>
            <w:r>
              <w:rPr>
                <w:rFonts w:ascii="Times New Roman" w:hAnsi="Times New Roman"/>
                <w:sz w:val="16"/>
              </w:rPr>
              <w:t xml:space="preserve"> </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5. The tax equity investor is a limited liability investor in the limited liability entity for both legal and tax purposes, and the tax equity investor’s liability is limited to its capital investment.</w:t>
            </w:r>
          </w:p>
          <w:p>
            <w:pPr>
              <w:pStyle w:val="TableContents"/>
              <w:bidi w:val="0"/>
              <w:spacing w:before="120" w:after="0"/>
              <w:ind w:left="0" w:right="0" w:hanging="0"/>
              <w:jc w:val="left"/>
              <w:rPr>
                <w:rFonts w:ascii="Times New Roman;serif" w:hAnsi="Times New Roman;serif"/>
                <w:b w:val="false"/>
                <w:sz w:val="16"/>
              </w:rPr>
            </w:pPr>
            <w:r>
              <w:rPr>
                <w:rFonts w:ascii="Times New Roman;serif" w:hAnsi="Times New Roman;serif"/>
                <w:b w:val="false"/>
                <w:sz w:val="16"/>
              </w:rPr>
              <w:t>To apply the proportional amortization method, an accounting policy election must be made on a tax-credit-program-by-tax-credit-program basis rather than electing to apply the proportional amortization method at the reporting entity level or to individual investments. When applying the proportional amortization method to qualifying tax equity investments the receipt of the investment tax credits must be accounted for using the flow-through method as prescribed by GAAP, even if the deferral method is applied to other investment tax credits received. In addition, all tax equity investments accounted for using the proportional amortization method must use the delayed equity contribution guidance (which requires that a liability be recognized for delayed equity contributions that are unconditional and legally binding or for equity contributions that are contingent upon a future event when that contingent event becomes probable).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120" w:after="0"/>
              <w:ind w:left="0" w:right="0" w:hanging="0"/>
              <w:jc w:val="center"/>
              <w:rPr>
                <w:rFonts w:ascii="Times New Roman;serif" w:hAnsi="Times New Roman;serif"/>
                <w:b w:val="false"/>
                <w:sz w:val="16"/>
              </w:rPr>
            </w:pPr>
            <w:r>
              <w:rPr>
                <w:rFonts w:ascii="Times New Roman;serif" w:hAnsi="Times New Roman;serif"/>
                <w:b w:val="false"/>
                <w:sz w:val="16"/>
              </w:rPr>
              <w:t>January 1, 2024</w:t>
            </w:r>
          </w:p>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Early adoption permitted</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The amendments should be applied on either a modified retrospective or a retrospective basis.</w:t>
            </w:r>
            <w:r>
              <w:rPr>
                <w:rFonts w:ascii="Times New Roman" w:hAnsi="Times New Roman"/>
                <w:sz w:val="16"/>
              </w:rPr>
              <w:t xml:space="preserve"> </w:t>
            </w:r>
          </w:p>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Under a modified retrospective transition, all investments for which income tax credits or other income tax benefits are still expected to be received must be evaluated as of the beginning of the period of adoption. The assessment of whether the investment qualifies for the proportional amortization method is performed as of the date the investment was entered into. A cumulative-effect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period of adoption.</w:t>
            </w:r>
            <w:r>
              <w:rPr>
                <w:rFonts w:ascii="Times New Roman" w:hAnsi="Times New Roman"/>
                <w:sz w:val="16"/>
              </w:rPr>
              <w:t xml:space="preserve"> </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Under a retrospective transition, all investments for which income tax credits or other income tax benefits are still expected to be received must be evaluated as of the beginning of the earliest period presented. The assessment of whether the investment qualifies for the proportional amortization method is performed as of the date the investment was entered into. A cumulative-effect adjustment reflecting the difference between the previous method used to account for the tax equity investment and the application of the proportional amortization method since the investment was entered into is recognized in the opening balance of retained earnings as of the beginning of the earliest period presented.</w:t>
            </w:r>
          </w:p>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The Company is evaluating whether to early adopt the guidance as well as the impact that the guidance will have on its consolidated financial statements.</w:t>
            </w:r>
          </w:p>
        </w:tc>
        <w:tc>
          <w:tcPr>
            <w:tcW w:w="194" w:type="dxa"/>
            <w:tcBorders>
              <w:bottom w:val="single" w:sz="4" w:space="0" w:color="000000"/>
              <w:right w:val="single" w:sz="4" w:space="0" w:color="000000"/>
            </w:tcBorders>
            <w:tcMar>
              <w:top w:w="0" w:type="dxa"/>
              <w:lef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- 49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3"/>
        </w:rPr>
      </w:pPr>
      <w:bookmarkStart w:id="10" w:name="item_2_managements_discussion_analysis_f"/>
      <w:bookmarkEnd w:id="10"/>
      <w:r>
        <w:rPr>
          <w:rFonts w:ascii="Times New Roman;serif" w:hAnsi="Times New Roman;serif"/>
          <w:b w:val="false"/>
          <w:sz w:val="23"/>
        </w:rPr>
        <w:t>Item 2. Management’s Discussion and Analysis of Financial Condition and Results of Operations.</w:t>
      </w:r>
    </w:p>
    <w:p>
      <w:pPr>
        <w:pStyle w:val="TextBody"/>
        <w:bidi w:val="0"/>
        <w:spacing w:before="240" w:after="0"/>
        <w:jc w:val="left"/>
        <w:rPr>
          <w:rFonts w:ascii="Times New Roman;serif" w:hAnsi="Times New Roman;serif"/>
          <w:b/>
          <w:sz w:val="23"/>
        </w:rPr>
      </w:pPr>
      <w:r>
        <w:rPr>
          <w:rFonts w:ascii="Times New Roman;serif" w:hAnsi="Times New Roman;serif"/>
          <w:b/>
          <w:sz w:val="23"/>
        </w:rPr>
        <w:t>Overview</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M&amp;T Bank Corporation (“M&amp;T”) and its consolidated subsidiaries ("the Company") recorded net income of $867 million in the second quarter of 2023, compared with $218 million in the corresponding quarter of 2022 and $702 million in the first quarter of 2023. Diluted and basic earnings per common share were $5.05 and $5.07, respectively, in the recent quarter, $1.08 each in the second quarter of 2022 and $4.01 and $4.03, respectively, in the first quarter of 2023. For the first six months of 2023 net income totaled $1.57 billion or $9.06 and $9.09 of diluted and basic earnings per common share, respectively, compared with $580 million or $3.45 and $3.47 of diluted and basic earnings per common share, respectively, in the similar 2022 period. The after-tax impact of merger-related expenses associated with M&amp;T's acquisition of People's United Financial, Inc. ("People's United") for the three-month and six-month periods ended June 30, 2022 was $346 million ($465 million pre-tax) or $1.94 of diluted earnings per common share and $359 million ($482 million pre-tax) or $2.33 of diluted earnings per common share, respectively. Merger-related expenses incurred in 2022 and associated with the People's United acquisition generally consisted of professional services, temporary help fees and other costs associated with actual or planned conversions of systems and/or integration of operations and the introduction of M&amp;T to its new customers, costs related to terminations of existing contractual arrangements to purchase various services, severance, travel costs, and, in the second quarter of 2022, an initial provision for credit losses on loans not deemed to be purchased credit deteriorated ("PCD") on the April 1, 2022 acquisition date of People's United. The Company did not incur any merger-related expenses in the first or second quarters of 2023.</w:t>
      </w:r>
    </w:p>
    <w:p>
      <w:pPr>
        <w:pStyle w:val="TextBody"/>
        <w:bidi w:val="0"/>
        <w:spacing w:before="120" w:after="0"/>
        <w:jc w:val="both"/>
        <w:rPr>
          <w:rFonts w:ascii="Times New Roman" w:hAnsi="Times New Roman"/>
          <w:sz w:val="20"/>
        </w:rPr>
      </w:pPr>
      <w:r>
        <w:rPr>
          <w:rFonts w:ascii="Times New Roman;serif" w:hAnsi="Times New Roman;serif"/>
          <w:b w:val="false"/>
          <w:sz w:val="23"/>
        </w:rPr>
        <w:t>Net income expressed as an annualized rate of return on average total assets for the Company in 2023's second quarter was 1.70%, compared with 0.42% in the year-earlier quarter and 1.40% in the first quarter of 2023. The annualized rate of return on average common shareholders’ equity was 14.27% in the recent quarter, compared with 3.21% in the second quarter of 2022 and 11.74% in the first quarter of 2023. During the six-month period ended June 30, 2023, the annualized rates of return on average assets and average common shareholders' equity were 1.55% and 13.02%, respectively, compared with .65% and 5.34%, respectively, in the first six months of 2022.</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On April 1, 2022, M&amp;T closed the acquisition of People's United resulting in the issuance of 50,325,004 common shares. Pursuant to the terms of the merger agreement, People’s United shareholders received consideration valued at .118 of an M&amp;T common share in exchange for each common share of People’s United. The purchase price totaled approximately $8.4 billion (with the price based on M&amp;T’s closing price of $164.66 per share as of April 1, 2022). Additionally, People’s United outstanding preferred stock was converted into new shares of Series H Preferred Stock of M&amp;T.</w:t>
      </w:r>
    </w:p>
    <w:p>
      <w:pPr>
        <w:pStyle w:val="TextBody"/>
        <w:bidi w:val="0"/>
        <w:spacing w:before="120" w:after="0"/>
        <w:jc w:val="both"/>
        <w:rPr>
          <w:rFonts w:ascii="Times New Roman" w:hAnsi="Times New Roman"/>
          <w:sz w:val="20"/>
        </w:rPr>
      </w:pPr>
      <w:r>
        <w:rPr>
          <w:rFonts w:ascii="Times New Roman;serif" w:hAnsi="Times New Roman;serif"/>
          <w:b w:val="false"/>
          <w:sz w:val="23"/>
        </w:rPr>
        <w:t>The People's United transaction has been accounted for using the acquisition method of accounting and, accordingly, assets acquired, liabilities assumed, and consideration exchanged were recorded at estimated fair value on the acquisition date. The Company recorded assets acquired of $64.2 billion, including $35.8 billion of loans and leases and $11.6 billion of investment securities, and liabilities assumed totaling $55.5 billion, including $53.0 billion of deposits. The transaction added $8.4 billion to M&amp;T's common shareholders' equity and $261 million to preferred equity. In connection with the acquisition the Company recorded $3.9 billion of goodwill and $261 million of core deposit and other intangible assets. The acquisition of People's United formed a banking franchise with approximately $200 billion in assets serving communities in the Northeast and Mid-Atlantic from Maine to Virginia, including Washington, D.C.</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 April 2023 M&amp;T completed the divestiture of its Collective Investment Trust ("CIT") business to a private equity firm. The sale of this business resulted in a pre-tax gain of $225 million ($157 million after tax, or $0.94 of diluted earnings per common share) in the second quarter of 2023 results of operations. Prior to the sale, the operations of that business did not have a material impact on M&amp;T's net income.</w:t>
      </w:r>
    </w:p>
    <w:p>
      <w:pPr>
        <w:pStyle w:val="TextBody"/>
        <w:bidi w:val="0"/>
        <w:spacing w:before="120" w:after="0"/>
        <w:jc w:val="both"/>
        <w:rPr>
          <w:rFonts w:ascii="Times New Roman" w:hAnsi="Times New Roman"/>
          <w:sz w:val="20"/>
        </w:rPr>
      </w:pPr>
      <w:r>
        <w:rPr>
          <w:rFonts w:ascii="Times New Roman;serif" w:hAnsi="Times New Roman;serif"/>
          <w:b w:val="false"/>
          <w:sz w:val="24"/>
        </w:rPr>
        <w:t>M&amp;T repurchased 3,505,946 shares of its common stock at an average cost per share of $171.14 resulting in a total cost of $600 million in 2022's second quarter and 3,838,157 shares at an average cost per share of</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4"/>
        </w:rPr>
      </w:pPr>
      <w:r>
        <w:rPr>
          <w:rFonts w:ascii="Times New Roman;serif" w:hAnsi="Times New Roman;serif"/>
          <w:b w:val="false"/>
          <w:sz w:val="24"/>
        </w:rPr>
        <w:t>$154.76 resulting in a total cost, including the share repurchase excise tax, of $600 million in the first quarter of 2023. No share repurchases occurred in the second quarter of 2023.</w:t>
      </w:r>
    </w:p>
    <w:p>
      <w:pPr>
        <w:pStyle w:val="TextBody"/>
        <w:bidi w:val="0"/>
        <w:spacing w:before="120" w:after="0"/>
        <w:jc w:val="left"/>
        <w:rPr>
          <w:rFonts w:ascii="Times New Roman;serif" w:hAnsi="Times New Roman;serif"/>
          <w:b/>
          <w:sz w:val="23"/>
        </w:rPr>
      </w:pPr>
      <w:r>
        <w:rPr>
          <w:rFonts w:ascii="Times New Roman;serif" w:hAnsi="Times New Roman;serif"/>
          <w:b/>
          <w:sz w:val="23"/>
        </w:rPr>
        <w:t>Supplemental Reporting of Non-GAAP Results of Operations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(when realized) and expenses (when incurred)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operating income aggregated $879 million in the second quarter of 2023, compared with $578 million in the year-earlier quarter. Diluted net operating earnings per common share in the recent quarter and the corresponding 2022 quarter were $5.12 and $3.10, respectively. Net operating income and diluted net operating earnings per common share were $715 million and $4.09, respectively, in the first quarter of 2023. For the first six months of 2023, net operating income and diluted net operating earnings per common share were $1.59 billion and $9.21, respectively, compared with $954 million and $5.88, respectively, in the first half of 2022.</w:t>
      </w:r>
    </w:p>
    <w:p>
      <w:pPr>
        <w:pStyle w:val="TextBody"/>
        <w:bidi w:val="0"/>
        <w:spacing w:before="120" w:after="0"/>
        <w:jc w:val="both"/>
        <w:rPr>
          <w:rFonts w:ascii="Times New Roman" w:hAnsi="Times New Roman"/>
          <w:sz w:val="20"/>
        </w:rPr>
      </w:pPr>
      <w:r>
        <w:rPr>
          <w:rFonts w:ascii="Times New Roman;serif" w:hAnsi="Times New Roman;serif"/>
          <w:b w:val="false"/>
          <w:sz w:val="23"/>
        </w:rPr>
        <w:t>Expressed as an annualized rate of return on average tangible assets, net operating income in the recent quarter was 1.80%, compared with 1.16% in the second quarter of 2022 and 1.49% in 2023’s first quarter.</w:t>
      </w:r>
      <w:r>
        <w:rPr>
          <w:rFonts w:ascii="Times New Roman" w:hAnsi="Times New Roman"/>
          <w:sz w:val="20"/>
        </w:rPr>
        <w:t xml:space="preserve"> </w:t>
      </w:r>
      <w:r>
        <w:rPr>
          <w:rFonts w:ascii="Times New Roman;serif" w:hAnsi="Times New Roman;serif"/>
          <w:b w:val="false"/>
          <w:sz w:val="23"/>
        </w:rPr>
        <w:t>Net operating income represented an annualized return on average tangible common equity of 22.73% in the second quarter of 2023, 14.41% in the year-earlier quarter and 19.00% in the first quarter of 2023. For the first half of 2023, net operating income represented an annualized return on average tangible assets and average tangible common shareholders' equity of 1.65% and 20.90%, respectively, compared with 1.11% and 13.57%, respectively, in the corresponding 2022 period.</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Reconciliations of GAAP amounts with corresponding non-GAAP amounts are provided in table 2.</w:t>
      </w:r>
    </w:p>
    <w:p>
      <w:pPr>
        <w:pStyle w:val="TextBody"/>
        <w:bidi w:val="0"/>
        <w:spacing w:before="120" w:after="0"/>
        <w:jc w:val="left"/>
        <w:rPr>
          <w:rFonts w:ascii="Times New Roman;serif" w:hAnsi="Times New Roman;serif"/>
          <w:b/>
          <w:sz w:val="23"/>
        </w:rPr>
      </w:pPr>
      <w:r>
        <w:rPr>
          <w:rFonts w:ascii="Times New Roman;serif" w:hAnsi="Times New Roman;serif"/>
          <w:b/>
          <w:sz w:val="23"/>
        </w:rPr>
        <w:t>Taxable-equivalent Net Interest Income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interest income expressed on a taxable-equivalent basis was $1.81 billion in the second quarter of 2023 increased from $1.42 billion recorded in the year-earlier quarter. That increase reflects a 90 basis point (hundredths of one percent) expansion of the net interest margin, or taxable-equivalent net interest income expressed as an annualized percentage of average earning assets, to 3.91% in the recent quarter from 3.01% in the year-earlier quarter. The increased net interest margin was influenced by a rising interest rate environment resulting from actions taken by the Federal Reserve to mitigate inflationary pressures on the U.S. economy. The Federal Reserve raised its target Federal funds rate through multiple hikes totaling 5.0% from March 2022 through June 2023, which led to higher yields on loans, deposits at the Federal Reserve Bank ("FRB") of New York and investment securities, partially offset by higher rates paid on interest-bearing deposits and borrowings. Taxable-equivalent net interest income in the recent quarter declined slightly from $1.83 billion in the first quarter of 2023. That decrease reflects a 13 basis point narrowing of the net interest margin and a $7.1 billion increase in interest-bearing liabilities to $118.3 billion, compared with $111.2 billion in the initial 2023 quarter, partially offset by a $1.9 billion increase in average earning assets to $185.9 billion in the recent quarter from $184.1 billion in 2023's first quarter. The net interest margin was 4.04% in the first quarter of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For the first six months of 2023, taxable-equivalent net interest income was $3.64 billion, up from $2.33 billion recognized in the corresponding 2022 period. The increase was primarily attributable to the higher level of average earning assets and a 111 basis point expansion of the net interest margin to 3.97% in the 2023 period from 2.86% in the year-earlier period, partially offset by an increase in average interest-bearing liabilities. The increase in average earning assets in the first half of 2023 includes the impact of one additional quarter from earning assets obtained in the People's United transaction on April 1, 2022, commercial loan growth and purchases of investment securities, partially offset by lower deposits at the FRB of New York. The increase in average interest-bearing liabilities reflects interest-bearing liabilities assumed in the People's United acquisition and a continued shift in customer deposits toward higher cost interest-bearing products, including time deposits, and higher average borrowings.</w:t>
      </w:r>
    </w:p>
    <w:p>
      <w:pPr>
        <w:pStyle w:val="TextBody"/>
        <w:bidi w:val="0"/>
        <w:spacing w:before="240" w:after="0"/>
        <w:jc w:val="center"/>
        <w:rPr>
          <w:rFonts w:ascii="Times New Roman" w:hAnsi="Times New Roman"/>
          <w:sz w:val="20"/>
        </w:rPr>
      </w:pPr>
      <w:r>
        <w:rPr>
          <w:rFonts w:ascii="Times New Roman;serif" w:hAnsi="Times New Roman;serif"/>
          <w:b w:val="false"/>
          <w:sz w:val="20"/>
        </w:rPr>
        <w:t>- 51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loans and leases totaled $133.5 billion in the second quarter of 2023, up $5.9 billion or 5% from $127.6 billion in the similar quarter of 2022. Commercial loans and leases averaged $44.5 billion in the recent quarter, up $6.7 billion or 18% from $37.8 billion in the year-earlier quarter. That increase predominantly reflects growth in loans to financial and insurance industry customers and loans to motor-vehicle and recreational finance dealers, partially offset by a reduction in average balances of Paycheck Protection Program ("PPP") loans reflecting loan repayments by the Small Business Administration. PPP loans averaged $86 million in the second quarter of 2023, compared with $545 million in the second quarter of 2022. Average commercial real estate loans decreased $2.3 billion or 5% to $44.9 billion in the second quarter of 2023 from $47.2 billion in the year-earlier quarter. That decrease reflects declines of $1.7 billion in average construction loans and $570 million in average permanent commercial real estate loans.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residential real estate loans increased $1.0 billion or 4% to $23.8 billion in the second quarter of 2023 from $22.8 billion in the year-earlier quarter. Throughout 2022, M&amp;T retained rather than sold most originated residential mortgage loans. M&amp;T returned to originating for sale the majority of its newly committed residential mortgage loans in the first quarter of 2023. Consumer loans averaged $20.3 billion in the second quarter of 2023, up $496 million or 3% from $19.8 billion in the year-earlier quarter. That growth reflected a higher average balance of $884 million in M&amp;T's portfolio of recreational finance loans, partially offset by a decline of $425 million in average balances of automobile loans.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loan and lease balances in the second quarter of 2023 increased $1.5 billion from $132.0 billion in the first quarter of 2023. The higher balances resulted predominantly from growth in commercial loans and leases which increased $2.1 billion from $42.4 billion in the first quarter of 2023 and reflected higher balances of loans to financial and insurance industry customers and motor vehicle and recreational finance dealers. Average commercial real estate loans in the second quarter of 2023 declined $383 million from $45.3 billion in the first quarter of 2023. Average balances of residential real estate loans in the recently completed quarter were essentially unchanged from 2023’s first quarter. Average consumer loans in the recent quarter decreased $199 million from $20.5 billion in the first quarter of 2023. The accompanying table summarizes quarterly changes in the major components of the loan and lease portfolio.</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LOANS AND LEASES</w:t>
      </w:r>
    </w:p>
    <w:p>
      <w:pPr>
        <w:pStyle w:val="TextBody"/>
        <w:bidi w:val="0"/>
        <w:spacing w:before="0" w:after="0"/>
        <w:jc w:val="both"/>
        <w:rPr>
          <w:rFonts w:ascii="Times New Roman" w:hAnsi="Times New Roman"/>
          <w:sz w:val="20"/>
        </w:rPr>
      </w:pPr>
      <w:r>
        <w:rPr>
          <w:rFonts w:ascii="Times New Roman;serif" w:hAnsi="Times New Roman;serif"/>
          <w:b w:val="false"/>
          <w:sz w:val="23"/>
        </w:rPr>
        <w:t>(net of unearned discount)</w:t>
      </w:r>
      <w:r>
        <w:rPr>
          <w:rFonts w:ascii="Times New Roman" w:hAnsi="Times New Roman"/>
          <w:sz w:val="20"/>
        </w:rPr>
        <w:t xml:space="preserve"> </w:t>
      </w:r>
    </w:p>
    <w:tbl>
      <w:tblPr>
        <w:tblW w:w="6665" w:type="dxa"/>
        <w:jc w:val="left"/>
        <w:tblInd w:w="0" w:type="dxa"/>
        <w:tblLayout w:type="fixed"/>
        <w:tblCellMar>
          <w:top w:w="28" w:type="dxa"/>
          <w:left w:w="28" w:type="dxa"/>
          <w:bottom w:w="28" w:type="dxa"/>
          <w:right w:w="28" w:type="dxa"/>
        </w:tblCellMar>
      </w:tblPr>
      <w:tblGrid>
        <w:gridCol w:w="2431"/>
        <w:gridCol w:w="146"/>
        <w:gridCol w:w="211"/>
        <w:gridCol w:w="781"/>
        <w:gridCol w:w="146"/>
        <w:gridCol w:w="146"/>
        <w:gridCol w:w="232"/>
        <w:gridCol w:w="503"/>
        <w:gridCol w:w="166"/>
        <w:gridCol w:w="271"/>
        <w:gridCol w:w="200"/>
        <w:gridCol w:w="475"/>
        <w:gridCol w:w="166"/>
        <w:gridCol w:w="7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 Increase</w:t>
            </w:r>
          </w:p>
        </w:tc>
        <w:tc>
          <w:tcPr>
            <w:tcW w:w="166" w:type="dxa"/>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 from</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2nd Qtr.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2nd Qtr.</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6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1st Qtr.</w:t>
            </w:r>
          </w:p>
        </w:tc>
        <w:tc>
          <w:tcPr>
            <w:tcW w:w="166" w:type="dxa"/>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etc.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 — commercial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 — consumer</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r>
        <w:trPr/>
        <w:tc>
          <w:tcPr>
            <w:tcW w:w="24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Recreational finance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Automobile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Home equity lines and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5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firstLine="200"/>
              <w:jc w:val="left"/>
              <w:rPr/>
            </w:pPr>
            <w:r>
              <w:rPr/>
              <w:t> </w:t>
            </w:r>
          </w:p>
        </w:tc>
      </w:tr>
      <w:tr>
        <w:trPr/>
        <w:tc>
          <w:tcPr>
            <w:tcW w:w="24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24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consumer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1" w:type="dxa"/>
            <w:tcBorders/>
            <w:vAlign w:val="center"/>
          </w:tcPr>
          <w:p>
            <w:pPr>
              <w:pStyle w:val="TableContents"/>
              <w:bidi w:val="0"/>
              <w:spacing w:before="0" w:after="0"/>
              <w:ind w:left="0" w:right="0" w:firstLine="600"/>
              <w:jc w:val="left"/>
              <w:rPr/>
            </w:pPr>
            <w:r>
              <w:rPr/>
              <w:t> </w:t>
            </w:r>
          </w:p>
        </w:tc>
      </w:tr>
      <w:tr>
        <w:trPr/>
        <w:tc>
          <w:tcPr>
            <w:tcW w:w="24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133,545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For the first six months of 2023, average loans and leases totaled $132.8 billion, up 21%, from $110.0 billion in the corresponding 2022 period. Loans obtained in the People's United acquisition and commercial loan growth were the predominant factors for that increase, partially offset by declining average balances of commercial real estate loans and average balances of PPP loans. PPP loans averaged $95 million and $706 million in the first six months of 2023 and 2022, respectively.</w:t>
      </w:r>
    </w:p>
    <w:p>
      <w:pPr>
        <w:pStyle w:val="TextBody"/>
        <w:bidi w:val="0"/>
        <w:spacing w:before="120" w:after="0"/>
        <w:jc w:val="both"/>
        <w:rPr>
          <w:rFonts w:ascii="Times New Roman" w:hAnsi="Times New Roman"/>
          <w:sz w:val="20"/>
        </w:rPr>
      </w:pPr>
      <w:r>
        <w:rPr>
          <w:rFonts w:ascii="Times New Roman;serif" w:hAnsi="Times New Roman;serif"/>
          <w:b w:val="false"/>
          <w:sz w:val="23"/>
        </w:rPr>
        <w:t>The investment securities portfolio averaged $28.6 billion in the second quarter of 2023, up $6.2 billion from $22.4 billion in the year-earlier quarter and $1.0 billion higher than the $27.6 billion averaged in the first quarter of 2023. The higher average balance in the second quarter of 2023 when compared with the year-earlier quarter reflects the purchase of $7.0 billion of investment securities during the twelve-month period ended June 30, 2023. Those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purchases were predominantly U.S. Treasury notes and fixed rate mortgage-backed securities. When compared with the first quarter of 2023 the increase relates to a full quarter's impact of the purchases of approximately $3.3 billion of investment securities during that first quarter. Those purchases consisted predominantly of fixed rate mortgage-backed securities. For the first six months of 2023 and 2022, investment securities averaged $28.1 billion and $15.1 billion, respectively. In addition to the purchases described herein, $11.6 billion of investment securities obtained in the acquisition of People's United on April 1, 2022 contributed to the increase in average investment securities during the first half of 2023 as compared with the first half of 2022. There were no significant sales of investment securities during the six months ended June 30, 2023 and 2022. The Company routinely has increases and decreases in its holdings of capital stock of the Federal Home Loan Bank (“FHLB”) of New York and the FRB of New York. Those holdings are accounted for at cost and are adjusted based on amounts of outstanding borrowings and available lines of credit with those entities.</w:t>
      </w:r>
    </w:p>
    <w:p>
      <w:pPr>
        <w:pStyle w:val="TextBody"/>
        <w:bidi w:val="0"/>
        <w:spacing w:before="120" w:after="0"/>
        <w:jc w:val="both"/>
        <w:rPr>
          <w:rFonts w:ascii="Times New Roman" w:hAnsi="Times New Roman"/>
          <w:sz w:val="20"/>
        </w:rPr>
      </w:pPr>
      <w:r>
        <w:rPr>
          <w:rFonts w:ascii="Times New Roman;serif" w:hAnsi="Times New Roman;serif"/>
          <w:b w:val="false"/>
          <w:sz w:val="23"/>
        </w:rPr>
        <w:t>The investment securities portfolio is largely comprised of residential mortgage-backed securities and shorter-term U.S. Treasury and federal agency notes, but also includes municipal securities and commercial real estate mortgage-backed securities. When purchasing investment securities, the Company considers its liquidity position and its overall interest-rate risk profile as well as the adequacy of expected returns relative to risks assumed, including prepayments. The Company may occasionally sell investment securities as a result of movements in interest rates and spreads, changes in liquidity needs, actual or anticipated prepayments, credit risk associated with a particular security, or as a result of restructuring its investment securities portfolio in connection with a business combination. The amounts of investment securities held by the Company are influenced by such factors as available yield in comparison with alternative investments, demand for loans, which generally yield more than investment securities, ongoing repayments, the levels of deposits, and management of liquidity and balance sheet size and resulting capital ratios.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Fair value changes in equity securities with readily determinable fair values are recognized in the Consolidated Statement of Income. Net unrealized gains and losses on such equity securities were not significant in each of the first six months of 2023 and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regularly reviews its debt investment securities for declines in value below amortized cost that might be indicative of credit-related losses. In light of such reviews, there were no credit-related losses on debt investment securities recognized in either of the six months ended June 30, 2023 or 2022. Based on management’s assessment of future cash flows associated with individual investment securities as of June 30, 2023, the Company did not expect to incur any material credit-related losses in its portfolios of debt investment securities. Additional information about the investment securities portfolio is included in notes 3 and 12 of Notes to Financial Statements.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Other earning assets include interest-bearing deposits at banks, trading account assets, federal funds sold and agreements to resell securities. Those other earning assets in the aggregate averaged $23.8 billion in the recently completed quarter, compared with $39.8 billion in the year-earlier quarter and $24.4 billion in the first quarter of 2023. Interest-bearing deposits at banks averaged $23.6 billion, $39.4 billion and $24.3 billion during the three months ended June 30, 2023, June 30, 2022 and March 31, 2023, respectively. The amounts of interest-bearing deposits at banks at those respective dates were predominantly comprised of deposits held at the FRB of New York. In general, the amount of deposits held at the FRB of New York fluctuates due to changes in levels of the Company's investments, loans, deposits and other borrowings. The lower balances in the recent quarter and the first quarter of 2023, compared with the year-earlier quarter reflect loan portfolio growth, the purchases of investment securities and treasury stock and the decline in noninterest bearing deposits, partially offset by the issuance of long-term debt and other short-term borrowings and an increase in time deposits.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As a result of the changes described herein, average earning assets totaled $185.9 billion in the most recent quarter, compared with $189.8 billion in the second quarter of 2022 and $184.1 billion in the first quarter of 2023. Average earning assets totaled $185.0 billion and $164.3 billion during the first six months of 2023 and 2022, respectively.</w:t>
      </w:r>
    </w:p>
    <w:p>
      <w:pPr>
        <w:pStyle w:val="TextBody"/>
        <w:bidi w:val="0"/>
        <w:spacing w:before="120" w:after="0"/>
        <w:jc w:val="both"/>
        <w:rPr>
          <w:rFonts w:ascii="Times New Roman" w:hAnsi="Times New Roman"/>
          <w:sz w:val="20"/>
        </w:rPr>
      </w:pPr>
      <w:r>
        <w:rPr>
          <w:rFonts w:ascii="Times New Roman;serif" w:hAnsi="Times New Roman;serif"/>
          <w:b w:val="false"/>
          <w:sz w:val="23"/>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$146.8 billion in the second quarter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of 2023, compared with $169.6 billion in the similar 2022 quarter and $152.0 billion in the first quarter of 2023. The decrease in average core deposits in the recent quarter as compared with the year-earlier quarter and 2023's initial quarter was primarily the result of monetary tightening that influenced customers to seek higher rate alternatives, including a shift from operating demand accounts to off-balance sheet sweep accounts for commercial customers. Lower levels of activity in the capital markets also resulted in a reduction of trust demand deposits. The following table provides an analysis of quarterly changes in the components of average core deposits.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CORE DEPOSITS</w:t>
      </w:r>
    </w:p>
    <w:tbl>
      <w:tblPr>
        <w:tblW w:w="7045" w:type="dxa"/>
        <w:jc w:val="left"/>
        <w:tblInd w:w="0" w:type="dxa"/>
        <w:tblLayout w:type="fixed"/>
        <w:tblCellMar>
          <w:top w:w="28" w:type="dxa"/>
          <w:left w:w="28" w:type="dxa"/>
          <w:bottom w:w="28" w:type="dxa"/>
          <w:right w:w="28" w:type="dxa"/>
        </w:tblCellMar>
      </w:tblPr>
      <w:tblGrid>
        <w:gridCol w:w="3286"/>
        <w:gridCol w:w="146"/>
        <w:gridCol w:w="211"/>
        <w:gridCol w:w="781"/>
        <w:gridCol w:w="146"/>
        <w:gridCol w:w="146"/>
        <w:gridCol w:w="205"/>
        <w:gridCol w:w="530"/>
        <w:gridCol w:w="166"/>
        <w:gridCol w:w="271"/>
        <w:gridCol w:w="213"/>
        <w:gridCol w:w="462"/>
        <w:gridCol w:w="166"/>
        <w:gridCol w:w="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7"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 Increase</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 from</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2nd Qtr.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2nd Qtr.</w:t>
            </w:r>
          </w:p>
        </w:tc>
        <w:tc>
          <w:tcPr>
            <w:tcW w:w="166" w:type="dxa"/>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6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1st Qtr.</w:t>
            </w:r>
          </w:p>
        </w:tc>
        <w:tc>
          <w:tcPr>
            <w:tcW w:w="166"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millions)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Time deposits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4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pPr>
            <w:r>
              <w:rPr/>
              <w:t> </w:t>
            </w:r>
          </w:p>
        </w:tc>
      </w:tr>
      <w:tr>
        <w:trPr/>
        <w:tc>
          <w:tcPr>
            <w:tcW w:w="32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146,779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also receives funding from other deposit sources, including branch-related time deposits over $250,000 and brokered deposits. Time deposits over $250,000 averaged $2.0 billion in the recent quarter, compared with $808 million in the second quarter of 2022 and $1.5 billion in the first quarter of 2023. The increase in such deposits in the two most recent quarters as compared with the second quarter of 2022 reflects higher demand for time deposit products in a rising interest rate environment. The Company had brokered savings and interest-bearing transaction accounts that averaged $3.8 billion during the recent quarter, $4.2 billion in the year-earlier quarter and $3.4 billion in the first quarter of 2023. Brokered time deposits averaged $6.9 billion in the second quarter of 2023 compared with $58 million in the second quarter of 2022 and $4.6 billion in the first quarter of 2023. The increase in such deposits from the second quarter of 2022 was predominantly due to deposits added late in the fourth quarter of 2022 and through the second quarter of 2023. Additional brokered deposits may be solicited in the future depending on market conditions, including demand by customers and other investors for those deposits, and the cost of funds available from alternative sources at the time. Total uninsured deposits were estimated to be $67.0 billion at June 30, 2023, compared with $67.7 billion at March 31, 2023, $74.2 billion at December 31, 2022 and $79.9 billion at June 30, 2022. Approximately $10.5 billion, $10.7 billion, $11.4 billion and $13.2 billion of those uninsured deposits were collateralized by the Company at June 30, 2023, March 31, 2023, December 31, 2022 and June 30, 2022 respectively.</w:t>
      </w:r>
    </w:p>
    <w:p>
      <w:pPr>
        <w:pStyle w:val="TextBody"/>
        <w:bidi w:val="0"/>
        <w:spacing w:before="240" w:after="0"/>
        <w:jc w:val="center"/>
        <w:rPr>
          <w:rFonts w:ascii="Times New Roman" w:hAnsi="Times New Roman"/>
          <w:sz w:val="20"/>
        </w:rPr>
      </w:pPr>
      <w:r>
        <w:rPr>
          <w:rFonts w:ascii="Times New Roman;serif" w:hAnsi="Times New Roman;serif"/>
          <w:b w:val="false"/>
          <w:sz w:val="20"/>
        </w:rPr>
        <w:t>- 54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accompanying table summarizes average total deposits for the quarters ended June 30, 2023, March 31, 2023 and June 30,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AVERAGE DEPOSITS</w:t>
      </w:r>
    </w:p>
    <w:tbl>
      <w:tblPr>
        <w:tblW w:w="7550" w:type="dxa"/>
        <w:jc w:val="left"/>
        <w:tblInd w:w="0" w:type="dxa"/>
        <w:tblLayout w:type="fixed"/>
        <w:tblCellMar>
          <w:top w:w="28" w:type="dxa"/>
          <w:left w:w="28" w:type="dxa"/>
          <w:bottom w:w="28" w:type="dxa"/>
          <w:right w:w="28" w:type="dxa"/>
        </w:tblCellMar>
      </w:tblPr>
      <w:tblGrid>
        <w:gridCol w:w="2821"/>
        <w:gridCol w:w="146"/>
        <w:gridCol w:w="196"/>
        <w:gridCol w:w="601"/>
        <w:gridCol w:w="146"/>
        <w:gridCol w:w="146"/>
        <w:gridCol w:w="196"/>
        <w:gridCol w:w="601"/>
        <w:gridCol w:w="146"/>
        <w:gridCol w:w="146"/>
        <w:gridCol w:w="254"/>
        <w:gridCol w:w="781"/>
        <w:gridCol w:w="146"/>
        <w:gridCol w:w="146"/>
        <w:gridCol w:w="196"/>
        <w:gridCol w:w="691"/>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Retail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Trust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Commercial </w:t>
              <w:br/>
              <w:t>and Other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92" w:type="dxa"/>
            <w:gridSpan w:val="14"/>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(In</w:t>
            </w:r>
            <w:r>
              <w:rPr>
                <w:rFonts w:ascii="Times New Roman" w:hAnsi="Times New Roman"/>
                <w:sz w:val="16"/>
              </w:rPr>
              <w:t xml:space="preserve"> </w:t>
            </w:r>
            <w:r>
              <w:rPr>
                <w:rFonts w:ascii="Times New Roman;serif" w:hAnsi="Times New Roman;serif"/>
                <w:b/>
                <w:sz w:val="16"/>
              </w:rPr>
              <w:t>millions)</w:t>
            </w:r>
          </w:p>
        </w:tc>
        <w:tc>
          <w:tcPr>
            <w:tcW w:w="191" w:type="dxa"/>
            <w:tcBorders/>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June 30, 2023</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87,210</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Time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16,009</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56,180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66,703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77,089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159,399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March 31, 2023</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88,053</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Time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11,630</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67,550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17,533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76,454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161,537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Three Months Ended June 30, 2022</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95,149</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Time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5,480</w:t>
            </w:r>
          </w:p>
        </w:tc>
        <w:tc>
          <w:tcPr>
            <w:tcW w:w="191" w:type="dxa"/>
            <w:tcBorders/>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74,054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174,683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also uses borrowings from banks, the FHLB of New York, the FRB of New York and others as sources of funding. Short-term borrowings represent borrowing arrangements that at the time they were entered into had a contractual maturity of one year or less. Average short-term borrowings totaled $7.5 billion in the second quarter of 2023, compared with $1.1 billion in the year-earlier quarter and $5.0 billion in the first quarter of 2023. Short-term borrowings from the FHLB of New York averaged $7.1 billion in the second quarter of 2023 compared with $4.6 billion in the first quarter of 2023 and a nominal amount in the second quarter of 2022. Short-term borrowings assumed in connection with the People's United acquisition totaled $895 million on April 1, 2022. In October 2022 M&amp;T redeemed $500 million of unsecured senior notes due to mature in December 2022 that had been assumed in the acquisition of People's United and included in short-term borrowings. In general, the increase in short-term borrowings reflects the Company's liquidity ratio management.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Long-term borrowings averaged $7.5 billion in the second quarter of 2023, compared with $3.3 billion in the year-earlier quarter and $6.5 billion in the first quarter of 2023. As of April 1, 2022, long-term borrowings assumed in the People's United acquisition totaled $494 million and included $483 million of fixed-rate subordinated notes and $11 million of FHLB advances. Average balances of the Company’s outstanding senior notes were $6.0 billion, $1.7 billion and $5.0 billion during the three months ended June 30, 2023, June 30, 2022 and March 31, 2023, respectively. In January 2023, M&amp;T issued $1.0 billion of senior notes that mature in January 2034 and pay a 5.053% fixed rate semi-annually until January 2033 after which the Secured Overnight Financing Rate ("SOFR") plus 1.85% will be paid quarterly until maturity. Additionally, in January 2023 M&amp;T Bank issued $1.3 billion of senior notes that mature in January 2026 and pay a fixed rate of 4.65% semi-annually until maturity and $1.2 billion of senior notes that mature in January 2028 and pay a fixed rate of 4.70% semi-annually until maturity. In November 2022 M&amp;T Bank issued $500 million of fixed rate senior notes that pay a rate of 5.4% semi-annually and mature in November 2025. In August 2022 M&amp;T issued $500 million of senior notes that mature in August 2028 and pay a fixed rate of 4.553% semi-annually until August 2027 after which the SOFR plus 1.78% will be paid quarterly until maturity. In April 2022, M&amp;T Bank redeemed $650 million of fixed rate senior notes that were due to mature on May 18, 2022. During May 2022, $250 million of variable rate senior notes of M&amp;T Bank matured. Subordinated capital notes included in long-term borrowings averaged $979 million in the second quarter of 2023, compared with $983 million in the second quarter of 2022 and $980 million in the first quarter of 2023. Junior subordinated debentures associated with trust preferred securities that were included in average long-term borrowings were $537 million during the second and first quarters of 2023 compared with $533 million in the second quarter of 2022. Additional information regarding junior subordinated debentures is provided in note 5 of Notes to Financial Statements.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has utilized interest rate swap agreements to modify the repricing characteristics of certain components of its loans and long-term debt. As of June 30, 2023, interest rate swap agreements were used as fair value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hedges of approximately $2.5 billion of outstanding fixed rate long-term borrowings. Additionally, interest rate swap agreements with a notional amount of $11.4 billion (exclusive of forward-starting swap agreements) were used as cash flow hedges of interest payments associated with variable rate commercial real estate loans. Further information on interest rate swap agreements is provided herein and in note 10 of Notes to Financial Statements.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3.03% in the recent quarter, up 11 basis points from 2.92% in the second quarter of 2022. The yield on earning assets during the second quarter of 2023 was 5.46%, up 234 basis points from 3.12% in the similar 2022 period, while the rate paid on interest-bearing liabilities increased 223 basis points to 2.43% in the recent quarter from .20% in the year-earlier period. In the first quarter of 2023, the net interest spread was 3.30%, the yield on earning assets was 5.16% and the rate paid on interest-bearing liabilities was 1.86%. The increases in the net interest spread since the second quarter of 2022 reflect the impact of generally rising interest rates that resulted in higher yields on loans and leases, deposits at the FRB of New York and investment securities, partially offset by higher rates on interest-bearing liabilities. The Federal Reserve raised its target Federal funds rate 5.0% from March 2022 through June 2023, including various increases totaling 275 basis points in the last half of 2022 and 50 basis points and 25 basis points in the first and second quarters of 2023, respectively. The decline in the net interest spread in the recent quarter as compared with the first quarter of 2023 reflected increased demand for time deposit products, higher average borrowings and the impact of competitive pricing and rising rates associated with interest-bearing instruments. For the first six months of 2023, the net interest spread was 3.16%, up 38 basis points from 2.78% in the year-earlier period. The yield on earning assets and the rate paid on interest-bearing liabilities for the first half of 2023 were 5.31% and 2.15%, respectively, compared with 2.96% and .18%, respectively, in the initial six months of 2022.</w:t>
      </w:r>
    </w:p>
    <w:p>
      <w:pPr>
        <w:pStyle w:val="TextBody"/>
        <w:bidi w:val="0"/>
        <w:spacing w:before="120" w:after="0"/>
        <w:jc w:val="both"/>
        <w:rPr>
          <w:rFonts w:ascii="Times New Roman" w:hAnsi="Times New Roman"/>
          <w:sz w:val="20"/>
        </w:rPr>
      </w:pPr>
      <w:r>
        <w:rPr>
          <w:rFonts w:ascii="Times New Roman;serif" w:hAnsi="Times New Roman;serif"/>
          <w:b w:val="false"/>
          <w:sz w:val="23"/>
        </w:rPr>
        <w:t>Net interest-free funds consist largely of noninterest-bearing demand deposits and shareholders’ equity, partially offset by bank owned life insurance and non-earning assets, including goodwill and core deposit and other intangible assets. Net interest-free funds averaged $67.7 billion in the second three months of 2023, compared with $84.7 billion in the year-earlier quarter and $72.9 billion in the first quarter of 2023. The lower level of average net interest-free funds in the recent quarter as compared with the first quarter of 2023 and second quarter of 2022 is predominantly the result of a decline in the average balance of noninterest-bearing deposits. Noninterest-bearing deposits averaged $56.2 billion in the second quarter of 2023 and $61.9 billion in the first quarter of 2023, compared with $74.1 billion in the second quarter of 2022. The lower levels of noninterest-bearing deposits in the first and second quarter of 2023 as compared with the second quarter of 2022 reflected customer use of off-balance sheet investment products and a shift in deposits to interest-bearing accounts as interest rates rose. During the first six months of 2023 and 2022, average net interest-free funds aggregated $70.3 billion and $75.0 billion, respectively. Average noninterest-bearing deposits were $59.0 billion in the first half of 2023, compared with $66.1 billion in the first two quarters of 2022. The decline in average noninterest-bearing deposits, resulting from a shift of customer funds from noninterest-bearing accounts to interest-bearing accounts and off-balance sheet investment products, was partially offset by the impact of $17.4 billion of noninterest-bearing deposits the Company assumed in connection with the People's United acquisition on April 1, 2022. Shareholders’ equity averaged $25.7 billion during the three-month period ended June 30, 2023, compared with $26.1 billion during the year-earlier period and $25.4 billion during the first quarter of 2023. M&amp;T issued $8.4 billion of common equity and $261 million of preferred equity in completing the acquisition of People's United on April 1, 2022. Repurchases of common stock totaled approximately $600 million in the first quarter of 2023 and $1.8 billion in the last three quarters of 2022. There were no repurchases of common stock during the second quarter of 2023. Goodwill and core deposit and other intangible assets averaged $8.7 billion in each of the second and first quarters of 2023 compared with $8.8 billion in the year-earlier quarter. The Company recorded $3.9 billion of goodwill on April 1, 2022 which represents excess consideration over the fair value of net assets acquired in the People's United transaction. As part of the transaction, intangible assets were identified and recorded at fair value, thereby increasing the balance of core deposit and other intangible assets on the Company's balance sheet by $261 million on April 1, 2022. The cash surrender value of bank owned life insurance averaged $2.6 billion in each of the second quarter of 2023, first quarter of 2023 and year-earlier quarter. Changes in the cash surrender value of bank owned life insurance and benefits received are not included in interest income, but rather are recorded in “other revenues from operations.”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contribution of net interest-free funds to net interest margin was .88% in the second quarter of 2023, compared with .09% and .74% in the second quarter of 2022 and the first quarter of 2023, respectively. The increased contribution of net interest-free funds to net interest margin in the most recent quarter and first quarter of 2023 as compared with the second 2022 quarter reflects higher rates paid on interest-bearing liabilities used to value net interest-free funds. The contribution of net interest-free funds in the first half of 2023 and 2022 was .81% and .08%, respectively.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Reflecting the changes to the net interest spread and the contribution of net interest-free funds as described herein, the Company’s net interest margin was 3.91% in the second quarter of 2023, compared with 3.01% in the year-earlier period. During the first six months of 2023 and 2022, the net interest margin was 3.97% and 2.86%, respectively. Future changes in market interest rates or spreads, as well as changes in the composition of the Company’s portfolios of earning assets and interest-bearing liabilities that result in changes to spreads, could impact the Company’s net interest income and net interest margin. The Federal Open Market Committee has conducted a series of basis point increases in short-term interest rates from March 2022 through June 2023 totaling 5.0%. Those actions have led to generally higher interest rates overall and, accordingly, have contributed to the Company's higher net interest margin in the recent quarter as compared with the year-earlier quarter. The recent quarter's net interest margin narrowed from 4.04% in the first quarter of 2023. That 13 basis point decrease reflects a 27 basis point compression of the net interest spread partially offset by a 14 basis point increase in the contribution of interest-free funds.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$13.9 billion (excluding $7.3 billion of forward-starting swap agreements related to cash flow hedges) at June 30, 2023, $16.0 billion (excluding $3.3 billion of forward-starting swap agreements) at June 30, 2022 and $12.7 billion (excluding $4.7 billion of forward-starting swap agreements) at December 31, 2022. Under the terms of those interest rate swap agreements, the Company received payments based on the outstanding notional amount at fixed rates and made payments at variable rates. At June 30, 2023, interest rate swap agreements with notional amounts of $11.4 billion were serving as cash flow hedges of interest payments associated with variable rate commercial real estate loans, compared with $15.0 billion at June 30, 2022 and $11.2 billion at December 31, 2022. Interest rate swap agreements with notional amounts of $2.5 billion at June 30, 2023, $1.0 billion at June 30, 2022 and $1.5 billion at December 31, 2022 were serving as fair value hedges of fixed rate long-term borrowings. The Company also enters into forward-starting interest rate swap agreements predominantly to extend the term of its interest rate swap agreements serving as cash flow hedges and provide a hedge against changing interest rates on certain of its variable rate loans.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as an adjustment to the interest income or interest expense of the respective hedged item. In a cash flow hedge, the derivative’s gain or loss is initially reported as a component of other comprehensive income and subsequently reclassified into earnings when the forecasted transaction affects earnings. The amounts of hedge ineffectiveness recognized during each of the quarters ended June 30, 2023, June 30, 2022 and March 31, 2023 were not material to the Company’s consolidated results of operations. Information regarding the fair value of interest rate swap agreements and hedge ineffectiveness is presented in note 10 of Notes to Financial Statements. Information regarding the valuation of cash flow hedges included in other comprehensive income is presented in note 9 of Notes to Financial Statements. The changes in the fair values of the interest rate swap agreements and the hedged items primarily result from the effects of changing interest rates and spreads.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- 57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INTEREST RATE SWAP AGREEMENTS</w:t>
      </w:r>
      <w:r>
        <w:rPr>
          <w:rFonts w:ascii="Times New Roman" w:hAnsi="Times New Roman"/>
          <w:sz w:val="20"/>
        </w:rPr>
        <w:t xml:space="preserve"> </w:t>
      </w:r>
    </w:p>
    <w:tbl>
      <w:tblPr>
        <w:tblW w:w="8239" w:type="dxa"/>
        <w:jc w:val="left"/>
        <w:tblInd w:w="0" w:type="dxa"/>
        <w:tblLayout w:type="fixed"/>
        <w:tblCellMar>
          <w:top w:w="28" w:type="dxa"/>
          <w:left w:w="28" w:type="dxa"/>
          <w:bottom w:w="28" w:type="dxa"/>
          <w:right w:w="28" w:type="dxa"/>
        </w:tblCellMar>
      </w:tblPr>
      <w:tblGrid>
        <w:gridCol w:w="2446"/>
        <w:gridCol w:w="146"/>
        <w:gridCol w:w="211"/>
        <w:gridCol w:w="1036"/>
        <w:gridCol w:w="166"/>
        <w:gridCol w:w="146"/>
        <w:gridCol w:w="168"/>
        <w:gridCol w:w="537"/>
        <w:gridCol w:w="166"/>
        <w:gridCol w:w="271"/>
        <w:gridCol w:w="211"/>
        <w:gridCol w:w="1036"/>
        <w:gridCol w:w="166"/>
        <w:gridCol w:w="146"/>
        <w:gridCol w:w="168"/>
        <w:gridCol w:w="537"/>
        <w:gridCol w:w="166"/>
        <w:gridCol w:w="516"/>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647"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r>
      <w:tr>
        <w:trPr/>
        <w:tc>
          <w:tcPr>
            <w:tcW w:w="244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 (a)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 (a)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47" w:type="dxa"/>
            <w:gridSpan w:val="1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interest income/margin</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notional amount (c)</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13,027,330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14,894,505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Rate received (b)</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Rate paid (b)</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5647" w:type="dxa"/>
            <w:gridSpan w:val="1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244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righ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Rate(a)</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right"/>
              <w:rPr/>
            </w:pPr>
            <w:r>
              <w:rPr/>
              <w:t> </w:t>
            </w:r>
          </w:p>
        </w:tc>
      </w:tr>
      <w:tr>
        <w:trPr/>
        <w:tc>
          <w:tcPr>
            <w:tcW w:w="24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5647" w:type="dxa"/>
            <w:gridSpan w:val="1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(107,730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57,966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left"/>
              <w:rPr/>
            </w:pPr>
            <w:r>
              <w:rPr/>
              <w:t> </w:t>
            </w:r>
          </w:p>
        </w:tc>
      </w:tr>
      <w:tr>
        <w:trPr/>
        <w:tc>
          <w:tcPr>
            <w:tcW w:w="244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interest income/margin</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(132,038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notional amount (c)</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12,053,796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14,933,149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Rate received (b)</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Rate paid (b)</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5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Computed as an annualized percentage of average earning assets or interest-bearing liabilities.</w:t>
      </w:r>
    </w:p>
    <w:p>
      <w:pPr>
        <w:pStyle w:val="TextBody"/>
        <w:bidi w:val="0"/>
        <w:spacing w:before="0" w:after="0"/>
        <w:jc w:val="both"/>
        <w:rPr>
          <w:rFonts w:ascii="Times New Roman" w:hAnsi="Times New Roman"/>
          <w:b w:val="false"/>
          <w:i/>
          <w:sz w:val="16"/>
        </w:rPr>
      </w:pPr>
      <w:r>
        <w:rPr>
          <w:rFonts w:ascii="Times New Roman" w:hAnsi="Times New Roman"/>
          <w:b w:val="false"/>
          <w:i/>
          <w:sz w:val="16"/>
        </w:rPr>
        <w:t>(b)</w:t>
      </w:r>
    </w:p>
    <w:p>
      <w:pPr>
        <w:pStyle w:val="TextBody"/>
        <w:bidi w:val="0"/>
        <w:spacing w:before="0" w:after="0"/>
        <w:jc w:val="both"/>
        <w:rPr>
          <w:rFonts w:ascii="Times New Roman;serif" w:hAnsi="Times New Roman;serif"/>
          <w:b w:val="false"/>
          <w:i/>
          <w:sz w:val="16"/>
        </w:rPr>
      </w:pPr>
      <w:r>
        <w:rPr>
          <w:rFonts w:ascii="Times New Roman;serif" w:hAnsi="Times New Roman;serif"/>
          <w:b w:val="false"/>
          <w:i/>
          <w:sz w:val="16"/>
        </w:rPr>
        <w:t>Weighted-average rate paid or received on interest rate swap agreements in effect during the period.</w:t>
      </w:r>
    </w:p>
    <w:p>
      <w:pPr>
        <w:pStyle w:val="TextBody"/>
        <w:bidi w:val="0"/>
        <w:spacing w:before="0" w:after="0"/>
        <w:jc w:val="both"/>
        <w:rPr>
          <w:rFonts w:ascii="Times New Roman" w:hAnsi="Times New Roman"/>
          <w:b w:val="false"/>
          <w:i/>
          <w:sz w:val="16"/>
        </w:rPr>
      </w:pPr>
      <w:r>
        <w:rPr>
          <w:rFonts w:ascii="Times New Roman" w:hAnsi="Times New Roman"/>
          <w:b w:val="false"/>
          <w:i/>
          <w:sz w:val="16"/>
        </w:rPr>
        <w:t>(c)</w:t>
      </w:r>
    </w:p>
    <w:p>
      <w:pPr>
        <w:pStyle w:val="TextBody"/>
        <w:bidi w:val="0"/>
        <w:jc w:val="both"/>
        <w:rPr>
          <w:rFonts w:ascii="Times New Roman;serif" w:hAnsi="Times New Roman;serif"/>
          <w:b w:val="false"/>
          <w:i/>
          <w:sz w:val="16"/>
        </w:rPr>
      </w:pPr>
      <w:r>
        <w:rPr>
          <w:rFonts w:ascii="Times New Roman;serif" w:hAnsi="Times New Roman;serif"/>
          <w:b w:val="false"/>
          <w:i/>
          <w:sz w:val="16"/>
        </w:rPr>
        <w:t>Excludes forward-starting interest rate swap agreements not in effect during the period.</w:t>
      </w:r>
    </w:p>
    <w:p>
      <w:pPr>
        <w:pStyle w:val="TextBody"/>
        <w:bidi w:val="0"/>
        <w:spacing w:before="120" w:after="0"/>
        <w:jc w:val="both"/>
        <w:rPr>
          <w:rFonts w:ascii="Times New Roman" w:hAnsi="Times New Roman"/>
          <w:sz w:val="20"/>
        </w:rPr>
      </w:pPr>
      <w:r>
        <w:rPr>
          <w:rFonts w:ascii="Times New Roman;serif" w:hAnsi="Times New Roman;serif"/>
          <w:b w:val="false"/>
          <w:sz w:val="23"/>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cash flows associated with financial instruments included in assets and liabilities differ.</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The most significant source of funding for the Company is core deposits, which are generated from a large base of consumer, corporate and institutional customers. That customer base has, over the past several years, become more geographically diverse as a result of expansion of the Company’s businesses. Nevertheless, the Company faces competition in offering products and services from a large array of financial market participants, including banks, thrifts, mutual funds, securities dealers and others. The Company supplements funding provided through deposits with various short-term and long-term wholesale borrowings, including overnight federal funds purchased, short-term advances from the FHLB of New York, brokered deposits, and longer-term borrowings. M&amp;T Bank has access to additional funding sources through borrowings from the FHLB of New York, lines of credit with the FRB of New York, M&amp;T Bank’s Bank Note Program, and other available borrowing facilities. The Bank Note Program enables M&amp;T Bank to offer unsecured senior and subordinated notes. The Company has, from time to time, issued subordinated capital notes and junior subordinated debentures associated with trust preferred securities to provide liquidity and enhance regulatory capital ratios. The Company’s junior subordinated debentures associated with trust preferred securities and other subordinated capital notes are considered Tier 2 capital and are includable in total regulatory capital. At June 30, 2023 and December 31, 2022, long-term borrowings aggregated $7.4 billion and $4.0 billion, respectively and short-term borrowings aggregated $7.9 billion and $3.6 billion, respectively.</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has benefited from the placement of brokered deposits. The Company had brokered savings and interest-checking deposit accounts which aggregated approximately $3.8 billion at each of June 30, 2023 and December 31, 2022, compared with $3.9 billion at June 30, 2022. Funding from brokered time deposits increased $799 million and $4.0 billion in the first and second quarter of 2023, respectively to $8.9 billion at June 30, 2023 from $4.1 billion at December 31, 2022. Brokered time deposits were not a significant source of funding at June 30, 2022.</w:t>
      </w:r>
    </w:p>
    <w:p>
      <w:pPr>
        <w:pStyle w:val="TextBody"/>
        <w:bidi w:val="0"/>
        <w:spacing w:before="240" w:after="0"/>
        <w:jc w:val="center"/>
        <w:rPr>
          <w:rFonts w:ascii="Times New Roman" w:hAnsi="Times New Roman"/>
          <w:sz w:val="20"/>
        </w:rPr>
      </w:pPr>
      <w:r>
        <w:rPr>
          <w:rFonts w:ascii="Times New Roman;serif" w:hAnsi="Times New Roman;serif"/>
          <w:b w:val="false"/>
          <w:sz w:val="20"/>
        </w:rPr>
        <w:t>- 58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Company’s ability to obtain funding from these sources could be negatively impacted should the Company experience a substantial deterioration in its financial condition or its debt ratings or should the availability of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 The Company also has the ability to securitize or sell certain financial assets, including various loan types, to provide other liquidity alternatives. On August 7, 2023, Moody's Investor Service reaffirmed M&amp;T Bank's short-term deposit rating at Prime-1, but downgraded M&amp;T's and M&amp;T Bank's senior and subordinated debt ratings from A3 to Baa1 and M&amp;T Bank's long-term deposits rating from Aa3 to A1.</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There were no such securities in the trading account at June 30, 2023, December 31, 2022 and June 30, 2022. The total amounts of VRDBs outstanding backed by M&amp;T Bank letters of credit were $564 million at June 30, 2023, $604 million at December 31, 2022 and $645 million at June 30, 2022. M&amp;T Bank also serves as remarketing agent for most of those bonds.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pStyle w:val="TextBody"/>
        <w:bidi w:val="0"/>
        <w:spacing w:before="120" w:after="0"/>
        <w:jc w:val="both"/>
        <w:rPr>
          <w:rFonts w:ascii="Times New Roman" w:hAnsi="Times New Roman"/>
          <w:sz w:val="20"/>
        </w:rPr>
      </w:pPr>
      <w:r>
        <w:rPr>
          <w:rFonts w:ascii="Times New Roman;serif" w:hAnsi="Times New Roman;serif"/>
          <w:b w:val="false"/>
          <w:sz w:val="23"/>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2023 approximately $1.63 billion was available for payment of dividends to M&amp;T from bank subsidiaries. M&amp;T also may obtain funding through long-term borrowings. As previously described, in January 2023 M&amp;T issued $1.0 billion of senior notes that mature in January 2034. Outstanding senior notes of M&amp;T at June 30, 2023 and December 31, 2022 were $2.2 billion and $1.2 billion, respectively. Junior subordinated debentures of M&amp;T associated with trust preferred securities outstanding at June 30, 2023 and December 31, 2022 totaled $538 million and $536 million, respectively.</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Management closely monitors the Company’s liquidity position on an ongoing basis for compliance with internal policies and regulatory expectations and believes that available sources of liquidity are adequate to meet funding needs anticipated in the ordinary course of business. Available liquidity at June 30, 2023 included cash on deposit at the FRB of New York of $27.1 billion, unused lines of credit of $31.0 billion and unencumbered investment securities (after estimated haircut) of approximately $18.5 billion. Management continually evaluates the use and mix of its various available funding alternatives, including short-term borrowings, issuance of long-term debt, the placement of brokered deposits and the securitization of certain loan products. Management does not anticipate engaging in any activities, either currently or in the long term, for which adequate funding would not be available and would therefore result in a significant strain on liquidity at either M&amp;T or its subsidiary banks.</w:t>
      </w:r>
    </w:p>
    <w:p>
      <w:pPr>
        <w:pStyle w:val="TextBody"/>
        <w:bidi w:val="0"/>
        <w:spacing w:before="120" w:after="0"/>
        <w:jc w:val="both"/>
        <w:rPr>
          <w:rFonts w:ascii="Times New Roman" w:hAnsi="Times New Roman"/>
          <w:sz w:val="20"/>
        </w:rPr>
      </w:pPr>
      <w:r>
        <w:rPr>
          <w:rFonts w:ascii="Times New Roman;serif" w:hAnsi="Times New Roman;serif"/>
          <w:b w:val="false"/>
          <w:sz w:val="23"/>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- 59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manage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2023, the aggregate notional amount of interest rate swap agreements entered into for interest rate risk management purposes that were currently in effect was $13.9 billion. In addition, the Company has entered into $7.3 billion of forward-starting interest rate swap agreements related to cash flow hedges.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Company’s Asset-Liability Committee, which includes members of executive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with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accompanying table as of June 30, 2023 and December 31, 2022 displays the estimated impact on net interest income in the base scenario described above resulting from parallel changes in interest rates across repricing categories during the first modeling year.</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SENSITIVITY OF NET INTEREST INCOME</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TO CHANGES IN INTEREST RATES</w:t>
      </w:r>
    </w:p>
    <w:tbl>
      <w:tblPr>
        <w:tblW w:w="5359" w:type="dxa"/>
        <w:jc w:val="left"/>
        <w:tblInd w:w="0" w:type="dxa"/>
        <w:tblLayout w:type="fixed"/>
        <w:tblCellMar>
          <w:top w:w="28" w:type="dxa"/>
          <w:left w:w="28" w:type="dxa"/>
          <w:bottom w:w="28" w:type="dxa"/>
          <w:right w:w="28" w:type="dxa"/>
        </w:tblCellMar>
      </w:tblPr>
      <w:tblGrid>
        <w:gridCol w:w="1906"/>
        <w:gridCol w:w="146"/>
        <w:gridCol w:w="225"/>
        <w:gridCol w:w="900"/>
        <w:gridCol w:w="173"/>
        <w:gridCol w:w="152"/>
        <w:gridCol w:w="221"/>
        <w:gridCol w:w="1279"/>
        <w:gridCol w:w="166"/>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Calculated Increase (Decrease) </w:t>
              <w:br/>
              <w:t>in Projected Net Interest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Changes in interest rates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0"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+200 basis points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102,183</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224,555</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+100 basis points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83,575</w:t>
            </w:r>
          </w:p>
        </w:tc>
        <w:tc>
          <w:tcPr>
            <w:tcW w:w="173" w:type="dxa"/>
            <w:tcBorders/>
            <w:vAlign w:val="center"/>
          </w:tcPr>
          <w:p>
            <w:pPr>
              <w:pStyle w:val="TableContents"/>
              <w:bidi w:val="0"/>
              <w:spacing w:before="0" w:after="0"/>
              <w:ind w:left="0" w:right="0" w:hanging="0"/>
              <w:jc w:val="left"/>
              <w:rPr/>
            </w:pPr>
            <w:r>
              <w:rPr/>
              <w:t> </w:t>
            </w:r>
          </w:p>
        </w:tc>
        <w:tc>
          <w:tcPr>
            <w:tcW w:w="152"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158,020</w:t>
            </w:r>
          </w:p>
        </w:tc>
        <w:tc>
          <w:tcPr>
            <w:tcW w:w="16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-100 basis points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(164,202</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(216,202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-200 basis points</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9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(329,022</w:t>
            </w:r>
          </w:p>
        </w:tc>
        <w:tc>
          <w:tcPr>
            <w:tcW w:w="17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vAlign w:val="center"/>
          </w:tcPr>
          <w:p>
            <w:pPr>
              <w:pStyle w:val="TableContents"/>
              <w:bidi w:val="0"/>
              <w:spacing w:before="0" w:after="0"/>
              <w:ind w:left="0" w:right="0" w:hanging="0"/>
              <w:jc w:val="right"/>
              <w:rPr/>
            </w:pPr>
            <w:r>
              <w:rPr/>
              <w:t> </w:t>
            </w:r>
          </w:p>
        </w:tc>
        <w:tc>
          <w:tcPr>
            <w:tcW w:w="221" w:type="dxa"/>
            <w:tcBorders/>
            <w:vAlign w:val="center"/>
          </w:tcPr>
          <w:p>
            <w:pPr>
              <w:pStyle w:val="TableContents"/>
              <w:bidi w:val="0"/>
              <w:spacing w:before="0" w:after="0"/>
              <w:ind w:left="0" w:right="0" w:hanging="0"/>
              <w:jc w:val="left"/>
              <w:rPr/>
            </w:pPr>
            <w:r>
              <w:rPr/>
              <w:t> </w:t>
            </w:r>
          </w:p>
        </w:tc>
        <w:tc>
          <w:tcPr>
            <w:tcW w:w="12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(439,512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loan and deposit volumes, mix and pricing, and deposit maturities. In the scenarios presented, the Company also assumed gradual changes in interest rates during a twelve-month period as compared with the base scenario. Changes in amounts presented since December 31, 2022 reflect changes in portfolio composition (including shifts between noninterest-bearing and interest-bearing deposits and higher levels of borrowings), the level of market-implied forward interest rates and hedging actions taken by the Company. Amidst the rising rate environment since the first quarter of 2022, M&amp;T's cumulative deposit pricing beta,</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which is the change in deposit pricing in response to a change in market interest rates, approximated 40 percent. Excluding brokered deposits that cumulative pricing beta approximated 34 percent. The cumulative deposit pricing beta (including and excluding brokered deposits) is assumed to approximate 40 to 45 percent in the scenarios presented with interest rate increases and to approximate 35 to 40 percent in the scenarios presented with interest rate decreases.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Certain of the Company's earning assets, interest-bearing liabilities, preferred equity instruments and interest rate swap agreements at June 30, 2023 have contractual repricing terms that reference the London Interbank Offered Rate ("LIBOR"). The determination of LIBOR has effectively ceased after its final publication on June 30, 2023. In preparation for the elimination of LIBOR as a reference rate, the Company essentially had discontinued entering into LIBOR-based contracts at the end of 2021 and as of the end of the second quarter of 2023 has substantially completed its work engaging with customers and other counterparties to remediate LIBOR-based agreements which expire after June 30, 2023 by incorporating alternative language, negotiating new agreements, or other means. The Company's enterprise-wide LIBOR transition program has been and continues to be monitored by executive management as well as the Risk Committee of the Board of Directors.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At June 30, 2023 the Company had outstanding LIBOR-based commercial loans and leases and commercial real estate loans of $19.2 billion and residential mortgage and consumer loans of $445 million. Substantially all of those loans have been amended to include appropriate alternative language effective upon cessation of LIBOR publication and are planned to migrate to a new index (generally SOFR) at their next scheduled reset date, which except for an insignificant percentage of the Company's loan portfolio is expected to occur in the third quarter of 2023. Additionally, M&amp;T has approximately $483 million of variable rate junior subordinated debentures at June 30, 2023 that, as described in note 9 of Notes to Financial Statements in the Company's Form 10-K, will be indexed to SOFR beginning at their next scheduled reset date. M&amp;T also has certain issued and outstanding preferred stock for which dividends are declared and paid at a fixed rate until a determined future date at which time such dividends convert to a variable rate that previously would have been based on LIBOR, but will now be based on SOFR. Refer to note 10 of Notes to Financial Statements in the Company's Form 10K for information on the rates for dividends on each series of preferred stock. At June 30, 2023 many of the Company's interest rate swap agreements referenced LIBOR. In October 2020, the International Swaps and Derivatives Association, Inc. published the IBOR Fallbacks Supplement ("Supplement") and the IBOR Fallback Protocol ("Protocol"). The Protocol enables market participants to incorporate certain revisions into their legacy non-cleared derivative trades with other counterparties that also choose to adhere to the Protocol. M&amp;T adhered to the Protocol in November 2020. With respect to the Company's cleared interest rate swap agreements that reference LIBOR, clearinghouses have adopted the same SOFR benchmark alternatives of the Supplement and Protocol. Substantially all of the Company's LIBOR-based interest rate swap agreements at June 30, 2023 are expected to reset to a suitable alternative index, primarily SOFR, by the end of the third quarter of 2023.</w:t>
      </w:r>
    </w:p>
    <w:p>
      <w:pPr>
        <w:pStyle w:val="TextBody"/>
        <w:bidi w:val="0"/>
        <w:spacing w:before="120" w:after="0"/>
        <w:jc w:val="both"/>
        <w:rPr>
          <w:rFonts w:ascii="Times New Roman" w:hAnsi="Times New Roman"/>
          <w:sz w:val="20"/>
        </w:rPr>
      </w:pPr>
      <w:r>
        <w:rPr>
          <w:rFonts w:ascii="Times New Roman;serif" w:hAnsi="Times New Roman;serif"/>
          <w:b w:val="false"/>
          <w:sz w:val="23"/>
        </w:rPr>
        <w:t>As loans have matured and new originations occurred a larger percentage of the Company’s variable-rate loans reference SOFR or other indexes, including the Bloomberg Short Term Bank Yield Index (“BSBY”). At June 30, 2023 the Company had approximately $48.1 billion and $233 million of outstanding loan balances that reference SOFR and BSBY, respectively. Additionally, as of June 30, 2023, the Company had $20.7 billion of notional amounts of interest rate swap agreements entered into for hedging purposes, including $7.3 billion of forward-starting interest rate swap agreements and notional amounts of $24.5 billion of non-hedging derivative interest rate contracts that are referenced to SOFR. The Company’s usage of interest rate swap agreements referenced to SOFR or other alternative indexes is expected to increase in response to the discontinuation of LIBOR. The discontinuation of LIBOR and uncertainty relating to the emergence of alternative benchmark indexes to replace LIBOR could materially impact the Company's interest rate risk profile and its management thereof.</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In addition to the effect of interest rates, changes in fair value of the Company’s financial instruments can also result from a lack of trading activity for similar instruments in the financial markets. That impact is most notable 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values assigned to some of the Company’s investment securities. Information about the fair valuation of investment securities is presented in notes 3 and 12 of Notes to Financial Statements.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enters into interest rate and foreign exchange contracts to meet the financial needs of customers that it includes in its financial statements as other non-hedging derivatives within other assets and other liabilities. Financial instruments utilized for such activities consist predominantly of interest rate swap agreements and forward and futures contracts related to foreign currencies. The Company generally mitigates the foreign currency and interest rate risk associated with customer activities by entering into offsetting positions with third parties that are also included in other assets and other liabilities. The fair values of non-hedging derivative positions associated with interest rate contracts and foreign currency and other option and futures contracts are presented in note 10 of Notes to Financial Statements. As with any non-government guaranteed financial instrument, the Company is exposed to credit risk associated with counterparties to the Company’s non-hedging derivative activities. Although the notional amounts of these contracts are not recorded in the Consolidated Balance Sheet, the unsettled fair values of such financial instruments are recorded in the Consolidated Balance Sheet. The fair values of such non-hedging derivative assets and liabilities recognized on the Consolidated Balance Sheet were $313 million and $1.3 billion, respectively, at June 30, 2023 and $380 million and $1.3 billion, respectively, at December 31, 2022. The fair value asset and liability amounts at June 30, 2023 have been reduced by contractual settlements of $1.1 billion and $17 million, respectively, and at December 31, 2022 have been reduced by contractual settlements of $1.1 billion and $29 million, respectively. The values associated with the Company's non-hedging derivative activities at June 30, 2023 as compared with December 31, 2022 reflect changes in values associated with interest rate swap agreements entered into with commercial customers that are not subject to periodic variation margin settlement payments.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Trading account assets were $137 million at June 30, 2023, $118 million at December 31, 2022 and $134 million at June 30, 2022. Included in trading account assets were assets related to deferred compensation plans of $22 million at June 30, 2023, $23 million at December 31, 2022 and $17 million at June 30, 2022. Changes in the fair values of such assets are recorded as “trading account and other non-hedging derivative gains” in the Consolidated Statement of Income. Included in “other liabilities” in the Consolidated Balance Sheet at June 30, 2023 was $27 million of liabilities related to deferred compensation plans, compared with $29 million at December 31, 2022 and $22 million at June 30, 2022.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$83 million at June 30, 2023, $95 million at December 31, 2022 and $117 million at June 30,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Given the Company’s policies and positions, management believes that the potential loss exposure to the Company resulting from market risk associated with trading account and other non-hedging derivative activities was not material, however, as previously noted, the Company is exposed to credit risk associated with counterparties to transactions related to the Company’s actions to mitigate foreign currency and interest rate risk associated with customer activities. Additional information about the Company’s use of derivative financial instruments is included in note 10 of Notes to Financial Statements.</w:t>
      </w:r>
    </w:p>
    <w:p>
      <w:pPr>
        <w:pStyle w:val="TextBody"/>
        <w:bidi w:val="0"/>
        <w:spacing w:before="120" w:after="0"/>
        <w:jc w:val="left"/>
        <w:rPr>
          <w:rFonts w:ascii="Times New Roman;serif" w:hAnsi="Times New Roman;serif"/>
          <w:b/>
          <w:sz w:val="23"/>
        </w:rPr>
      </w:pPr>
      <w:r>
        <w:rPr>
          <w:rFonts w:ascii="Times New Roman;serif" w:hAnsi="Times New Roman;serif"/>
          <w:b/>
          <w:sz w:val="23"/>
        </w:rPr>
        <w:t>Provision for Credit Losses</w:t>
      </w:r>
    </w:p>
    <w:p>
      <w:pPr>
        <w:pStyle w:val="TextBody"/>
        <w:bidi w:val="0"/>
        <w:spacing w:before="120" w:after="0"/>
        <w:jc w:val="both"/>
        <w:rPr>
          <w:rFonts w:ascii="Times New Roman" w:hAnsi="Times New Roman"/>
          <w:sz w:val="20"/>
        </w:rPr>
      </w:pPr>
      <w:r>
        <w:rPr>
          <w:rFonts w:ascii="Times New Roman;serif" w:hAnsi="Times New Roman;serif"/>
          <w:b w:val="false"/>
          <w:sz w:val="23"/>
        </w:rPr>
        <w:t>A provision for credit losses is recorded to adjust the level of the allowance to reflect expected credit losses that are based on economic forecasts as of each reporting date. A provision for credit losses of $150 million was recorded in the second quarter of 2023, compared with $302 million in the year-earlier quarter and $120 million in the first quarter of 2023. The Company's estimates of expected credit losses at June 30, 2023 reflect an expected uptick in the unemployment rate, a brief retraction of economic activity measured by gross domestic product followed by growth, and a decline in residential real estate prices. Expected declines in commercial real estate values were forecasted to steepen and, in particular, concerns continue around the healthcare and office building sectors. The provision for credit losses in the second quarter of 2022 included $242 million on loans obtained in the acquisition of People's United not deemed to be purchased credit deteriorated ("PCD"). GAAP requires a provision for credit losses to be recorded related to those loans beyond the recognition of credit losses utilized in the determination of the estimated fair value of the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loans at the acquisition date. In addition to the recorded provision, the allowance for credit losses was also increased by $99 million in the second quarter of 2022 to reflect the expected credit losses on loans obtained in the acquisition of People's United deemed to be PCD. That addition represented an increase of the carrying values of loans identified as PCD at the time of the acquisition.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A summary of net charge-offs by loan type and as an annualized percentage of such average loans is presented in the table that follows.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CHARGE-OFFS (RECOVERIES)</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BY LOAN/LEASE TYPE</w:t>
      </w:r>
    </w:p>
    <w:tbl>
      <w:tblPr>
        <w:tblW w:w="10205" w:type="dxa"/>
        <w:jc w:val="left"/>
        <w:tblInd w:w="0" w:type="dxa"/>
        <w:tblLayout w:type="fixed"/>
        <w:tblCellMar>
          <w:top w:w="28" w:type="dxa"/>
          <w:left w:w="28" w:type="dxa"/>
          <w:bottom w:w="28" w:type="dxa"/>
          <w:right w:w="28" w:type="dxa"/>
        </w:tblCellMar>
      </w:tblPr>
      <w:tblGrid>
        <w:gridCol w:w="1329"/>
        <w:gridCol w:w="146"/>
        <w:gridCol w:w="253"/>
        <w:gridCol w:w="886"/>
        <w:gridCol w:w="166"/>
        <w:gridCol w:w="146"/>
        <w:gridCol w:w="329"/>
        <w:gridCol w:w="714"/>
        <w:gridCol w:w="271"/>
        <w:gridCol w:w="146"/>
        <w:gridCol w:w="242"/>
        <w:gridCol w:w="897"/>
        <w:gridCol w:w="166"/>
        <w:gridCol w:w="146"/>
        <w:gridCol w:w="308"/>
        <w:gridCol w:w="734"/>
        <w:gridCol w:w="271"/>
        <w:gridCol w:w="146"/>
        <w:gridCol w:w="242"/>
        <w:gridCol w:w="897"/>
        <w:gridCol w:w="166"/>
        <w:gridCol w:w="146"/>
        <w:gridCol w:w="329"/>
        <w:gridCol w:w="714"/>
        <w:gridCol w:w="415"/>
      </w:tblGrid>
      <w:tr>
        <w:trPr/>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3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15"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Quarter</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Quarter</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to-date</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vAlign w:val="center"/>
          </w:tcPr>
          <w:p>
            <w:pPr>
              <w:pStyle w:val="TableContents"/>
              <w:bidi w:val="0"/>
              <w:spacing w:before="0" w:after="0"/>
              <w:ind w:left="0" w:right="0" w:hanging="0"/>
              <w:jc w:val="center"/>
              <w:rPr/>
            </w:pPr>
            <w:r>
              <w:rPr/>
              <w:t> </w:t>
            </w:r>
          </w:p>
        </w:tc>
        <w:tc>
          <w:tcPr>
            <w:tcW w:w="415" w:type="dxa"/>
            <w:tcBorders/>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132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99,037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415" w:type="dxa"/>
            <w:tcBorders/>
            <w:vAlign w:val="center"/>
          </w:tcPr>
          <w:p>
            <w:pPr>
              <w:pStyle w:val="TableContents"/>
              <w:bidi w:val="0"/>
              <w:spacing w:before="0" w:after="0"/>
              <w:ind w:left="0" w:right="0" w:firstLine="200"/>
              <w:jc w:val="left"/>
              <w:rPr/>
            </w:pPr>
            <w:r>
              <w:rPr/>
              <w:t> </w:t>
            </w:r>
          </w:p>
        </w:tc>
      </w:tr>
      <w:tr>
        <w:trPr/>
        <w:tc>
          <w:tcPr>
            <w:tcW w:w="132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70,221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126,744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196,965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r>
      <w:tr>
        <w:trPr/>
        <w:tc>
          <w:tcPr>
            <w:tcW w:w="13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15"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 Quarter</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 Quarter (a)</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9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w:t>
              <w:br/>
              <w:t>to-date (a)</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Charge-Offs (Recoveries)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Percentage of Average Loans</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493"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43" w:type="dxa"/>
            <w:gridSpan w:val="2"/>
            <w:tcBorders/>
            <w:vAlign w:val="center"/>
          </w:tcPr>
          <w:p>
            <w:pPr>
              <w:pStyle w:val="TableContents"/>
              <w:bidi w:val="0"/>
              <w:spacing w:before="0" w:after="0"/>
              <w:ind w:left="0" w:right="0" w:hanging="0"/>
              <w:jc w:val="center"/>
              <w:rPr/>
            </w:pPr>
            <w:r>
              <w:rPr/>
              <w:t> </w:t>
            </w:r>
          </w:p>
        </w:tc>
        <w:tc>
          <w:tcPr>
            <w:tcW w:w="415" w:type="dxa"/>
            <w:tcBorders/>
            <w:vAlign w:val="center"/>
          </w:tcPr>
          <w:p>
            <w:pPr>
              <w:pStyle w:val="TableContents"/>
              <w:bidi w:val="0"/>
              <w:spacing w:before="0" w:after="0"/>
              <w:ind w:left="0" w:right="0" w:hanging="0"/>
              <w:jc w:val="center"/>
              <w:rPr/>
            </w:pPr>
            <w:r>
              <w:rPr/>
              <w:t> </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Commercial, financial, leasing, etc.</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43" w:type="dxa"/>
            <w:gridSpan w:val="2"/>
            <w:tcBorders/>
            <w:vAlign w:val="center"/>
          </w:tcPr>
          <w:p>
            <w:pPr>
              <w:pStyle w:val="TableContents"/>
              <w:bidi w:val="0"/>
              <w:spacing w:before="0" w:after="0"/>
              <w:ind w:left="0" w:right="0" w:hanging="0"/>
              <w:jc w:val="right"/>
              <w:rPr/>
            </w:pPr>
            <w:r>
              <w:rPr/>
              <w:t> </w:t>
            </w:r>
          </w:p>
        </w:tc>
        <w:tc>
          <w:tcPr>
            <w:tcW w:w="415" w:type="dxa"/>
            <w:tcBorders/>
            <w:vAlign w:val="center"/>
          </w:tcPr>
          <w:p>
            <w:pPr>
              <w:pStyle w:val="TableContents"/>
              <w:bidi w:val="0"/>
              <w:spacing w:before="0" w:after="0"/>
              <w:ind w:left="0" w:right="0" w:firstLine="200"/>
              <w:jc w:val="right"/>
              <w:rPr/>
            </w:pPr>
            <w:r>
              <w:rPr/>
              <w:t> </w:t>
            </w:r>
          </w:p>
        </w:tc>
      </w:tr>
      <w:tr>
        <w:trPr/>
        <w:tc>
          <w:tcPr>
            <w:tcW w:w="132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Commercial</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41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32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Residential</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vAlign w:val="center"/>
          </w:tcPr>
          <w:p>
            <w:pPr>
              <w:pStyle w:val="TableContents"/>
              <w:bidi w:val="0"/>
              <w:spacing w:before="0" w:after="0"/>
              <w:ind w:left="0" w:right="0" w:hanging="0"/>
              <w:jc w:val="left"/>
              <w:rPr/>
            </w:pPr>
            <w:r>
              <w:rPr/>
              <w:t> </w:t>
            </w:r>
          </w:p>
        </w:tc>
        <w:tc>
          <w:tcPr>
            <w:tcW w:w="734"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vAlign w:val="center"/>
          </w:tcPr>
          <w:p>
            <w:pPr>
              <w:pStyle w:val="TableContents"/>
              <w:bidi w:val="0"/>
              <w:spacing w:before="0" w:after="0"/>
              <w:ind w:left="0" w:right="0" w:hanging="0"/>
              <w:jc w:val="left"/>
              <w:rPr/>
            </w:pPr>
            <w:r>
              <w:rPr/>
              <w:t> </w:t>
            </w:r>
          </w:p>
        </w:tc>
        <w:tc>
          <w:tcPr>
            <w:tcW w:w="71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415" w:type="dxa"/>
            <w:tcBorders/>
            <w:vAlign w:val="center"/>
          </w:tcPr>
          <w:p>
            <w:pPr>
              <w:pStyle w:val="TableContents"/>
              <w:bidi w:val="0"/>
              <w:spacing w:before="0" w:after="0"/>
              <w:ind w:left="0" w:right="0" w:hanging="0"/>
              <w:jc w:val="left"/>
              <w:rPr/>
            </w:pPr>
            <w:r>
              <w:rPr/>
              <w:t> </w:t>
            </w:r>
          </w:p>
        </w:tc>
      </w:tr>
      <w:tr>
        <w:trPr/>
        <w:tc>
          <w:tcPr>
            <w:tcW w:w="13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Consumer</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49,569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56,436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jc w:val="both"/>
        <w:rPr>
          <w:rFonts w:ascii="Times New Roman;serif" w:hAnsi="Times New Roman;serif"/>
          <w:b w:val="false"/>
          <w:i/>
          <w:sz w:val="16"/>
        </w:rPr>
      </w:pPr>
      <w:r>
        <w:rPr>
          <w:rFonts w:ascii="Times New Roman;serif" w:hAnsi="Times New Roman;serif"/>
          <w:b w:val="false"/>
          <w:i/>
          <w:sz w:val="16"/>
        </w:rPr>
        <w:t>For the three and six months ended June 30, 2022, net charge-offs do not reflect $33 million of charge-offs related to PCD acquired loans.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charge-offs of commercial loans in the second quarter of 2023 reflect a $9 million recovery of a previously charged off loan to a skilled nursing facility. There were no individually notable commercial loan charge-offs or recoveries in the first quarter of 2023. Net charge-offs of commercial loans in the year-earlier quarter reflected a $23 million charge-off of a loan to a consumer products manufacturer. The net charge-offs of commercial real estate loans in the second quarter of 2023 reflect a $38 million charge-off of a loan secured by a multi-tenant office and retail building in New York City, a $28 million charge-off of eight loans related to a single operator of multiple healthcare facilities located in New York, Vermont, and Rhode Island, a $13 million charge-off of a loan secured by a multi-tenant office and retail building in Massachusetts, and a $12 million charge-off to a real estate development and management company in the mid-Atlantic region. There were no notable charge-offs or recoveries of commercial real estate loans in the second quarter of 2022. Net charge-offs of commercial real estate loans in the first quarter of 2023 included an $18 million net charge-off of a loan secured by a multi-tenant office and retail building in New York City and a $9 million charge-off of a loan to a real estate development and management company in the mid-Atlantic region. Included in net charge-offs of consumer loans were: net charge-offs of automobile loans of less than $1 million in the recent quarter and $2 million in the first quarter of 2023, compared with net recoveries of $1 million in the second quarter of 2022; net charge-offs of recreational finance loans of $10 million in the second quarter of 2023, $7 million in the year-earlier quarter and $11 million in the first quarter of 2023; and net charge-offs associated with other consumer loans including credit cards and installment loans that totaled $14 million in the recent quarter, $7 million in the year-earlier quarter and $17 million in the first quarter of 2023.</w:t>
      </w:r>
    </w:p>
    <w:p>
      <w:pPr>
        <w:pStyle w:val="TextBody"/>
        <w:bidi w:val="0"/>
        <w:spacing w:before="240" w:after="0"/>
        <w:jc w:val="center"/>
        <w:rPr>
          <w:rFonts w:ascii="Times New Roman" w:hAnsi="Times New Roman"/>
          <w:sz w:val="20"/>
        </w:rPr>
      </w:pPr>
      <w:r>
        <w:rPr>
          <w:rFonts w:ascii="Times New Roman;serif" w:hAnsi="Times New Roman;serif"/>
          <w:b w:val="false"/>
          <w:sz w:val="20"/>
        </w:rPr>
        <w:t>- 63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Nonaccrual loans aggregated $2.4 billion or 1.83% of total loans and leases outstanding at June 30, 2023, compared with $2.6 billion or 2.05% at June 30, 2022 and $2.4 billion or 1.85% at December 31, 2022, and $2.6 billion or 1.92% at March 31, 2023. Loans obtained in the acquisition of People's United that have been classified as nonaccrual totaled $570 million at June 30, 2023, $545 million at June 30, 2022, $572 million at December 31, 2022, and $605 million at March 31, 2023. The level of nonaccrual loans reflects the continuing impact of economic conditions on borrowers’ abilities to make contractual payments on their loans, most notably commercial real estate loans in the retail, office, healthcare and hospitality sectors.</w:t>
      </w:r>
    </w:p>
    <w:p>
      <w:pPr>
        <w:pStyle w:val="TextBody"/>
        <w:bidi w:val="0"/>
        <w:spacing w:before="120" w:after="0"/>
        <w:jc w:val="both"/>
        <w:rPr>
          <w:rFonts w:ascii="Times New Roman" w:hAnsi="Times New Roman"/>
          <w:sz w:val="20"/>
        </w:rPr>
      </w:pPr>
      <w:r>
        <w:rPr>
          <w:rFonts w:ascii="Times New Roman;serif" w:hAnsi="Times New Roman;serif"/>
          <w:b w:val="false"/>
          <w:sz w:val="23"/>
        </w:rPr>
        <w:t>Accruing loans past due 90 days or more were $380 million or .29% of loans and leases at June 30, 2023, compared with $524 million or .41% at June 30, 2022, $491 million or .37% at December 31, 2022 and $407 million or .31% at March 31, 2023. Approximately 75% of accruing loans past due 90 days or more were residential real estate loans and included in that population were loans guaranteed by government-related entities of $294 million, $468 million, $363 million, and $306 million at June 30, 2023, June 30, 2022, December 31, 2022 and March 31, 2023, respectively. The lower balances reported since June 30, 2022 reflect residential real estate loans guaranteed by government-related entities receiving payment deferrals during the COVID-19 pandemic, but ineligible for treatment under the CARES Act, that subsequently exited those arrangements and became less than 90 days past due.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included in the amounts noted above that are guaranteed by government-related entities totaled $223 million</w:t>
      </w:r>
      <w:r>
        <w:rPr>
          <w:rFonts w:ascii="Times New Roman" w:hAnsi="Times New Roman"/>
          <w:sz w:val="20"/>
        </w:rPr>
        <w:t xml:space="preserve"> </w:t>
      </w:r>
      <w:r>
        <w:rPr>
          <w:rFonts w:ascii="Times New Roman;serif" w:hAnsi="Times New Roman;serif"/>
          <w:b w:val="false"/>
          <w:sz w:val="23"/>
        </w:rPr>
        <w:t>at June 30, 2023, $435 million at June 30, 2022, $294 million at December 31, 2022, and $242 million at March 31, 2023. The remaining accruing loans past due 90 days or more not guaranteed by government-related entities were loans considered to be with creditworthy borrowers that were in the process of collection or renewal.</w:t>
      </w:r>
    </w:p>
    <w:p>
      <w:pPr>
        <w:pStyle w:val="TextBody"/>
        <w:bidi w:val="0"/>
        <w:spacing w:before="120" w:after="0"/>
        <w:jc w:val="both"/>
        <w:rPr>
          <w:rFonts w:ascii="Times New Roman" w:hAnsi="Times New Roman"/>
          <w:sz w:val="20"/>
        </w:rPr>
      </w:pPr>
      <w:r>
        <w:rPr>
          <w:rFonts w:ascii="Times New Roman;serif" w:hAnsi="Times New Roman;serif"/>
          <w:b w:val="false"/>
          <w:sz w:val="23"/>
        </w:rPr>
        <w:t>Loans that were 30-89 days past due were $1.7 billion at June 30, 2023, or 1.24% of total loans outstanding, $952 million or .74% of total loans outstanding at June 30, 2022, $1.8 billion or 1.35% of total loans outstanding at December 31, 2022, and $1.9 billion or 1.42% of total loans outstanding at March 31, 2023. At June 30, 2023, 75% of loans 30-89 days past due were less than 60 days delinquent. Loans subject to COVID-19 related payment deferrals were classified as current in accordance with regulatory guidance and, as a result, did not contribute to past due loan categories in earlier periods. Information about delinquent loans at June 30, 2023 and December 31, 2022 is included in note 4 of Notes to Financial Statements.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During the normal course of business, the Company modifies loans to maximize recovery efforts. The types of modifications that the Company grants typically include principal deferrals and interest rate reductions but may also include other types of modifications. The Company may offer such modified terms to borrowers experiencing financial difficulty. Such modified loans may be considered nonaccrual if the Company does not expect to collect the contractual cash flows owed under the loan agreement. Information about modifications of loans to borrowers experiencing financial difficulty is included in note 4 of Notes to Financial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- 64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Commercial loans and leases classified as nonaccrual totaled $416 million, $442 million, $347 million and $382 million at June 30, 2023, June 30, 2022, December 31, 2022 and March 31, 2023, respectively. Commercial real estate loans in nonaccrual status aggregated $1.5 billion at June 30, 2023, $1.6 billion at June 30, 2022, $1.5 billion at December 31, 2022 and $1.7 billion at March 31, 2023. Commercial real estate loans in nonaccrual status were largely reflective of loans in the retail, office, healthcare and hospitality sectors. Commercial loans and leases and commercial real estate loans acquired from People's United and classified as nonaccrual totaled $96 million and $418 million, respectively, at June 30, 2023, $188 million and $312 million, respectively, at June 30, 2022, $118 million and $401 million, respectively, at December 31, 2022 and $96 million and $456 million, respectively, at March 31,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Nonaccrual residential real estate loans totaled $305 million at June 30, 2023, compared with $444 million at June 30, 2022, $350 million at December 31, 2022 and $323 million at March 31, 2023. The lower balance of nonaccrual residential real estate loans at the three most recent quarter-ends as compared with June 30, 2022 is reflective of improved customer repayment performance in current economic conditions. Residential real estate loans obtained in the acquisition of People's United and classified as nonaccrual aggregated $39 million at June 30, 2023, $35 million at June 30, 2022, $36 million at December 31, 2022 and $37 million at March 31, 2023. Included in residential real estate loans classified as nonaccrual were limited documentation first mortgage loans of $67 million at June 30, 2023, compared with $113 million at June 30, 2022, $78 million at December 31, 2022 and $69 million at March 31, 2023. Limited documentation first mortgage loans represent loans secured by residential real estate that at origination typically included some form of limited borrower documentation requirements as compared with more traditional loans. The Company no longer originates limited documentation loans. Residential real estate loans past due 90 days or more and accruing interest aggregated $284 million at June 30, 2023, compared with $474 million at June 30, 2022, $345 million at December 31, 2022 and $293 million at March 31, 2023. Those amounts related predominantly to government-guaranteed loans. The lower balances at June 30, 2023, December 31, 2022 and March 31, 2023 as compared with the 2022's second quarter reflect improved borrower repayment performance. Information about the location of nonaccrual and charged-off residential real estate loans as of and for the quarter ended June 30, 2023 is presented in the accompanying table.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Nonaccrual consumer loans were $184 million at June 30, 2023, $196 million at June 30, 2022, $218 million at December 31, 2022 and $189 million at March 31, 2023. Included in nonaccrual consumer loans at June 30, 2023, June 30, 2022, December 31, 2022 and March 31, 2023 were: automobile loans of $22 million, $36 million, $40 million and $27 million, respectively; recreational finance loans of $32 million, $33 million, $45 million and $34 million, respectively; and outstanding balances of home equity loans and lines of credit of $77 million, $79 million, $85 million and $81 million, respectively. Consumer loans acquired from People's United and classified as nonaccrual were $16 million at each of June 30, 2023 and March 31, 2023 and totaled $10 million and $17 million at June 30, 2022 and December 31, 2022, respectively, and consisted predominantly of home equity loans and lines of credit. Information about the location of nonaccrual and charged-off home equity loans and lines of credit as of and for the quarter ended June 30, 2023 is presented in the accompanying table.</w:t>
      </w:r>
    </w:p>
    <w:p>
      <w:pPr>
        <w:pStyle w:val="TextBody"/>
        <w:bidi w:val="0"/>
        <w:spacing w:before="240" w:after="0"/>
        <w:jc w:val="center"/>
        <w:rPr>
          <w:rFonts w:ascii="Times New Roman" w:hAnsi="Times New Roman"/>
          <w:sz w:val="20"/>
        </w:rPr>
      </w:pPr>
      <w:r>
        <w:rPr>
          <w:rFonts w:ascii="Times New Roman;serif" w:hAnsi="Times New Roman;serif"/>
          <w:b w:val="false"/>
          <w:sz w:val="20"/>
        </w:rPr>
        <w:t>- 65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Information about past due and nonaccrual loans as of June 30, 2023 and December 31, 2022 is also included in note 4 of Notes to Financial Statements.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SELECTED RESIDENTIAL REAL ESTATE-RELATED LOAN DATA</w:t>
      </w:r>
    </w:p>
    <w:tbl>
      <w:tblPr>
        <w:tblW w:w="10097" w:type="dxa"/>
        <w:jc w:val="left"/>
        <w:tblInd w:w="0" w:type="dxa"/>
        <w:tblLayout w:type="fixed"/>
        <w:tblCellMar>
          <w:top w:w="28" w:type="dxa"/>
          <w:left w:w="28" w:type="dxa"/>
          <w:bottom w:w="28" w:type="dxa"/>
          <w:right w:w="28" w:type="dxa"/>
        </w:tblCellMar>
      </w:tblPr>
      <w:tblGrid>
        <w:gridCol w:w="3166"/>
        <w:gridCol w:w="146"/>
        <w:gridCol w:w="196"/>
        <w:gridCol w:w="916"/>
        <w:gridCol w:w="146"/>
        <w:gridCol w:w="146"/>
        <w:gridCol w:w="196"/>
        <w:gridCol w:w="691"/>
        <w:gridCol w:w="146"/>
        <w:gridCol w:w="146"/>
        <w:gridCol w:w="206"/>
        <w:gridCol w:w="725"/>
        <w:gridCol w:w="241"/>
        <w:gridCol w:w="146"/>
        <w:gridCol w:w="146"/>
        <w:gridCol w:w="229"/>
        <w:gridCol w:w="668"/>
        <w:gridCol w:w="194"/>
        <w:gridCol w:w="170"/>
        <w:gridCol w:w="276"/>
        <w:gridCol w:w="655"/>
        <w:gridCol w:w="54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2" w:type="dxa"/>
            <w:gridSpan w:val="6"/>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Quarter Ended</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51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June 30, 2023</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1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Nonaccrual</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Net Charge-offs (Recoveries)</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center"/>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Annualized</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Percent of</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Percent of</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Average</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Outstanding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Outstanding</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Outstanding</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Balances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Balances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Balances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Balances</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Balances</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39" w:type="dxa"/>
            <w:gridSpan w:val="19"/>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(Dollars in thousands)</w:t>
            </w:r>
          </w:p>
        </w:tc>
        <w:tc>
          <w:tcPr>
            <w:tcW w:w="54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Residential mortgages: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York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6,821,113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260</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Mid-Atlantic (a)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6,779,605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71,460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(1,191</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England (b)</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6,149,687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2,974,012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(430</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22,724,417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234,175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(1,400</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Residential construction loans: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York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Mid-Atlantic (a)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England (b)</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pPr>
            <w:r>
              <w:rPr/>
              <w:t>—</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46,632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Limited documentation first lien mortgages: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York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453,315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Mid-Atlantic (a)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England (b)</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pPr>
            <w:r>
              <w:rPr/>
              <w:t>—</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991,168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66,614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First lien home equity loans and lines of </w:t>
              <w:br/>
              <w:t>   credit:</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York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914,405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Mid-Atlantic (a)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1,063,871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England (b)</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506,062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94"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546" w:type="dxa"/>
            <w:tcBorders/>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2,498,670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Junior lien home equity loans and lines of </w:t>
              <w:br/>
              <w:t>   credit:</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546" w:type="dxa"/>
            <w:tcBorders/>
            <w:vAlign w:val="center"/>
          </w:tcPr>
          <w:p>
            <w:pPr>
              <w:pStyle w:val="TableContents"/>
              <w:bidi w:val="0"/>
              <w:spacing w:before="0" w:after="0"/>
              <w:ind w:left="0" w:right="0" w:firstLine="200"/>
              <w:jc w:val="righ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York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755,274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Mid-Atlantic (a)</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890,964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New England (b)</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607,772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72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19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 </w:t>
            </w:r>
          </w:p>
        </w:tc>
        <w:tc>
          <w:tcPr>
            <w:tcW w:w="6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546"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546"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66" w:type="dxa"/>
            <w:tcBorders/>
            <w:vAlign w:val="center"/>
          </w:tcPr>
          <w:p>
            <w:pPr>
              <w:pStyle w:val="TableContents"/>
              <w:bidi w:val="0"/>
              <w:spacing w:before="0" w:after="0"/>
              <w:ind w:left="200" w:right="0" w:hanging="0"/>
              <w:jc w:val="left"/>
              <w:rPr/>
            </w:pPr>
            <w:r>
              <w:rPr/>
              <w:t> </w:t>
            </w: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2,274,420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35,650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(476</w:t>
            </w:r>
          </w:p>
        </w:tc>
        <w:tc>
          <w:tcPr>
            <w:tcW w:w="1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0" w:type="dxa"/>
            <w:tcBorders/>
            <w:vAlign w:val="center"/>
          </w:tcPr>
          <w:p>
            <w:pPr>
              <w:pStyle w:val="TableContents"/>
              <w:bidi w:val="0"/>
              <w:spacing w:before="0" w:after="0"/>
              <w:ind w:left="0" w:right="0" w:hanging="0"/>
              <w:jc w:val="left"/>
              <w:rPr/>
            </w:pPr>
            <w:r>
              <w:rPr/>
              <w:t> </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5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sz w:val="16"/>
        </w:rPr>
      </w:pPr>
      <w:r>
        <w:rPr>
          <w:rFonts w:ascii="Times New Roman" w:hAnsi="Times New Roman"/>
          <w:b w:val="false"/>
          <w:sz w:val="16"/>
        </w:rPr>
        <w:t>(a)</w:t>
      </w:r>
    </w:p>
    <w:p>
      <w:pPr>
        <w:pStyle w:val="TextBody"/>
        <w:bidi w:val="0"/>
        <w:spacing w:before="40" w:after="0"/>
        <w:jc w:val="both"/>
        <w:rPr>
          <w:rFonts w:ascii="Times New Roman;serif" w:hAnsi="Times New Roman;serif"/>
          <w:b w:val="false"/>
          <w:i/>
          <w:sz w:val="16"/>
        </w:rPr>
      </w:pPr>
      <w:r>
        <w:rPr>
          <w:rFonts w:ascii="Times New Roman;serif" w:hAnsi="Times New Roman;serif"/>
          <w:b w:val="false"/>
          <w:i/>
          <w:sz w:val="16"/>
        </w:rPr>
        <w:t>Includes Delaware, Maryland, New Jersey, Pennsylvania, Virginia, West Virginia and the District of Columbia.</w:t>
      </w:r>
    </w:p>
    <w:p>
      <w:pPr>
        <w:pStyle w:val="TextBody"/>
        <w:bidi w:val="0"/>
        <w:spacing w:before="40" w:after="0"/>
        <w:jc w:val="both"/>
        <w:rPr>
          <w:rFonts w:ascii="Times New Roman" w:hAnsi="Times New Roman"/>
          <w:b w:val="false"/>
          <w:sz w:val="16"/>
        </w:rPr>
      </w:pPr>
      <w:r>
        <w:rPr>
          <w:rFonts w:ascii="Times New Roman" w:hAnsi="Times New Roman"/>
          <w:b w:val="false"/>
          <w:sz w:val="16"/>
        </w:rPr>
        <w:t>(b)</w:t>
      </w:r>
    </w:p>
    <w:p>
      <w:pPr>
        <w:pStyle w:val="TextBody"/>
        <w:bidi w:val="0"/>
        <w:spacing w:before="40" w:after="283"/>
        <w:jc w:val="both"/>
        <w:rPr>
          <w:rFonts w:ascii="Times New Roman;serif" w:hAnsi="Times New Roman;serif"/>
          <w:b w:val="false"/>
          <w:i/>
          <w:sz w:val="16"/>
        </w:rPr>
      </w:pPr>
      <w:r>
        <w:rPr>
          <w:rFonts w:ascii="Times New Roman;serif" w:hAnsi="Times New Roman;serif"/>
          <w:b w:val="false"/>
          <w:i/>
          <w:sz w:val="16"/>
        </w:rPr>
        <w:t>Includes Connecticut, Maine, Massachusetts, New Hampshire, Rhode Island and Vermont.</w:t>
      </w:r>
    </w:p>
    <w:p>
      <w:pPr>
        <w:pStyle w:val="TextBody"/>
        <w:bidi w:val="0"/>
        <w:spacing w:before="120" w:after="0"/>
        <w:jc w:val="both"/>
        <w:rPr>
          <w:rFonts w:ascii="Times New Roman" w:hAnsi="Times New Roman"/>
          <w:sz w:val="20"/>
        </w:rPr>
      </w:pPr>
      <w:r>
        <w:rPr>
          <w:rFonts w:ascii="Times New Roman;serif" w:hAnsi="Times New Roman;serif"/>
          <w:b w:val="false"/>
          <w:sz w:val="23"/>
        </w:rPr>
        <w:t>Real estate and other foreclosed assets totaled $43 million at June 30, 2023, compared with $29 million at June 30, 2022, $41 million at December 31, 2022 and $45 million at March 31, 2023. Net gains or losses associated with real estate and other foreclosed assets were not material during the three months ended June 30, 2023, June 30, 2022 and March 31, 2023. At June 30, 2023, foreclosed assets are comprised predominantly of residential real estate-related properties.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A comparative summary of nonperforming assets and certain past due loan data and credit quality ratios is presented in the accompanying table.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NONPERFORMING ASSET AND PAST DUE LOAN DATA</w:t>
      </w:r>
    </w:p>
    <w:tbl>
      <w:tblPr>
        <w:tblW w:w="10205" w:type="dxa"/>
        <w:jc w:val="left"/>
        <w:tblInd w:w="0" w:type="dxa"/>
        <w:tblLayout w:type="fixed"/>
        <w:tblCellMar>
          <w:top w:w="28" w:type="dxa"/>
          <w:left w:w="28" w:type="dxa"/>
          <w:bottom w:w="28" w:type="dxa"/>
          <w:right w:w="28" w:type="dxa"/>
        </w:tblCellMar>
      </w:tblPr>
      <w:tblGrid>
        <w:gridCol w:w="2550"/>
        <w:gridCol w:w="146"/>
        <w:gridCol w:w="211"/>
        <w:gridCol w:w="931"/>
        <w:gridCol w:w="271"/>
        <w:gridCol w:w="146"/>
        <w:gridCol w:w="146"/>
        <w:gridCol w:w="931"/>
        <w:gridCol w:w="271"/>
        <w:gridCol w:w="146"/>
        <w:gridCol w:w="146"/>
        <w:gridCol w:w="931"/>
        <w:gridCol w:w="271"/>
        <w:gridCol w:w="146"/>
        <w:gridCol w:w="146"/>
        <w:gridCol w:w="931"/>
        <w:gridCol w:w="271"/>
        <w:gridCol w:w="146"/>
        <w:gridCol w:w="146"/>
        <w:gridCol w:w="931"/>
        <w:gridCol w:w="391"/>
      </w:tblGrid>
      <w:tr>
        <w:trPr/>
        <w:tc>
          <w:tcPr>
            <w:tcW w:w="2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Quarters</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0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 Quarters</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Fourth</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Third</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5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18"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(Dollars in thousands)</w:t>
            </w:r>
          </w:p>
        </w:tc>
        <w:tc>
          <w:tcPr>
            <w:tcW w:w="391" w:type="dxa"/>
            <w:tcBorders/>
            <w:vAlign w:val="center"/>
          </w:tcPr>
          <w:p>
            <w:pPr>
              <w:pStyle w:val="TableContents"/>
              <w:bidi w:val="0"/>
              <w:spacing w:before="0" w:after="0"/>
              <w:ind w:left="0" w:right="0" w:hanging="0"/>
              <w:jc w:val="center"/>
              <w:rPr/>
            </w:pPr>
            <w:r>
              <w:rPr/>
              <w:t> </w:t>
            </w:r>
          </w:p>
        </w:tc>
      </w:tr>
      <w:tr>
        <w:trPr/>
        <w:tc>
          <w:tcPr>
            <w:tcW w:w="2550"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Nonaccrual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2,435,581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2,556,799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2,438,435</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2,429,326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2,633,005</w:t>
            </w:r>
          </w:p>
        </w:tc>
        <w:tc>
          <w:tcPr>
            <w:tcW w:w="391" w:type="dxa"/>
            <w:tcBorders/>
            <w:vAlign w:val="center"/>
          </w:tcPr>
          <w:p>
            <w:pPr>
              <w:pStyle w:val="TableContents"/>
              <w:bidi w:val="0"/>
              <w:spacing w:before="0" w:after="0"/>
              <w:ind w:left="0" w:right="0" w:hanging="0"/>
              <w:jc w:val="left"/>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Real estate and other foreclosed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42,720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44,567</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41,375</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37,031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28,692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nonperforming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2,478,301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2,601,366</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2,479,810</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2,466,357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2,661,697</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Accruing loans past due 90 days or more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380,079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407,457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491,018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476,503</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523,662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Government guaranteed loans included in totals above:</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5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Nonaccrual loans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39,846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42,102</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43,536</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44,797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46,937</w:t>
            </w:r>
          </w:p>
        </w:tc>
        <w:tc>
          <w:tcPr>
            <w:tcW w:w="391" w:type="dxa"/>
            <w:tcBorders/>
            <w:vAlign w:val="center"/>
          </w:tcPr>
          <w:p>
            <w:pPr>
              <w:pStyle w:val="TableContents"/>
              <w:bidi w:val="0"/>
              <w:spacing w:before="0" w:after="0"/>
              <w:ind w:left="0" w:right="0" w:hanging="0"/>
              <w:jc w:val="left"/>
              <w:rPr/>
            </w:pPr>
            <w:r>
              <w:rPr/>
              <w:t> </w:t>
            </w:r>
          </w:p>
        </w:tc>
      </w:tr>
      <w:tr>
        <w:trPr/>
        <w:tc>
          <w:tcPr>
            <w:tcW w:w="2550"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Accruing loans past due 90 days or more (a)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294,184</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306,049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363,409</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423,371</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467,834</w:t>
            </w:r>
          </w:p>
        </w:tc>
        <w:tc>
          <w:tcPr>
            <w:tcW w:w="391" w:type="dxa"/>
            <w:tcBorders/>
            <w:vAlign w:val="center"/>
          </w:tcPr>
          <w:p>
            <w:pPr>
              <w:pStyle w:val="TableContents"/>
              <w:bidi w:val="0"/>
              <w:spacing w:before="0" w:after="0"/>
              <w:ind w:left="0" w:right="0" w:firstLine="200"/>
              <w:jc w:val="left"/>
              <w:rPr/>
            </w:pPr>
            <w:r>
              <w:rPr/>
              <w:t> </w:t>
            </w:r>
          </w:p>
        </w:tc>
      </w:tr>
      <w:tr>
        <w:trPr/>
        <w:tc>
          <w:tcPr>
            <w:tcW w:w="2550" w:type="dxa"/>
            <w:tcBorders/>
            <w:vAlign w:val="center"/>
          </w:tcPr>
          <w:p>
            <w:pPr>
              <w:pStyle w:val="TableContents"/>
              <w:bidi w:val="0"/>
              <w:spacing w:before="0" w:after="0"/>
              <w:ind w:left="2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Nonaccrual loans to total loans and leases, net of </w:t>
              <w:br/>
              <w:t>   unearned discount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Nonperforming assets to total net loans and </w:t>
              <w:br/>
              <w:t>   leases and real estate and other foreclosed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5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Accruing loans past due 90 days or more to</w:t>
              <w:br/>
              <w:t>   total loans and leases, net of unearned discount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(a)</w:t>
      </w:r>
    </w:p>
    <w:p>
      <w:pPr>
        <w:pStyle w:val="TextBody"/>
        <w:bidi w:val="0"/>
        <w:spacing w:before="40" w:after="283"/>
        <w:jc w:val="both"/>
        <w:rPr>
          <w:rFonts w:ascii="Times New Roman;serif" w:hAnsi="Times New Roman;serif"/>
          <w:b w:val="false"/>
          <w:i/>
          <w:sz w:val="16"/>
        </w:rPr>
      </w:pPr>
      <w:r>
        <w:rPr>
          <w:rFonts w:ascii="Times New Roman;serif" w:hAnsi="Times New Roman;serif"/>
          <w:b w:val="false"/>
          <w:i/>
          <w:sz w:val="16"/>
        </w:rPr>
        <w:t xml:space="preserve">Predominantly residential real estate loans. </w:t>
      </w:r>
    </w:p>
    <w:p>
      <w:pPr>
        <w:pStyle w:val="TextBody"/>
        <w:bidi w:val="0"/>
        <w:spacing w:before="120" w:after="0"/>
        <w:jc w:val="both"/>
        <w:rPr>
          <w:rFonts w:ascii="Times New Roman" w:hAnsi="Times New Roman"/>
          <w:sz w:val="20"/>
        </w:rPr>
      </w:pPr>
      <w:r>
        <w:rPr>
          <w:rFonts w:ascii="Times New Roman;serif" w:hAnsi="Times New Roman;serif"/>
          <w:b w:val="false"/>
          <w:sz w:val="23"/>
        </w:rPr>
        <w:t>Management determines the allowance for credit losses under accounting guidance that requires estimating the amount of current expected credit losses over the remaining contractual term of the loan and lease portfolio. A description of the methodologies used by the Company to estimate its allowance for credit losses can be found in note 4 of Notes to Financial Statements.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In establishing the allowance for credit losses, the Company estimates losses attributable to specific troubled credits identified through both normal and targeted credit review processes and also estimates losses for other loans and leases with similar risk characteristics on a collective basis. For purposes of determining the level of the allowance for credit losses, the Company evaluates its loan and lease portfolio by type. At the time of the Company’s analysis regarding the determination of the allowance for credit losses as of June 30, 2023 concerns existed about elevated levels of inflation; fears of liquidity shortages in the financial services markets and a slowing economy or possible recession in coming quarters; the volatile nature of global markets and international economic conditions that could impact the U.S. economy; Federal Reserve positioning of monetary policy; downward pressures on commercial and residential real estate values especially in the office and healthcare sectors; ongoing supply chain issues and wage pressures impacting commercial borrowers; the extent to which borrowers, in particular commercial real estate borrowers, may be negatively affected by general economic conditions; and continued stagnant population and economic growth in the upstate New York and central Pennsylvania regions (approximately 37% of the Company’s loans and leases are to customers in New York State and Pennsylvania) that historically lag other regions of the country. The Company utilizes a loan grading system to differentiate risk amongst its commercial loans and commercial real estate loans. Loans with a lower expectation of default are assigned one of ten possible “pass” loan grades while specific loans determined to have an elevated level of credit risk are classified as “criticized.” A criticized loan may be classified as “nonaccrual” if the Company no longer expects to collect all amounts according to the contractual terms of the loan agreement or the loan is delinquent 90 days or more. Criticized commercial loans and commercial real estate loans totaled $10.5 billion, including $2.2 billion of loans acquired from People's United, at June 30, 2023, compared with $11.6 billion, including $2.8 billion acquired from People's United at June 30, 2022, and $10.7 billion, including $2.5 billion of loans acquired from People's United, at December 31, 2022, and $10.6 billion, including $2.5 billion of loans acquired from People's United, at March 31, 2023. Despite improved economic conditions during 2022 as pandemic-related restrictions were lifted and consumer spending increased, the business climate through the first half of 2023 continues to be subjected to inflationary pressures, supply chain constraints, rising interest rates and liquidity concerns. The level of criticized loans remains reflective of the impact of current conditions on many borrowers, particularly those with investor-owned commercial real estate loans in the hotel, office,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retail and healthcare sectors. Investor-owned commercial real estate loans comprised $7.6 billion or 72% of total criticized loans at June 30, 2023. The weighted-average loan-to-value (“LTV”) ratio for investor-owned commercial real estate properties was approximately 56%. Criticized loans secured by investor-owned commercial real estate had a weighted-average LTV ratio of approximately 62%.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accompanying tables summarize the outstanding balances of commercial loans and leases and commercial real estate loans by industry or property type at June 30, 2023 and December 31,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COMMERCIAL LOANS AND LEASES, NET OF UNEARNED DISCOUNT</w:t>
      </w:r>
    </w:p>
    <w:p>
      <w:pPr>
        <w:pStyle w:val="TextBody"/>
        <w:bidi w:val="0"/>
        <w:spacing w:before="0" w:after="0"/>
        <w:jc w:val="both"/>
        <w:rPr>
          <w:rFonts w:ascii="Times New Roman;serif" w:hAnsi="Times New Roman;serif"/>
          <w:b w:val="false"/>
          <w:i/>
          <w:sz w:val="23"/>
        </w:rPr>
      </w:pPr>
      <w:r>
        <w:rPr>
          <w:rFonts w:ascii="Times New Roman;serif" w:hAnsi="Times New Roman;serif"/>
          <w:b w:val="false"/>
          <w:i/>
          <w:sz w:val="23"/>
        </w:rPr>
        <w:t>(Excludes Loans Secured by Real Estate)</w:t>
      </w:r>
    </w:p>
    <w:tbl>
      <w:tblPr>
        <w:tblW w:w="10861" w:type="dxa"/>
        <w:jc w:val="left"/>
        <w:tblInd w:w="0" w:type="dxa"/>
        <w:tblLayout w:type="fixed"/>
        <w:tblCellMar>
          <w:top w:w="28" w:type="dxa"/>
          <w:left w:w="28" w:type="dxa"/>
          <w:bottom w:w="28" w:type="dxa"/>
          <w:right w:w="28" w:type="dxa"/>
        </w:tblCellMar>
      </w:tblPr>
      <w:tblGrid>
        <w:gridCol w:w="1186"/>
        <w:gridCol w:w="146"/>
        <w:gridCol w:w="146"/>
        <w:gridCol w:w="247"/>
        <w:gridCol w:w="759"/>
        <w:gridCol w:w="146"/>
        <w:gridCol w:w="146"/>
        <w:gridCol w:w="224"/>
        <w:gridCol w:w="587"/>
        <w:gridCol w:w="146"/>
        <w:gridCol w:w="146"/>
        <w:gridCol w:w="324"/>
        <w:gridCol w:w="622"/>
        <w:gridCol w:w="146"/>
        <w:gridCol w:w="146"/>
        <w:gridCol w:w="224"/>
        <w:gridCol w:w="587"/>
        <w:gridCol w:w="146"/>
        <w:gridCol w:w="146"/>
        <w:gridCol w:w="247"/>
        <w:gridCol w:w="759"/>
        <w:gridCol w:w="146"/>
        <w:gridCol w:w="146"/>
        <w:gridCol w:w="224"/>
        <w:gridCol w:w="587"/>
        <w:gridCol w:w="146"/>
        <w:gridCol w:w="146"/>
        <w:gridCol w:w="324"/>
        <w:gridCol w:w="622"/>
        <w:gridCol w:w="146"/>
        <w:gridCol w:w="146"/>
        <w:gridCol w:w="224"/>
        <w:gridCol w:w="587"/>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5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Nonaccrual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Criticized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Nonaccrual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Criticized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2" w:type="dxa"/>
            <w:gridSpan w:val="3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191" w:type="dxa"/>
            <w:tcBorders/>
            <w:vAlign w:val="center"/>
          </w:tcPr>
          <w:p>
            <w:pPr>
              <w:pStyle w:val="TableContents"/>
              <w:bidi w:val="0"/>
              <w:spacing w:before="0" w:after="0"/>
              <w:ind w:left="0" w:right="0" w:hanging="0"/>
              <w:jc w:val="center"/>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and insurance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368</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Manufacturing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371</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Motor vehicle and recreational </w:t>
              <w:br/>
              <w:t>   finance dealers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Wholesale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Transportation, communications, utilities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Construction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Real estate investors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 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191" w:type="dxa"/>
            <w:tcBorders/>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41,850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2,229</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both"/>
        <w:rPr>
          <w:rFonts w:ascii="Times New Roman;serif" w:hAnsi="Times New Roman;serif"/>
          <w:b w:val="false"/>
          <w:sz w:val="23"/>
        </w:rPr>
      </w:pPr>
      <w:r>
        <w:rPr>
          <w:rFonts w:ascii="Times New Roman;serif" w:hAnsi="Times New Roman;serif"/>
          <w:b w:val="false"/>
          <w:sz w:val="23"/>
        </w:rPr>
        <w:t>COMMERCIAL REAL ESTATE LOANS, NET OF UNEARNED DISCOUNT</w:t>
      </w:r>
    </w:p>
    <w:tbl>
      <w:tblPr>
        <w:tblW w:w="11356" w:type="dxa"/>
        <w:jc w:val="left"/>
        <w:tblInd w:w="0" w:type="dxa"/>
        <w:tblLayout w:type="fixed"/>
        <w:tblCellMar>
          <w:top w:w="28" w:type="dxa"/>
          <w:left w:w="28" w:type="dxa"/>
          <w:bottom w:w="28" w:type="dxa"/>
          <w:right w:w="28" w:type="dxa"/>
        </w:tblCellMar>
      </w:tblPr>
      <w:tblGrid>
        <w:gridCol w:w="1381"/>
        <w:gridCol w:w="146"/>
        <w:gridCol w:w="146"/>
        <w:gridCol w:w="247"/>
        <w:gridCol w:w="759"/>
        <w:gridCol w:w="146"/>
        <w:gridCol w:w="146"/>
        <w:gridCol w:w="224"/>
        <w:gridCol w:w="587"/>
        <w:gridCol w:w="146"/>
        <w:gridCol w:w="146"/>
        <w:gridCol w:w="262"/>
        <w:gridCol w:w="684"/>
        <w:gridCol w:w="146"/>
        <w:gridCol w:w="146"/>
        <w:gridCol w:w="224"/>
        <w:gridCol w:w="587"/>
        <w:gridCol w:w="146"/>
        <w:gridCol w:w="146"/>
        <w:gridCol w:w="247"/>
        <w:gridCol w:w="759"/>
        <w:gridCol w:w="146"/>
        <w:gridCol w:w="146"/>
        <w:gridCol w:w="224"/>
        <w:gridCol w:w="587"/>
        <w:gridCol w:w="146"/>
        <w:gridCol w:w="146"/>
        <w:gridCol w:w="262"/>
        <w:gridCol w:w="684"/>
        <w:gridCol w:w="146"/>
        <w:gridCol w:w="146"/>
        <w:gridCol w:w="224"/>
        <w:gridCol w:w="587"/>
        <w:gridCol w:w="491"/>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5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5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Nonaccrual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Criticized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Criticized Nonaccrual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Criticized</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92" w:type="dxa"/>
            <w:gridSpan w:val="3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491" w:type="dxa"/>
            <w:tcBorders/>
            <w:vAlign w:val="center"/>
          </w:tcPr>
          <w:p>
            <w:pPr>
              <w:pStyle w:val="TableContents"/>
              <w:bidi w:val="0"/>
              <w:spacing w:before="0" w:after="0"/>
              <w:ind w:left="0" w:right="0" w:hanging="0"/>
              <w:jc w:val="center"/>
              <w:rPr/>
            </w:pPr>
            <w:r>
              <w:rPr/>
              <w:t> </w:t>
            </w:r>
          </w:p>
        </w:tc>
      </w:tr>
      <w:tr>
        <w:trPr/>
        <w:tc>
          <w:tcPr>
            <w:tcW w:w="13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Investor-owned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200"/>
              <w:jc w:val="left"/>
              <w:rPr/>
            </w:pPr>
            <w:r>
              <w:rPr/>
              <w:t> </w:t>
            </w:r>
          </w:p>
        </w:tc>
      </w:tr>
      <w:tr>
        <w:trPr/>
        <w:tc>
          <w:tcPr>
            <w:tcW w:w="13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Permanent finance by property type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Apartments/Multifamily</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Retail/Service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1,153</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Office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1,071</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Health 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1,274</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Hotel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1,188</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Industrial/Warehouse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Total permanent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5,624</w:t>
            </w:r>
          </w:p>
        </w:tc>
        <w:tc>
          <w:tcPr>
            <w:tcW w:w="491" w:type="dxa"/>
            <w:tcBorders/>
            <w:vAlign w:val="center"/>
          </w:tcPr>
          <w:p>
            <w:pPr>
              <w:pStyle w:val="TableContents"/>
              <w:bidi w:val="0"/>
              <w:spacing w:before="0" w:after="0"/>
              <w:ind w:left="0" w:right="0" w:firstLine="200"/>
              <w:jc w:val="left"/>
              <w:rPr/>
            </w:pPr>
            <w:r>
              <w:rPr/>
              <w:t> </w:t>
            </w:r>
          </w:p>
        </w:tc>
      </w:tr>
      <w:tr>
        <w:trPr/>
        <w:tc>
          <w:tcPr>
            <w:tcW w:w="138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Construction/development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2,295</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Total investor-owned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34,155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34,869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6,555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7,919</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Owner-occupied by industry (a)</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1" w:type="dxa"/>
            <w:gridSpan w:val="2"/>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Other 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 xml:space="preserve">Motor vehicle and recreational </w:t>
              <w:br/>
              <w:t>   finance dealers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Retail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Health services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Wholesale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Real estate investors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Manufacturing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 </w:t>
            </w:r>
          </w:p>
        </w:tc>
        <w:tc>
          <w:tcPr>
            <w:tcW w:w="5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491" w:type="dxa"/>
            <w:tcBorders/>
            <w:vAlign w:val="center"/>
          </w:tcPr>
          <w:p>
            <w:pPr>
              <w:pStyle w:val="TableContents"/>
              <w:bidi w:val="0"/>
              <w:spacing w:before="0" w:after="0"/>
              <w:ind w:left="0" w:right="0" w:firstLine="300"/>
              <w:jc w:val="left"/>
              <w:rPr/>
            </w:pPr>
            <w:r>
              <w:rPr/>
              <w:t> </w:t>
            </w:r>
          </w:p>
        </w:tc>
      </w:tr>
      <w:tr>
        <w:trPr/>
        <w:tc>
          <w:tcPr>
            <w:tcW w:w="1381" w:type="dxa"/>
            <w:tcBorders/>
            <w:vAlign w:val="center"/>
          </w:tcPr>
          <w:p>
            <w:pPr>
              <w:pStyle w:val="TableContents"/>
              <w:bidi w:val="0"/>
              <w:spacing w:before="0" w:after="0"/>
              <w:ind w:left="30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Total owner-occupied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593</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Total commercial real estate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6,719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45,365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8,512</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i/>
          <w:sz w:val="16"/>
        </w:rPr>
      </w:pPr>
      <w:r>
        <w:rPr>
          <w:rFonts w:ascii="Times New Roman" w:hAnsi="Times New Roman"/>
          <w:b w:val="false"/>
          <w:i/>
          <w:sz w:val="16"/>
        </w:rPr>
        <w:t>(a)</w:t>
      </w:r>
    </w:p>
    <w:p>
      <w:pPr>
        <w:pStyle w:val="TextBody"/>
        <w:bidi w:val="0"/>
        <w:jc w:val="both"/>
        <w:rPr>
          <w:rFonts w:ascii="Times New Roman;serif" w:hAnsi="Times New Roman;serif"/>
          <w:b w:val="false"/>
          <w:i/>
          <w:sz w:val="16"/>
        </w:rPr>
      </w:pPr>
      <w:r>
        <w:rPr>
          <w:rFonts w:ascii="Times New Roman;serif" w:hAnsi="Times New Roman;serif"/>
          <w:b w:val="false"/>
          <w:i/>
          <w:sz w:val="16"/>
        </w:rPr>
        <w:t>Includes $417 million and $359 million of construction loans at June 30, 2023 and December 31, 2022, respectively.</w:t>
      </w:r>
    </w:p>
    <w:p>
      <w:pPr>
        <w:pStyle w:val="TextBody"/>
        <w:bidi w:val="0"/>
        <w:spacing w:before="120" w:after="0"/>
        <w:jc w:val="both"/>
        <w:rPr>
          <w:rFonts w:ascii="Times New Roman" w:hAnsi="Times New Roman"/>
          <w:sz w:val="20"/>
        </w:rPr>
      </w:pPr>
      <w:r>
        <w:rPr>
          <w:rFonts w:ascii="Times New Roman;serif" w:hAnsi="Times New Roman;serif"/>
          <w:b w:val="false"/>
          <w:sz w:val="23"/>
        </w:rPr>
        <w:t>Line of business personnel in different geographic locations with support from and review by the Company’s credit risk personnel review and reassign loan grades based on their detailed knowledge of individual borrowers and their judgment of the impact on such borrowers resulting from changing conditions in their respective regions. The Company’s policy is that, at least annually, updated financial information is obtained from commercial borrowers associated with pass grade loans and additional analysis performed. On a quarterly basis, the Company’s credit personnel review all criticized commercial loans and commercial real estate loans greater than $1 million to determine the appropriateness of the assigned loan grade, including whether the loan should be reported as accruing or</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2023, approximately 52% of the Company’s home equity portfolio consisted of first lien loans and lines of credit and 48% were junior liens. With respect to junior lien loans, to the extent known by the Company, if a related senior lien loan would be on nonaccrual status because of payment delinquency, even if such senior lien loan was not owned by the Company, the junior lien loan or line that is owned by the Company is placed on nonaccrual status.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 off and for purposes of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2023 approximately 86% of all outstanding balances of home equity lines of credit related to lines that were still in the draw period, the weighted-average remaining draw periods were approximately five years, and approximately 16% were making contractually allowed payments that do not include any repayment of principal.</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 generally estimates current expected credit losses on loans with similar risk characteristics on a collective basis. To estimate expected losses, the Company utilizes statistically developed models to project principal balances over the remaining contractual lives of the loan portfolios and determine estimated credit losses through a reasonable and supportable forecast period. The Company’s approach for estimating current expected credit losses for loans and leases at June 30, 2023, March 31, 2023, December 31, 2022 and June 30, 2022 included utilizing macroeconomic assumptions to project losses over a two-year reasonable and supportable forecast period. Subsequent to the forecast period, the Company reverted to longer-term historical loss experience, over a period of one year, to estimate expected credit losses over the remaining contractual life. Forward-looking estimates of certain macroeconomic variables are determined by the M&amp;T Scenario Development Group, which is comprised of senior management business leaders and economists. Events posing emerging risks to the macroeconomic environment, such as international conflicts and other events, liquidity concerns, inflation and supply chain issues, are considered when developing economic forecasts even if the events do not directly and materially impact the Company’s financial results. Supply chain disruptions, inflationary pressures, liquidity trends or other peripheral impacts of global events may alter economic forecasts and the Company monitors this activity as part of its risk management procedures in assessing the allowance for credit losses. Among the assumptions utilized as of June 30, 2023 was that the national unemployment rate will average 4.6% through the reasonable and supportable forecast period. The forecast also assumed gross domestic product grows at a 0.8% average rate during the first year of the reasonable and supportable forecast period</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- 69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and at a 2.3% average rate in the second year. Commercial real estate and residential real estate prices were assumed to cumulatively contract 11.1% and 6.6%, respectively over the two-year reasonable and supportable forecast period. The assumptions utilized as of March 31, 2023 included an average national unemployment rate of 4.4% through the reasonable and supportable forecast period. The forecast also assumed gross domestic product would grow 1.0% during the first year of the reasonable and supportable forecast period followed by 2.4% in the second year. Commercial real estate prices were assumed to cumulatively contract 5.5% and residential real estate prices were assumed to contract 6.7% over the two-year reasonable and supportable forecast period. The assumptions utilized as of December 31, 2022 included an average national unemployment rate of 4.0% through the reasonable and supportable forecast period. The forecast also assumed gross domestic product would grow during the first year of the reasonable and supportable period at a 1.0% average annual rate followed by a 2.5% average rate in the second year. Commercial real estate prices were assumed to cumulatively grow 1.9% and residential real estate prices were assumed to contract 6.2% over the two-year reasonable and supportable forecast period. Among the assumptions utilized as of June 30, 2022 was that the national unemployment rate would average 3.4% through the reasonable and supportable forecast period. The forecast also assumed gross domestic product would grow at a 2.4% average rate during the first year of the reasonable and supportable forecast period and at a 2.9% average rate in the second year. Commercial real estate and residential real estate prices were assumed to cumulatively grow 11.6% and 0.4%, respectively, over the two-year reasonable and supportable forecast period. The assumptions utilized were based on the information available to the Company at or near June 30, 2023, March 31, 2023, December 31, 2022 and June 30, 2022 (at the time the Company was preparing its estimate of expected credit losses as of those dates).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 establishing the allowance for credit losses, the Company also considers the impact of portfolio concentrations, imprecision in economic forecasts, geopolitical conditions and other risk factors that might influence the loss estimation process. With respect to economic forecasts, the Company assessed the likelihood of alternative economic scenarios during the two-year reasonable and supportable time period. Generally, an increase in unemployment rate or a decrease in any of the rate of change in gross domestic product, commercial real estate prices or home prices could have an adverse impact on expected credit losses and may result in an increase to the allowance for credit losses. Forward looking economic forecasts are subject to inherent imprecision and future events may differ materially from forecasted events. In consideration of such uncertainty, the following alternative economic scenarios were considered to estimate the possible impact on modeled credit losses.</w:t>
      </w:r>
    </w:p>
    <w:p>
      <w:pPr>
        <w:pStyle w:val="TextBody"/>
        <w:bidi w:val="0"/>
        <w:spacing w:before="120" w:after="0"/>
        <w:jc w:val="both"/>
        <w:rPr>
          <w:rFonts w:ascii="Times New Roman" w:hAnsi="Times New Roman"/>
          <w:sz w:val="20"/>
        </w:rPr>
      </w:pPr>
      <w:r>
        <w:rPr>
          <w:rFonts w:ascii="Times New Roman;serif" w:hAnsi="Times New Roman;serif"/>
          <w:b w:val="false"/>
          <w:sz w:val="23"/>
        </w:rPr>
        <w:t>A potential downside economic scenario assumed the unemployment rate averages 7.1% in the reasonable and supportable forecast period. The scenario also assumed gross domestic product contracts 2.2% in the first year of the reasonable and supportable forecast period before recovering to 1.8% growth in the second year and commercial real estate and residential real estate prices cumulatively decline 27.4% and 15.0%, respectively, by the end of the reasonable and supportable forecast period.</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potential upside economic scenario assumed the unemployment rate averages approximately 3.3% for the duration of the reasonable and supportable forecast period. The scenario also assumes gross domestic product grows 3.3% in the initial year of the reasonable and supportable forecast period and 2.4% in the second year while commercial real estate prices cumulatively decline 3.2% and residential real estate prices cumulatively rise 0.5% over the two-year reasonable and supportable forecast period.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scenario analyses resulted in an additional $471 million of modeled credit losses under the assumptions of the downside economic scenario, whereas under the assumptions of the upside economic scenario a $210 million reduction in modeled credit losses could occur. These examples are only a few of the numerous possible economic scenarios that could be utilized in assessing the sensitivity of expected credit losses. The estimated impacts on credit losses in such scenarios pertain only to modeled credit losses and do not include consideration of other factors the Company may evaluate when determining its allowance for credit losses.</w:t>
      </w:r>
    </w:p>
    <w:p>
      <w:pPr>
        <w:pStyle w:val="TextBody"/>
        <w:bidi w:val="0"/>
        <w:spacing w:before="120" w:after="0"/>
        <w:jc w:val="both"/>
        <w:rPr>
          <w:rFonts w:ascii="Times New Roman" w:hAnsi="Times New Roman"/>
          <w:sz w:val="20"/>
        </w:rPr>
      </w:pPr>
      <w:r>
        <w:rPr>
          <w:rFonts w:ascii="Times New Roman;serif" w:hAnsi="Times New Roman;serif"/>
          <w:b w:val="false"/>
          <w:sz w:val="23"/>
        </w:rPr>
        <w:t>As a result, it is possible that the Company may, at another point in time, reach different conclusions regarding credit loss estimates. The Company’s process for determining the allowance for credit losses undergoes quarterly and periodic evaluations by independent risk management personnel, which among many other considerations, evaluate the reasonableness of management’s methodology and significant assumptions. Further information about the Company’s methodology to estimate expected credit losses is included in note 4 of Notes to Financial Statements.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Management believes that the allowance for credit losses at June 30, 2023 appropriately reflected expected credit losses inherent in the portfolio as of that date. The allowance for credit losses totaled $2.00 billion at June 30, 2023, compared with $1.82 billion at June 30, 2022, $1.93 billion at December 31, 2022 and $1.98 billion at March 31, 2023. As a percentage of loans outstanding, the allowance was 1.50% at June 30, 2023, 1.42% at June 30, 2022, 1.46% at December 31, 2022 and 1.49% at March 31, 2023. Using the same methodology described herein, the Company added $341 million to the allowance for credit losses related to the $35.8 billion of loans and leases obtained in the acquisition of People's United on April 1, 2022. Macroeconomic assumptions used to estimate credit losses on loans acquired from People's United were consistent with those used by the Company to estimate credit losses at March 31, 2022. The combined Company allowance for credit losses at April 1, 2022 as a percentage of loans outstanding was 1.42%. The level of the allowance reflects management’s evaluation of the loan and lease portfolio using the methodology and considering the factors as described herein. Should the various economic forecasts and credit factors considered by management in establishing the allowance for credit losses change and should management’s assessment of losses in the loan portfolio also change, the level of the allowance as a percentage of loans could increase or decrease in future periods. The reported level of the allowance reflects management’s evaluation of the loan and lease portfolio as of each respective date.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ratio of the allowance for credit losses to total nonaccrual loans at June 30, 2023, June 30, 2022, December 31, 2022 and March 31, 2023 was 82%, 69%, 79% and 77%, respectively. Given the Company’s general position as a secured lender and its practice of charging off loan balances when collection is deemed doubtful, that ratio and changes in the ratio are generally not an indicative measure of the adequacy of the Company’s allowance for credit losses, nor does management rely upon that ratio in assessing the adequacy of the Company’s allowance for credit losses.</w:t>
      </w:r>
    </w:p>
    <w:p>
      <w:pPr>
        <w:pStyle w:val="TextBody"/>
        <w:bidi w:val="0"/>
        <w:spacing w:before="120" w:after="0"/>
        <w:jc w:val="both"/>
        <w:rPr>
          <w:rFonts w:ascii="Times New Roman;serif" w:hAnsi="Times New Roman;serif"/>
          <w:b/>
          <w:sz w:val="23"/>
        </w:rPr>
      </w:pPr>
      <w:r>
        <w:rPr>
          <w:rFonts w:ascii="Times New Roman;serif" w:hAnsi="Times New Roman;serif"/>
          <w:b/>
          <w:sz w:val="23"/>
        </w:rPr>
        <w:t>Other Income</w:t>
      </w:r>
    </w:p>
    <w:p>
      <w:pPr>
        <w:pStyle w:val="TextBody"/>
        <w:bidi w:val="0"/>
        <w:spacing w:before="120" w:after="120"/>
        <w:jc w:val="both"/>
        <w:rPr>
          <w:rFonts w:ascii="Times New Roman;serif" w:hAnsi="Times New Roman;serif"/>
          <w:b w:val="false"/>
          <w:sz w:val="23"/>
        </w:rPr>
      </w:pPr>
      <w:r>
        <w:rPr>
          <w:rFonts w:ascii="Times New Roman;serif" w:hAnsi="Times New Roman;serif"/>
          <w:b w:val="false"/>
          <w:sz w:val="23"/>
        </w:rPr>
        <w:t>Other income totaled $803 million in the second quarter of 2023, improved from $571 million in the year-earlier quarter and $587 million in the first quarter of 2023. For the first six months of 2023, other revenues totaled $1.39 billion compared with $1.11 billion for the similar 2022 period. The three-month and six-month periods ended June 30, 2023 reflect a $225 million gain on sale of the CIT business. The components of other income are presented in the accompanying table.</w:t>
      </w:r>
    </w:p>
    <w:tbl>
      <w:tblPr>
        <w:tblW w:w="10205" w:type="dxa"/>
        <w:jc w:val="left"/>
        <w:tblInd w:w="0" w:type="dxa"/>
        <w:tblLayout w:type="fixed"/>
        <w:tblCellMar>
          <w:top w:w="28" w:type="dxa"/>
          <w:left w:w="28" w:type="dxa"/>
          <w:bottom w:w="28" w:type="dxa"/>
          <w:right w:w="28" w:type="dxa"/>
        </w:tblCellMar>
      </w:tblPr>
      <w:tblGrid>
        <w:gridCol w:w="2733"/>
        <w:gridCol w:w="146"/>
        <w:gridCol w:w="238"/>
        <w:gridCol w:w="882"/>
        <w:gridCol w:w="146"/>
        <w:gridCol w:w="146"/>
        <w:gridCol w:w="238"/>
        <w:gridCol w:w="882"/>
        <w:gridCol w:w="166"/>
        <w:gridCol w:w="146"/>
        <w:gridCol w:w="254"/>
        <w:gridCol w:w="942"/>
        <w:gridCol w:w="166"/>
        <w:gridCol w:w="146"/>
        <w:gridCol w:w="220"/>
        <w:gridCol w:w="973"/>
        <w:gridCol w:w="146"/>
        <w:gridCol w:w="146"/>
        <w:gridCol w:w="220"/>
        <w:gridCol w:w="973"/>
        <w:gridCol w:w="296"/>
      </w:tblGrid>
      <w:tr>
        <w:trPr/>
        <w:tc>
          <w:tcPr>
            <w:tcW w:w="2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7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4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6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March 31, 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2022</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7030" w:type="dxa"/>
            <w:gridSpan w:val="18"/>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96" w:type="dxa"/>
            <w:tcBorders/>
            <w:vAlign w:val="center"/>
          </w:tcPr>
          <w:p>
            <w:pPr>
              <w:pStyle w:val="TableContents"/>
              <w:bidi w:val="0"/>
              <w:spacing w:before="0" w:after="0"/>
              <w:ind w:left="0" w:right="0" w:hanging="0"/>
              <w:jc w:val="center"/>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Mortgage banking revenues</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192,074</w:t>
            </w:r>
          </w:p>
        </w:tc>
        <w:tc>
          <w:tcPr>
            <w:tcW w:w="296" w:type="dxa"/>
            <w:tcBorders/>
            <w:vAlign w:val="center"/>
          </w:tcPr>
          <w:p>
            <w:pPr>
              <w:pStyle w:val="TableContents"/>
              <w:bidi w:val="0"/>
              <w:spacing w:before="0" w:after="0"/>
              <w:ind w:left="0" w:right="0" w:hanging="0"/>
              <w:jc w:val="left"/>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charges on deposit accounts</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113,546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225,677</w:t>
            </w:r>
          </w:p>
        </w:tc>
        <w:tc>
          <w:tcPr>
            <w:tcW w:w="296" w:type="dxa"/>
            <w:tcBorders/>
            <w:vAlign w:val="center"/>
          </w:tcPr>
          <w:p>
            <w:pPr>
              <w:pStyle w:val="TableContents"/>
              <w:bidi w:val="0"/>
              <w:spacing w:before="0" w:after="0"/>
              <w:ind w:left="0" w:right="0" w:hanging="0"/>
              <w:jc w:val="left"/>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Trust income</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190,084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359,297</w:t>
            </w:r>
          </w:p>
        </w:tc>
        <w:tc>
          <w:tcPr>
            <w:tcW w:w="296" w:type="dxa"/>
            <w:tcBorders/>
            <w:vAlign w:val="center"/>
          </w:tcPr>
          <w:p>
            <w:pPr>
              <w:pStyle w:val="TableContents"/>
              <w:bidi w:val="0"/>
              <w:spacing w:before="0" w:after="0"/>
              <w:ind w:left="0" w:right="0" w:hanging="0"/>
              <w:jc w:val="left"/>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Brokerage services income</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44,328</w:t>
            </w:r>
          </w:p>
        </w:tc>
        <w:tc>
          <w:tcPr>
            <w:tcW w:w="296" w:type="dxa"/>
            <w:tcBorders/>
            <w:vAlign w:val="center"/>
          </w:tcPr>
          <w:p>
            <w:pPr>
              <w:pStyle w:val="TableContents"/>
              <w:bidi w:val="0"/>
              <w:spacing w:before="0" w:after="0"/>
              <w:ind w:left="0" w:right="0" w:hanging="0"/>
              <w:jc w:val="left"/>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Trading account and non-hedging derivative gains</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7,662</w:t>
            </w:r>
          </w:p>
        </w:tc>
        <w:tc>
          <w:tcPr>
            <w:tcW w:w="296" w:type="dxa"/>
            <w:tcBorders/>
            <w:vAlign w:val="center"/>
          </w:tcPr>
          <w:p>
            <w:pPr>
              <w:pStyle w:val="TableContents"/>
              <w:bidi w:val="0"/>
              <w:spacing w:before="0" w:after="0"/>
              <w:ind w:left="0" w:right="0" w:hanging="0"/>
              <w:jc w:val="left"/>
              <w:rPr/>
            </w:pPr>
            <w:r>
              <w:rPr/>
              <w:t> </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Gain (loss) on bank investment securities</w:t>
            </w:r>
          </w:p>
        </w:tc>
        <w:tc>
          <w:tcPr>
            <w:tcW w:w="146" w:type="dxa"/>
            <w:tcBorders/>
            <w:vAlign w:val="center"/>
          </w:tcPr>
          <w:p>
            <w:pPr>
              <w:pStyle w:val="TableContents"/>
              <w:bidi w:val="0"/>
              <w:spacing w:before="0" w:after="0"/>
              <w:ind w:left="0" w:right="0" w:hanging="0"/>
              <w:jc w:val="righ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54"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(805</w:t>
            </w:r>
          </w:p>
        </w:tc>
        <w:tc>
          <w:tcPr>
            <w:tcW w:w="2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revenues from operations</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362,015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159,500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521,515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283,754</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33"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other income</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803,171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571,100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587,133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1,390,304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1,111,987</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Mortgage banking revenues were $107 million in the second quarter of 2023, compared with $83 million in the second quarter of 2022 and $85 million in the first quarter of 2023.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pStyle w:val="TextBody"/>
        <w:bidi w:val="0"/>
        <w:spacing w:before="120" w:after="0"/>
        <w:jc w:val="both"/>
        <w:rPr>
          <w:rFonts w:ascii="Times New Roman" w:hAnsi="Times New Roman"/>
          <w:sz w:val="20"/>
        </w:rPr>
      </w:pPr>
      <w:r>
        <w:rPr>
          <w:rFonts w:ascii="Times New Roman;serif" w:hAnsi="Times New Roman;serif"/>
          <w:b w:val="false"/>
          <w:sz w:val="23"/>
        </w:rPr>
        <w:t>Residential mortgage banking revenues, consisting of realized gains and losses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$77 million in the second quarter of 2023, $50 million in the similar quarter of 2022 and $55 million in the first quarter of 2023. That income reflects gains associated with residential mortgage loans originated for sale and loan servicing of $8 million and $69 million, respectively, in the recent quarter and $3 million and $52 million,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respectively, in the first quarter of 2023, compared with losses on residential mortgage loans originated for sale of $17 million and income from loan servicing of $67 million in the year earlier quarter.</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Throughout 2022, the Company originated the majority of its residential real estate loans for retention in its loan portfolio rather than for sale. However, in the first quarter of 2023 the Company returned to originating for sale the majority of its newly originated residential mortgage loans. New commitments to originate residential real estate loans to be sold were approximately $395 million in the second quarter of 2023, compared with $78 million in the year-earlier quarter and $276 million in the first quarter of 2023. Loans held for sale that were secured by residential real estate aggregated $216 million at June 30, 2023, $65 million at June 30, 2022 and $32 million at December 31, 2022. Commitments to sell residential real estate loans and commitments to originate residential real estate loans for sale at pre-determined rates totaled $393 million and $243 million, respectively, at June 30, 2023, compared with $84 million and $69 million, respectively, at June 30, 2022 and $53 million and $31 million, respectively, at December 31, 2022. Net recognized unrealized gains on residential real estate loans held for sale, commitments to sell loans, and commitments to originate loans for sale were $7 million at June 30, 2023 and less than $1 million at June 30, 2022, compared with net recognized unrealized losses of $1 million at December 31, 2022. Changes in net unrealized gains or losses are recorded in mortgage banking revenues and resulted in a net increase in revenues of $4 million in the recent quarter and $2 million in the first quarter of 2023, compared with a net decrease of $5 million in the second quarter of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Revenues from servicing residential real estate loans for others were $69 million during the quarter ended June 30, 2023, compared with $67 million and $52 million during the three months ended June 30, 2022 and March 31, 2023, respectively. The higher revenues from servicing residential real estate loans in the recent quarter as compared with the first quarter of 2023 reflect a $350 million bulk purchase of residential mortgage loan servicing rights associated with $19.5 billion of residential real estate loans on March 31, 2023. The increase in revenues in the recent quarter as compared with the year-earlier quarter also reflects that bulk purchase of residential mortgage loan servicing rights, partially offset by lower sub-servicing fees on modified loans with improved performance as compared with the year-earlier period. Residential real estate loans serviced for others totaled $153.7 billion at June 30, 2023, $102.5 billion at June 30, 2022 and $118.4 billion at December 31, 2022. Loans sub-serviced for others that were included in residential real estate loans serviced for others were $112.8 billion, $79.0 billion and $96.0 billion at June 30, 2023, June 30, 2022 and December 31, 2022, respectively. Revenues earned for sub-servicing loans totaled $32 million during each of the recent quarter and the first quarter of 2023, compared with $44 million in the second quarter of 2022. The decrease in sub-servicing fees in the two most recent quarters as compared with the second quarter of 2022 reflects lower fees associated with modifying and selling reperforming loans previously repurchased by the holder of the contractual servicing rights. The contractual servicing rights associated with loans sub-serviced by the Company were predominantly held by affiliates of Bayview Lending Group LLC ("BLG"). Information about the Company’s relationship with BLG and its affiliates is included in note 15 of Notes to Financial Statements. Capitalized residential mortgage servicing assets totaled $505 million at June 30, 2023, $215 million at June 30, 2022 and $194 million at December 31, 2022. The higher balance of capitalized mortgage servicing rights at June 30, 2023 as compared with June 30, 2022 and December 31, 2022 reflects the bulk purchase of residential mortgage loan servicing rights described herein.</w:t>
      </w:r>
    </w:p>
    <w:p>
      <w:pPr>
        <w:pStyle w:val="TextBody"/>
        <w:bidi w:val="0"/>
        <w:spacing w:before="120" w:after="0"/>
        <w:jc w:val="both"/>
        <w:rPr>
          <w:rFonts w:ascii="Times New Roman" w:hAnsi="Times New Roman"/>
          <w:sz w:val="20"/>
        </w:rPr>
      </w:pPr>
      <w:r>
        <w:rPr>
          <w:rFonts w:ascii="Times New Roman;serif" w:hAnsi="Times New Roman;serif"/>
          <w:b w:val="false"/>
          <w:sz w:val="23"/>
        </w:rPr>
        <w:t>Commercial mortgage banking revenues totaled $30 million in each of the second quarter of 2023 and the first quarter of 2023, compared with $33 million in the second quarter of 2022. Included in such amounts were revenues from loan origination and sales activities of $13 million in the second quarter of 2023, $14 million in the second quarter of 2022 and $15 million in the first quarter of 2023. Commercial real estate loans originated for sale to other investors were $940 million in the recent quarter, compared with $692 million in the second quarter of 2022 and $672 million in the first quarter of 2023. Loan servicing revenues totaled $17 million and $19 million in the second quarters of 2023 and 2022, respectively, compared with $15 million in the first quarter of 2023. Capitalized commercial mortgage servicing assets were $124 million and $130 million at June 30, 2023 and June 30, 2022, respectively, and $126 million at December 31, 2022. Commercial real estate loans serviced for other investors totaled $26.9 billion at June 30, 2023, $24.4 billion at June 30, 2022 and $26.0 billion at December 31, 2022. Those servicing amounts included $3.9 billion at each of June 30, 2023, June 30, 2022 and December 31, 2022 of loan balances for which investors had recourse to the Company if such balances are ultimately uncollectable. Included in commercial real estate loans serviced for others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were loans sub-serviced for others of $3.8 billion at each of June 30, 2023 and December 31, 2022, compared with $3.6 billion at June 30, 2022. Commitments to sell commercial real estate loans and commitments to originate commercial real estate loans for sale were $632 million and $310 million, respectively, at June 30, 2023, $824 million and $569 million, respectively, at June 30, 2022 and $480 million and $349 million, respectively, at December 31, 2022. Commercial real estate loans held for sale at June 30, 2023, June 30, 2022 and December 31, 2022 were $322 million, $255 million and $131 million, respectively.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Service charges on deposit accounts were $119 million and $124 million in the second quarter of 2023 and 2022, respectively, compared with $114 million in the first quarter of 2023. The decline in the recent quarter as compared with the year-earlier quarter reflects a full quarter impact of the Company's planned elimination of certain non-sufficient funds fees and overdraft protection transfer charges from linked deposit accounts beginning in the second quarter of 2022. The $5 million increase in service charges on deposit accounts from the first quarter of 2023 reflects $3 million of increased commercial service charges and higher consumer service charges of $2 million.</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Trust income includes fees related to two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offers personal trust, planning, fiduciary, asset management, family office and other services designed to help high net worth individuals and families grow, preserve, and transfer wealth. Trust income aggregated $172 million in the second quarter of 2023, compared with $190 million in the year-earlier quarter and $194 million in the first quarter of 2023. Revenues associated with the ICS business were $91 million, $109 million and $120 million during the quarters ended June 30, 2023, June 30, 2022 and March 31, 2023, respectively. In April 2023 M&amp;T completed the divestiture of its CIT business through a sale to a private equity firm. The resulting decline in trust income associated with that business was $25 million and $31 million, respectively, when compared with 2022's second quarter and the first quarter of 2023. Higher money market fees on new and existing business partially offset the decline in CIT-related trust income as compared with the second quarter of 2022. Revenues attributable to the WAS business totaled $79 million in the three-month period ended June 30, 2023 and $78 million during the quarter ended June 30, 2022. Revenues from the WAS business were $73 million in the quarter ended March 31, 2023. The increase from the initial quarter of 2023 reflected seasonal tax service fees of $4 million. Reflective of the divestiture of the CIT business, trust assets under management declined to $78.5 billion at June 30, 2023 from $151.8 billion and $165.2 billion at June 30, 2022 and December 31, 2022, respectively. Trust assets under management include the Company’s proprietary mutual funds’ assets of $14.1 billion, $11.9 billion and $13.0 billion at June 30, 2023, June 30, 2022 and December 31, 2022, respectively. Additional trust income from investment management activities comprised of fees earned from retail customer investment accounts was $2 million in the second quarter of 2023, $3 million in the corresponding quarter of 2022, and $1 million in the first quarter of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Brokerage services income, which includes revenues from the sale of mutual funds and annuities, securities brokerage fees and select investment products of LPL Financial totaled $25 million in the second quarter of 2023 and $24 million in each of the second quarter of 2022 and the first quarter of 2023. Trading account and other non-hedging derivative activity resulted in gains of $17 million, $2 million and $12 million during the quarters ended June 30, 2023, June 30, 2022 and March 31, 2023, respectively. The increase in trading account and other non-hedging derivative gains in the recent quarter as compared with the year-earlier quarter and the first quarter of 2023 reflects higher revenues from interest rate swap agreements with commercial customers and comparative gains on assets related to the Company's supplemental executive retirement plans in the recent quarter. Information about the notional amount of interest rate, foreign exchange and other contracts entered into by the Company is included in note 10 of Notes to Financial Statements and herein under the heading “Taxable-equivalent Net Interest Income.” There were no significant net gains or losses on investment securities in each of the second quarter of 2023, the second quarter of 2022 and the first quarter of 2023.</w:t>
      </w:r>
    </w:p>
    <w:p>
      <w:pPr>
        <w:pStyle w:val="TextBody"/>
        <w:bidi w:val="0"/>
        <w:spacing w:before="120" w:after="0"/>
        <w:jc w:val="both"/>
        <w:rPr>
          <w:rFonts w:ascii="Times New Roman" w:hAnsi="Times New Roman"/>
          <w:sz w:val="20"/>
        </w:rPr>
      </w:pPr>
      <w:r>
        <w:rPr>
          <w:rFonts w:ascii="Times New Roman;serif" w:hAnsi="Times New Roman;serif"/>
          <w:b w:val="false"/>
          <w:sz w:val="23"/>
        </w:rPr>
        <w:t>Other revenues from operations were $362 million in the second quarter of 2023, compared with $148 million in the corresponding 2022 period and $160 million in the first quarter of 2023. A $225 million gain on the sale of CIT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was recorded in the second quarter of 2023. Also included in other revenues from operations were the following significant components. Letter of credit and other credit-related fees aggregated $48 million in the recent quarter, compared with $38 million in the year-earlier quarter and $43 million in the first quarter of 2023. The higher revenues in the two most recent quarters as compared with 2022's second quarter reflect higher loan syndication fees. Revenues from merchant discount and credit card fees were $45 million in each of the second quarter of 2023 and 2022, compared with, $39 million in the first quarter of 2023. The lower merchant discount and credit card fees in the first quarter of 2023 as compared with the recent quarter and 2022's second quarter is reflective of seasonal declines in customer activity. Tax-exempt income from bank owned life insurance, which includes changes in the cash surrender value of life insurance policies and benefits received, totaled $14 million in each of the second quarter of 2023 and 2022, compared with $13 million in the first quarter of 2023. Insurance-related sales commissions and other revenues declined to $5 million in the quarter ended June 30, 2023 and $4 million in the first quarter of 2023 from $14 million in the second quarter of 2022 due to the sale of M&amp;T Insurance Agency ("MTIA") in the fourth quarter of 2022. M&amp;T received distributions as a result of its investment in BLG of $20 million in the first quarter of 2023. There was no similar distribution in the second quarter of 2023 or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Other income totaled $1.39 billion during the first six months of 2023, up from $1.11 billion during the year-earlier period. The increase as compared with the first half of 2022 was predominantly due to the gain on sale of the CIT business in April 2023 and the impact of one additional quarter of People's United-related revenues in the first half of 2023. Those positive factors were partially offset by a decrease in revenues resulting from the sales of the CIT business in April 2023 and of MTIA in October 2022 and from lower distributions from the Company's investment in BLG in the first half of 2023 as compared with the corresponding 2022 period.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Mortgage banking revenues totaled $192 million in each of the first six months of 2023 and 2022. Residential mortgage banking revenues aggregated $132 million and $126 million during the six-month periods ended June 30, 2023 and 2022, respectively. New commitments to originate residential real estate loans to be sold aggregated $671 million and $239 million in the initial six months of 2023 and 2022,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$11 million in the first six months of 2023, compared with losses of $3 million in the first six months of 2022. The increase in volume and revenues reflect the Company’s decision in the first quarter of 2023 to return to selling the majority of recently originated residential mortgage loans rather than retaining such loans in its own portfolio. Revenues from servicing residential real estate loans for others were $121 million in the first half of 2023 and $129 million in the corresponding 2022 period. Included in servicing revenues were sub-servicing revenues aggregating $64 million and $86 million in the first six months of 2023 and 2022, respectively. For the six months ended June 30, commercial mortgage banking revenues were $60 million and $66 million in 2023 and 2022, respectively. Commercial real estate loans originated for sale to other investors totaled $1.6 billion and $1.3 billion during the six-month periods ended June 30, 2023 and 2022, respectively.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Service charges on deposit accounts aggregated $232 million during the first six months of 2023, compared with $226 million in the year-earlier period. Trust income totaled $366 million and $359 million during the first six months of 2023 and 2022, respectively. The increase in trust income in 2023 as compared with 2022, despite two less months of CIT-related trust income as a result of the sale of that business in April 2023, was largely due to the impact of one additional quarter of revenues associated with the People's United acquisition. Brokerage services income totaled $49 million in the first six months of 2023, compared with $44 million in the six-month period ended June 30, 2022. Trading account and non-hedging derivative gains were $28 million and $8 million, respectively, for the six-months ended June 30, 2023 and 2022, reflecting higher revenues from interest rate swap agreements with commercial customers and comparative gains on assets related to the Company's supplemental executive retirement plans in the first half of 2023. There were no significant net gains or losses on investment securities recognized during the first six months of 2023 and 2022.</w:t>
      </w:r>
    </w:p>
    <w:p>
      <w:pPr>
        <w:pStyle w:val="TextBody"/>
        <w:bidi w:val="0"/>
        <w:spacing w:before="120" w:after="0"/>
        <w:jc w:val="both"/>
        <w:rPr>
          <w:rFonts w:ascii="Times New Roman" w:hAnsi="Times New Roman"/>
          <w:sz w:val="20"/>
        </w:rPr>
      </w:pPr>
      <w:r>
        <w:rPr>
          <w:rFonts w:ascii="Times New Roman;serif" w:hAnsi="Times New Roman;serif"/>
          <w:b w:val="false"/>
          <w:sz w:val="23"/>
        </w:rPr>
        <w:t>Other revenues from operations totaled $522 million in the first six months of 2023, compared with $284 million in the year-earlier period. Other revenues from operations in the most recent six months include the $225 million gain on the sale of the CIT business. Other revenues from operations also include the following significant components.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Letter of credit and other credit-related fees aggregated $91 million and $65 million in 2023 and 2022, respectively. The higher level of revenues in the recent period reflects higher loan syndication and line usage fees. Merchant discount and credit card fees were $84 million and $79 million in the first six months of 2023 and 2022, respectively. Income from bank owned life insurance totaled $27 million in the first six months of 2023, compared with $24 million in the corresponding 2022 period. Insurance-related commissions and other revenues aggregated $9 million and $29 million in the first six months of 2023 and 2022, respectively. The comparative decline reflects the sale of MTIA in October 2022. M&amp;T’s investment in BLG resulted in income of $20 million in the first six months of 2023 and $30 million in the first half of 2022.</w:t>
      </w:r>
    </w:p>
    <w:p>
      <w:pPr>
        <w:pStyle w:val="TextBody"/>
        <w:bidi w:val="0"/>
        <w:spacing w:before="120" w:after="0"/>
        <w:jc w:val="both"/>
        <w:rPr>
          <w:rFonts w:ascii="Times New Roman;serif" w:hAnsi="Times New Roman;serif"/>
          <w:b/>
          <w:sz w:val="23"/>
        </w:rPr>
      </w:pPr>
      <w:r>
        <w:rPr>
          <w:rFonts w:ascii="Times New Roman;serif" w:hAnsi="Times New Roman;serif"/>
          <w:b/>
          <w:sz w:val="23"/>
        </w:rPr>
        <w:t>Other Expense</w:t>
      </w:r>
    </w:p>
    <w:p>
      <w:pPr>
        <w:pStyle w:val="TextBody"/>
        <w:bidi w:val="0"/>
        <w:spacing w:before="120" w:after="120"/>
        <w:jc w:val="both"/>
        <w:rPr>
          <w:rFonts w:ascii="Times New Roman" w:hAnsi="Times New Roman"/>
          <w:sz w:val="20"/>
        </w:rPr>
      </w:pPr>
      <w:r>
        <w:rPr>
          <w:rFonts w:ascii="Times New Roman;serif" w:hAnsi="Times New Roman;serif"/>
          <w:b w:val="false"/>
          <w:sz w:val="23"/>
        </w:rPr>
        <w:t>Other expense totaled $1.29 billion in the second quarter of 2023, compared with $1.40 billion in the year-earlier quarter and $1.36 billion in the first quarter of 2023. Included in those amounts are expenses considered to be “nonoperating” in nature consisting of amortization of core deposit and other intangible assets of $15 million in the recent quarter, $18 million in the second quarter of 2022 and $17 million in the first 2023 quarter, and merger-related expenses of $223 million in the second quarter of 2022. There were no merger-related expenses during the first and second quarters of 2023. Exclusive of those nonoperating expenses, noninterest operating expenses were $1.28 billion in the recent quarter, compared with $1.16 billion in the year-earlier quarter and $1.34 billion in the first quarter of 2023. Other expense for the first half of 2023 totaled $2.65 billion, compared with $2.36 billion in the year-earlier period. Included in those amounts are expenses considered to be “nonoperating” in nature consisting of amortization of core deposit and other intangible assets of $32 million and $20 million in the six-month periods ended June 30, 2023 and 2022, respectively, and merger-related expenses of $240 million during 2022's first half. There were no merger-related expenses recognized in 2023. Exclusive of those nonoperating expenses, noninterest operating expenses for the first half of 2023 were $2.62 billion, compared with $2.10 billion in the first six months of 2022. Table 2 provides a reconciliation of other expense to noninterest operating expense. The components of other expense are presented in the accompanying table.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929"/>
        <w:gridCol w:w="146"/>
        <w:gridCol w:w="220"/>
        <w:gridCol w:w="973"/>
        <w:gridCol w:w="146"/>
        <w:gridCol w:w="146"/>
        <w:gridCol w:w="157"/>
        <w:gridCol w:w="1004"/>
        <w:gridCol w:w="146"/>
        <w:gridCol w:w="146"/>
        <w:gridCol w:w="146"/>
        <w:gridCol w:w="931"/>
        <w:gridCol w:w="146"/>
        <w:gridCol w:w="146"/>
        <w:gridCol w:w="157"/>
        <w:gridCol w:w="1004"/>
        <w:gridCol w:w="146"/>
        <w:gridCol w:w="146"/>
        <w:gridCol w:w="146"/>
        <w:gridCol w:w="931"/>
        <w:gridCol w:w="293"/>
      </w:tblGrid>
      <w:tr>
        <w:trPr/>
        <w:tc>
          <w:tcPr>
            <w:tcW w:w="2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9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401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Three Months Ended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Six Months Ended</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1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March 31, </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 xml:space="preserve">June 30, </w:t>
              <w:br/>
              <w:t>2022</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2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837" w:type="dxa"/>
            <w:gridSpan w:val="18"/>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(In thousands)</w:t>
            </w:r>
          </w:p>
        </w:tc>
        <w:tc>
          <w:tcPr>
            <w:tcW w:w="293" w:type="dxa"/>
            <w:tcBorders/>
            <w:vAlign w:val="center"/>
          </w:tcPr>
          <w:p>
            <w:pPr>
              <w:pStyle w:val="TableContents"/>
              <w:bidi w:val="0"/>
              <w:spacing w:before="0" w:after="0"/>
              <w:ind w:left="0" w:right="0" w:hanging="0"/>
              <w:jc w:val="center"/>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Salaries and employee benefits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776,201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1,545,607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1,353,721</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Equipment and net occupancy</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210,467</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Outside data processing and software</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173,539</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FDIC assessments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38,161</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Advertising and marketing</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36,659</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Printing, postage and supplies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25,720</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core deposit and other intangible assets</w:t>
            </w:r>
          </w:p>
        </w:tc>
        <w:tc>
          <w:tcPr>
            <w:tcW w:w="146" w:type="dxa"/>
            <w:tcBorders/>
            <w:vAlign w:val="center"/>
          </w:tcPr>
          <w:p>
            <w:pPr>
              <w:pStyle w:val="TableContents"/>
              <w:bidi w:val="0"/>
              <w:spacing w:before="0" w:after="0"/>
              <w:ind w:left="0" w:right="0" w:hanging="0"/>
              <w:jc w:val="right"/>
              <w:rPr/>
            </w:pPr>
            <w:r>
              <w:rPr/>
              <w:t> </w:t>
            </w:r>
          </w:p>
        </w:tc>
        <w:tc>
          <w:tcPr>
            <w:tcW w:w="220"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10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19,640</w:t>
            </w:r>
          </w:p>
        </w:tc>
        <w:tc>
          <w:tcPr>
            <w:tcW w:w="293" w:type="dxa"/>
            <w:tcBorders/>
            <w:vAlign w:val="center"/>
          </w:tcPr>
          <w:p>
            <w:pPr>
              <w:pStyle w:val="TableContents"/>
              <w:bidi w:val="0"/>
              <w:spacing w:before="0" w:after="0"/>
              <w:ind w:left="0" w:right="0" w:hanging="0"/>
              <w:jc w:val="left"/>
              <w:rPr/>
            </w:pPr>
            <w:r>
              <w:rPr/>
              <w:t> </w:t>
            </w:r>
          </w:p>
        </w:tc>
      </w:tr>
      <w:tr>
        <w:trPr/>
        <w:tc>
          <w:tcPr>
            <w:tcW w:w="29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costs of operations</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234,338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226,392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460,730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504,988</w:t>
            </w:r>
          </w:p>
        </w:tc>
        <w:tc>
          <w:tcPr>
            <w:tcW w:w="29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929"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other expense</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1,292,559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1,403,154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1,359,230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2,651,789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2,362,895</w:t>
            </w:r>
          </w:p>
        </w:tc>
        <w:tc>
          <w:tcPr>
            <w:tcW w:w="2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Salaries and employee benefits expense totaled $738 million in the second quarter of 2023, compared with $776 million in the year-earlier quarter and $808 million in the first quarter of 2023. Excluding the nonoperating expense items described earlier, salaries and employee benefits expense totaled $691 million in the second quarter of 2022. The increase in salaries and employee benefits operating expense in the recent quarter as compared with the second quarter of 2022 reflects the impact of higher employee staffing levels and merit increases. Comparing the recent quarter with the first quarter of 2023, the effect of seasonally higher stock-based compensation, medical plan costs, payroll-related taxes and unemployment insurance that totaled $99 million in the initial 2023 quarter was partially offset by the full quarter impact of annual merit increases, higher average staffing levels and higher severance expense. During the first six months of 2023 and 2022, salaries and employee benefits expense aggregated $1.55 billion and $1.35 billion, respectively. Excluding nonoperating expenses described herein, salaries and employee benefits operating expense in the first half of 2022 totaled $1.27 billion. The higher operating expense level in 2023 largely reflects the addition of People's United employees at the beginning of the second quarter of 2022 and higher salaries resulting from an increase in legacy staffing levels, annual merit increases and a rise in incentive compensation, including stock-based compensation. The Company, in accordance with GAAP, has accelerated the recognition of compensation costs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for stock-based awards. As a result, stock-based compensation expense during the first quarters of 2023 and 2022 included $41 million and $36 million, respectively, that would have been recognized over the normal vesting period if not for the accelerated recognition provisions of GAAP. That acceleration had no effect on the value of stock-based compensation awarded to employees. Salaries and employee benefits expense included stock-based compensation of $19 million, $23 million and $62 million in the three-month periods ended June 30, 2023, June 30, 2022 and March 31, 2023, respectively, and $81 million and $73 million during the six-month periods ended June 30, 2023 and 2022, respectively. The number of full-time equivalent employees was 22,946 at June 30, 2023, compared with 22,680 and 23,004 at June 30, 2022 and March 31, 2023, respectively.</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Excluding the nonoperating expense items described earlier from each quarter, nonpersonnel operating expenses were $540 million, $471 million and $534 million in the quarters ended June 30, 2023, June 30, 2022 and March 31, 2023, respectively. On that same basis, such expenses were $1.07 billion and $835 million in the six-month periods ended June 30, 2023 and 2022, respectively. The increase in the recent quarter as compared with the second quarter of 2022 reflects increases in outside data processing and software costs, expenses related to the bulk purchase of residential mortgage loan servicing rights at the end of the first quarter of 2023 and check fraud losses, partially offset by a decline in professional and outside services expenses reflecting a decline in sub-advisory fees resulting from the sale of the CIT business in April 2023. The rise in non-personnel operating expenses in 2023’s second quarter as compared with 2023’s first quarter reflected an increase in expenses related to the bulk purchase of residential mortgage loan servicing rights, partially offset by a decline in professional services expenses primarily driven by a decline in sub-advisory fees resulting from the sale of the CIT business. In addition to the impact of an additional quarter of nonpersonnel operating expenses in 2023 associated with the People's United acquisition, the year-over-year increase reflects higher professional and outside services expenses, outside data processing and software costs, check fraud losses, deposit insurance and advertising and marketing costs.</w:t>
      </w:r>
    </w:p>
    <w:p>
      <w:pPr>
        <w:pStyle w:val="TextBody"/>
        <w:bidi w:val="0"/>
        <w:spacing w:before="120" w:after="0"/>
        <w:jc w:val="both"/>
        <w:rPr>
          <w:rFonts w:ascii="Times New Roman" w:hAnsi="Times New Roman"/>
          <w:sz w:val="20"/>
        </w:rPr>
      </w:pPr>
      <w:r>
        <w:rPr>
          <w:rFonts w:ascii="Times New Roman;serif" w:hAnsi="Times New Roman;serif"/>
          <w:b w:val="false"/>
          <w:sz w:val="23"/>
        </w:rPr>
        <w:t>On May 11, 2023, the Federal Deposit Insurance Corporation (“FDIC”) released a proposed rule that would impose a special assessment to recover the costs to the deposit insurance fund (“DIF”) resulting from the FDIC’s use, in March 2023, of the systemic risk exception in connection with the receiverships of Silicon Valley Bank and Signature Bank. Under the proposed rule, the assessment base would be the estimated uninsured deposits of an insured depository institution at December 31, 2022, excluding the first $5 billion of those estimated uninsured deposits. The special assessments would be collected at an annual rate of approximately 12.5 basis points per year (3.13 basis points per quarter) over eight quarters in 2024 and 2025, with the first assessment period beginning January 1, 2024. Under the proposed rule, the estimated loss pursuant to the systemic risk determination may be periodically adjusted by the FDIC. M&amp;T expects the special assessments, as currently contemplated, would be tax deductible. Although the proposal could be revised, the total of the assessments for the Company is estimated at $183 million and such amount is expected to be recorded as an expense in the quarter of enactment. Such expense would significantly affect noninterest expense and results of operations for that future quarter. Refer to note 13 of Notes to Financial Statements for additional information on the FDIC special assessment.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efficiency ratio, or noninterest operating expenses divided by the sum of taxable-equivalent net interest income and noninterest income (exclusive of gains and losses from bank investment securities), measures the relationship of noninterest operating expenses to revenues. The Company’s efficiency ratio was 48.9% during the recent quarter, compared with 58.3% and 55.5% in the second quarter of 2022 and first quarter of 2023, respectively. The efficiency ratios for the six-month periods ended June 30, 2023 and 2022 were 52.0% and 61.1%, respectively.</w:t>
      </w:r>
    </w:p>
    <w:p>
      <w:pPr>
        <w:pStyle w:val="TextBody"/>
        <w:bidi w:val="0"/>
        <w:spacing w:before="120" w:after="0"/>
        <w:jc w:val="both"/>
        <w:rPr>
          <w:rFonts w:ascii="Times New Roman;serif" w:hAnsi="Times New Roman;serif"/>
          <w:b/>
          <w:sz w:val="23"/>
        </w:rPr>
      </w:pPr>
      <w:r>
        <w:rPr>
          <w:rFonts w:ascii="Times New Roman;serif" w:hAnsi="Times New Roman;serif"/>
          <w:b/>
          <w:sz w:val="23"/>
        </w:rPr>
        <w:t>Income Taxes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Income tax expense was $293 million in the second quarter of 2023, compared with $60 million in the year-earlier quarter and $225 million in the first quarter of 2023. For the six-month periods ended June 30, 2023 and 2022, the provisions for income taxes were $517 million and $173 million, respectively. The effective tax rates were 25.2%, 21.7% and 24.2% for the quarters ended June 30, 2023, June 30, 2022 and March 31, 2023, respectively, and 24.8% and 23.0% for the six-month periods ended June 30, 2023 and 2022, respectively.</w:t>
      </w:r>
    </w:p>
    <w:p>
      <w:pPr>
        <w:pStyle w:val="TextBody"/>
        <w:bidi w:val="0"/>
        <w:spacing w:before="120" w:after="0"/>
        <w:jc w:val="both"/>
        <w:rPr>
          <w:rFonts w:ascii="Times New Roman" w:hAnsi="Times New Roman"/>
          <w:sz w:val="20"/>
        </w:rPr>
      </w:pPr>
      <w:r>
        <w:rPr>
          <w:rFonts w:ascii="Times New Roman;serif" w:hAnsi="Times New Roman;serif"/>
          <w:b w:val="false"/>
          <w:sz w:val="23"/>
        </w:rPr>
        <w:t>The effective tax rate is affected by the level of income earned that is exempt from tax relative to the overall level of pre-tax income, the amount of income allocated to the various state and local jurisdictions where the Company operates, because tax rates differ among such jurisdictions, and the impact of any large discrete or infrequently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occurring items. The Company’s effective tax rate in future periods will also be affected by any change in income tax laws or regulations and interpretations of income tax regulations that differ from the Company’s interpretations by any of various tax authorities that may examine tax returns filed by M&amp;T or any of its subsidiaries.</w:t>
      </w:r>
    </w:p>
    <w:p>
      <w:pPr>
        <w:pStyle w:val="TextBody"/>
        <w:bidi w:val="0"/>
        <w:spacing w:before="120" w:after="0"/>
        <w:jc w:val="both"/>
        <w:rPr>
          <w:rFonts w:ascii="Times New Roman;serif" w:hAnsi="Times New Roman;serif"/>
          <w:b/>
          <w:sz w:val="23"/>
        </w:rPr>
      </w:pPr>
      <w:r>
        <w:rPr>
          <w:rFonts w:ascii="Times New Roman;serif" w:hAnsi="Times New Roman;serif"/>
          <w:b/>
          <w:sz w:val="23"/>
        </w:rPr>
        <w:t>Capital</w:t>
      </w:r>
    </w:p>
    <w:p>
      <w:pPr>
        <w:pStyle w:val="TextBody"/>
        <w:bidi w:val="0"/>
        <w:spacing w:before="120" w:after="0"/>
        <w:jc w:val="both"/>
        <w:rPr>
          <w:rFonts w:ascii="Times New Roman" w:hAnsi="Times New Roman"/>
          <w:sz w:val="20"/>
        </w:rPr>
      </w:pPr>
      <w:r>
        <w:rPr>
          <w:rFonts w:ascii="Times New Roman;serif" w:hAnsi="Times New Roman;serif"/>
          <w:b w:val="false"/>
          <w:sz w:val="23"/>
        </w:rPr>
        <w:t>Shareholders’ equity was $25.8 billion at June 30, 2023, representing 12.42% of total assets, compared with $25.8 billion or 12.64% a year earlier and $25.3 billion or 12.61% at December 31, 2022.</w:t>
      </w:r>
      <w:r>
        <w:rPr>
          <w:rFonts w:ascii="Times New Roman" w:hAnsi="Times New Roman"/>
          <w:sz w:val="20"/>
        </w:rPr>
        <w:t xml:space="preserve"> </w:t>
      </w:r>
      <w:r>
        <w:rPr>
          <w:rFonts w:ascii="Times New Roman;serif" w:hAnsi="Times New Roman;serif"/>
          <w:b w:val="false"/>
          <w:sz w:val="23"/>
        </w:rPr>
        <w:t>Shareholders' equity at each of the respective quarter ends reflects the issuance of 50,325,004 M&amp;T common shares and other common equity consideration totaling $8.4 billion for the acquisition of People's United and the conversion of People's United preferred stock into 10,000,000 shares of Series H Perpetual Fixed-to-Floating Rate Non-cumulative Preferred Stock of M&amp;T ("Series H Preferred Stock") amounting to $261 million on April 1, 2022. Included in shareholders’ equity was preferred stock with financial statement carrying values of $2.01 billion at each of June 30, 2023, December 31, 2022 and June 30,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Common shareholders’ equity was $23.8 billion, or $143.41 per share, at June 30, 2023, compared with $23.8 billion, or $135.16 per share, a year earlier and $23.3 billion, or $137.68 per share, at December 31, 2022. Tangible equity per common share, which excludes goodwill and core deposit and other intangible assets and applicable deferred tax balances, was $91.58 at the end of the recent quarter, compared with $85.78 at June 30, 2022 and $86.59 at December 31, 2022. The Company’s ratio of tangible common equity to tangible assets was 7.63% at each of June 30, 2023 and December 31, 2022, as compared with 7.73% at June 30, 2022. Reconciliations of total common shareholders’ equity and tangible common equity and total assets and tangible assets as of each of those dates are presented in table 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Shareholders’ equity reflects accumulated other comprehensive income or loss, which includes the net after-tax impact of unrealized gains or losses on investment securities classified as available for sale, remaining unrealized losses on held-to-maturity securities transferred from available for sale that have not yet been amortized,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$328 million or $1.98 per common share at June 30, 2023, $129 million or $.73 per common share at June 30, 2022 and $329 million, or $1.94 per common share, at December 31, 2022. Changes in unrealized gains and losses on investment securities are predominantly reflective of the impact of changes in interest rates on the values of such securities. Information about unrealized gains and losses on investment securities as of June 30, 2023 and December 31, 2022 is included in note 3 of Notes to Financial Statements.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Reflected in the carrying amount of available-for-sale investment securities at June 30, 2023 were pre-tax effect unrealized gains of $234 thousand on securities with an amortized cost of $32 million and pre-tax effect unrealized losses of $441 million on securities with an amortized cost of $11.2 billion. Information concerning the Company’s fair valuations of investment securities is provided in notes 3 and 12 of Notes to Financial Statements.</w:t>
      </w:r>
    </w:p>
    <w:p>
      <w:pPr>
        <w:pStyle w:val="TextBody"/>
        <w:bidi w:val="0"/>
        <w:spacing w:before="120" w:after="0"/>
        <w:jc w:val="both"/>
        <w:rPr>
          <w:rFonts w:ascii="Times New Roman" w:hAnsi="Times New Roman"/>
          <w:sz w:val="20"/>
        </w:rPr>
      </w:pPr>
      <w:r>
        <w:rPr>
          <w:rFonts w:ascii="Times New Roman;serif" w:hAnsi="Times New Roman;serif"/>
          <w:b w:val="false"/>
          <w:sz w:val="23"/>
        </w:rPr>
        <w:t>Each reporting period the Company reviews its available-for-sale investment securities for declines in value that might be indicative of credit-related losses through an analysis of the creditworthiness of the issuer or the credit performance of the underlying collateral supporting the bond. If the Company does not expect to recover the entire amortized cost basis of a debt security a credit loss is recognized in the Consolidated Statement of Income. A loss is also recognized if the Company intends to sell a bond or it more likely than not will be required to sell a bond before recovery of the amortized cost basis. As of June 30, 2023, based on a review of each of the securities in the available-for-sale investment securities portfolio, the Company concluded that it expected to realize the amortized cost basis of each security. As of June 30, 2023, the Company did not intend to sell nor is it anticipated that it would be required to sell any securities for which fair value was less than the amortized cost basis of the security. The Company intends to continue to closely monitor the performance of its securities because changes in their underlying credit performance or other events could cause the amortized cost basis of those securities to become uncollectable.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Accounting guidance requires investment securities held to maturity to be presented at their net carrying value that is expected to be collected over their contractual term. The Company estimated no material credit losses for its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investment securities classified as held-to-maturity at June 30, 2023 and December 31, 2022. The amortized cost basis of obligations of states and political subdivisions in the held-to-maturity portfolio totaled $2.5 billion at June 30, 2023 and $2.6 billion at December 31, 2022. At June 30, 2023 and December 31, 2022, the Company had in its held-to-maturity portfolio privately issued mortgage-backed securities with an amortized cost basis of $47 million and $50 million, respectively, and a fair value of $49 million and $51 million, respectively. At June 30, 2023, 82% of those mortgage-backed securities were in the most senior tranche of the securitization structure. The mortgage-backed securities are generally collateralized by residential and small-balance commercial real estate loans originated between 2004 and 2008. After considering the repayment structure and estimated future collateral cash flows of each individual bond, the Company concluded that as of June 30, 2023, it expected to recover the amortized cost basis of those privately issued mortgage-backed securities. Nevertheless, it is possible that adverse changes in the estimated future performance of mortgage loan collateral underlying such securities could impact the Company’s conclusions.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Adjustments to reflect the funded status of defined benefit pension and other postretirement plans, net of applicable tax effect, reduced accumulated other comprehensive income by $205 million or $1.24 per common share at June 30, 2023, $261 million or $1.48 per common share at June 30, 2022 and $202 million or $1.19 per common share at December 31, 2022.</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Other adjustments, substantially comprised of net unrealized losses on interest rate swaps designated as cash flow hedges, reduced accumulated other comprehensive income by $332 million or $2.00 per common share at June 30, 2023, $116 million or $.66 per common share at June 30, 2022 and $259 million or $1.53 per common share at December, 31, 2022. Information about net unrealized losses on interest rate swaps designated as cash flow hedges is provided in note 10 of the Notes to Financial Statements.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On July 19, 2022, M&amp;T's Board of Directors authorized a stock purchase program to repurchase up to $3.0 billion of common shares subject to all applicable regulatory reporting limitations. M&amp;T repurchased 3,505,946 shares of its common stock for a total cost of $600 million under the program in the second quarter of 2022 and 3,838,157 shares for a total cost, including the share repurchase excise tax, of $600 million in the first quarter of 2023. No share repurchases occurred in the second quarter of 2023. Discretion as to the amount and timing of authorized share repurchases in a given period has been delegated, through the authorization of the Board of Directors, to management and can be influenced by capital and liquidity requirements, including funding of future loan growth and other balance sheet management activities, as well as market and economic conditions.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Cash dividends declared on M&amp;T's common stock totaled $217 million in the recent quarter, compared with $215 million and $219 million in the quarters ended June 30, 2022 and March 31, 2023, respectively. Common stock dividends during the six-month periods ended June 30, 2023 and 2022 were $436 million and $371 million, respectively. Cash dividends declared on preferred stock aggregated $25 million during each of the first two quarters of 2023 and the second quarter of 2022. Preferred stock dividends totaled $50 million and $47 million during the first six months of 2023 and 2022, respectively.</w:t>
      </w:r>
    </w:p>
    <w:p>
      <w:pPr>
        <w:pStyle w:val="TextBody"/>
        <w:bidi w:val="0"/>
        <w:spacing w:before="240" w:after="0"/>
        <w:jc w:val="center"/>
        <w:rPr>
          <w:rFonts w:ascii="Times New Roman" w:hAnsi="Times New Roman"/>
          <w:sz w:val="20"/>
        </w:rPr>
      </w:pPr>
      <w:r>
        <w:rPr>
          <w:rFonts w:ascii="Times New Roman;serif" w:hAnsi="Times New Roman;serif"/>
          <w:b w:val="false"/>
          <w:sz w:val="20"/>
        </w:rPr>
        <w:t>- 78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M&amp;T and its subsidiary banks are required to comply with applicable capital adequacy standards established by the federal banking agencies. Pursuant to those regulations, the minimum capital ratios are as follows:</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 xml:space="preserve">4.5% Common equity Tier 1 (“CET1”) to risk-weighted assets (each as defined in the capital regulations);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 xml:space="preserve">6.0% Tier 1 capital (that is, CET1 plus additional Tier 1 capital) to risk-weighted assets (each as defined in the capital regulations); </w:t>
      </w:r>
    </w:p>
    <w:p>
      <w:pPr>
        <w:pStyle w:val="TextBody"/>
        <w:bidi w:val="0"/>
        <w:spacing w:before="120" w:after="0"/>
        <w:jc w:val="both"/>
        <w:rPr/>
      </w:pPr>
      <w:r>
        <w:rPr/>
        <w:t>•</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 xml:space="preserve">8.0% Total capital (that is, Tier 1 capital plus Tier 2 capital) to risk-weighted assets (each as defined in the capital regulations); and </w:t>
      </w:r>
    </w:p>
    <w:p>
      <w:pPr>
        <w:pStyle w:val="TextBody"/>
        <w:bidi w:val="0"/>
        <w:spacing w:before="120" w:after="0"/>
        <w:jc w:val="both"/>
        <w:rPr/>
      </w:pPr>
      <w:r>
        <w:rPr/>
        <w:t>•</w:t>
      </w:r>
    </w:p>
    <w:p>
      <w:pPr>
        <w:pStyle w:val="TextBody"/>
        <w:bidi w:val="0"/>
        <w:spacing w:before="120" w:after="283"/>
        <w:jc w:val="both"/>
        <w:rPr>
          <w:rFonts w:ascii="Times New Roman;serif" w:hAnsi="Times New Roman;serif"/>
          <w:b w:val="false"/>
          <w:sz w:val="23"/>
        </w:rPr>
      </w:pPr>
      <w:r>
        <w:rPr>
          <w:rFonts w:ascii="Times New Roman;serif" w:hAnsi="Times New Roman;serif"/>
          <w:b w:val="false"/>
          <w:sz w:val="23"/>
        </w:rPr>
        <w:t>4.0% Tier 1 capital to average consolidated assets as reported on consolidated financial statements (known as the “leverage ratio”), as defined in the capital regulations.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Capital regulations require buffers in addition to the minimum risk-based capital ratios noted above. M&amp;T is subject to a stress capital buffer requirement that is determined through the Federal Reserve’s supervisory stress tests and M&amp;T’s bank subsidiaries are subject to a 2.5% capital conservation buffer requirement. The buffer requirement must be composed entirely of CET1. M&amp;T's current stress capital buffer is 4.7%. In June 2023, the Federal Reserve released the results of its most recent supervisory stress tests. Based on those results, M&amp;T's stress capital buffer is estimated to be 4.0% effective October 1,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regulatory capital ratios of the Company and its bank subsidiaries, M&amp;T Bank and Wilmington Trust, N.A., as of June 30, 2023 are presented in the accompanying table.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REGULATORY CAPITAL RATIOS</w:t>
      </w:r>
    </w:p>
    <w:p>
      <w:pPr>
        <w:pStyle w:val="TextBody"/>
        <w:bidi w:val="0"/>
        <w:spacing w:before="0" w:after="0"/>
        <w:jc w:val="both"/>
        <w:rPr>
          <w:rFonts w:ascii="Times New Roman" w:hAnsi="Times New Roman"/>
          <w:sz w:val="20"/>
        </w:rPr>
      </w:pPr>
      <w:r>
        <w:rPr>
          <w:rFonts w:ascii="Times New Roman;serif" w:hAnsi="Times New Roman;serif"/>
          <w:b w:val="false"/>
          <w:sz w:val="23"/>
        </w:rPr>
        <w:t>June 30, 2023</w:t>
      </w:r>
      <w:r>
        <w:rPr>
          <w:rFonts w:ascii="Times New Roman" w:hAnsi="Times New Roman"/>
          <w:sz w:val="20"/>
        </w:rPr>
        <w:t xml:space="preserve"> </w:t>
      </w:r>
    </w:p>
    <w:tbl>
      <w:tblPr>
        <w:tblW w:w="6440" w:type="dxa"/>
        <w:jc w:val="left"/>
        <w:tblInd w:w="0" w:type="dxa"/>
        <w:tblLayout w:type="fixed"/>
        <w:tblCellMar>
          <w:top w:w="28" w:type="dxa"/>
          <w:left w:w="28" w:type="dxa"/>
          <w:bottom w:w="28" w:type="dxa"/>
          <w:right w:w="28" w:type="dxa"/>
        </w:tblCellMar>
      </w:tblPr>
      <w:tblGrid>
        <w:gridCol w:w="1966"/>
        <w:gridCol w:w="271"/>
        <w:gridCol w:w="1064"/>
        <w:gridCol w:w="271"/>
        <w:gridCol w:w="146"/>
        <w:gridCol w:w="146"/>
        <w:gridCol w:w="571"/>
        <w:gridCol w:w="271"/>
        <w:gridCol w:w="146"/>
        <w:gridCol w:w="199"/>
        <w:gridCol w:w="927"/>
        <w:gridCol w:w="27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ind w:left="0" w:right="0" w:hanging="0"/>
              <w:jc w:val="center"/>
              <w:rPr/>
            </w:pPr>
            <w:r>
              <w:rPr/>
              <w:t> </w:t>
            </w:r>
          </w:p>
        </w:tc>
        <w:tc>
          <w:tcPr>
            <w:tcW w:w="1335"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M&amp;T</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M&amp;T</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Wilmington</w:t>
            </w:r>
          </w:p>
        </w:tc>
        <w:tc>
          <w:tcPr>
            <w:tcW w:w="27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center"/>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(Consolidated)</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Bank</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Trust, N.A.</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center"/>
              <w:rPr/>
            </w:pPr>
            <w:r>
              <w:rPr/>
              <w:t> </w:t>
            </w:r>
          </w:p>
        </w:tc>
        <w:tc>
          <w:tcPr>
            <w:tcW w:w="1335"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equity Tier 1</w:t>
            </w:r>
          </w:p>
        </w:tc>
        <w:tc>
          <w:tcPr>
            <w:tcW w:w="27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Tier 1 capital</w:t>
            </w:r>
          </w:p>
        </w:tc>
        <w:tc>
          <w:tcPr>
            <w:tcW w:w="27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287.31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capital</w:t>
            </w:r>
          </w:p>
        </w:tc>
        <w:tc>
          <w:tcPr>
            <w:tcW w:w="27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r>
        <w:trPr/>
        <w:tc>
          <w:tcPr>
            <w:tcW w:w="19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Tier 1 leverage</w:t>
            </w:r>
          </w:p>
        </w:tc>
        <w:tc>
          <w:tcPr>
            <w:tcW w:w="271"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92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89.22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both"/>
        <w:rPr>
          <w:rFonts w:ascii="Times New Roman" w:hAnsi="Times New Roman"/>
          <w:sz w:val="20"/>
        </w:rPr>
      </w:pPr>
      <w:r>
        <w:rPr>
          <w:rFonts w:ascii="Times New Roman;serif" w:hAnsi="Times New Roman;serif"/>
          <w:b w:val="false"/>
          <w:sz w:val="23"/>
        </w:rPr>
        <w:t>The Company is subject to the comprehensive regulatory framework applicable to bank and financial holding companies and their subsidiaries, which includes examinations by a number of regulators. Regulation of financial institutions such as M&amp;T and its subsidiaries is intended primarily for the protection of depositors, the DIF of the FDIC and the banking and financial system as a whole, and generally is not intended for the protection of shareholders, investors or creditors other than insured</w:t>
      </w:r>
      <w:r>
        <w:rPr>
          <w:rFonts w:ascii="Times New Roman" w:hAnsi="Times New Roman"/>
          <w:sz w:val="20"/>
        </w:rPr>
        <w:t xml:space="preserve"> </w:t>
      </w:r>
      <w:r>
        <w:rPr>
          <w:rFonts w:ascii="Times New Roman;serif" w:hAnsi="Times New Roman;serif"/>
          <w:b w:val="false"/>
          <w:sz w:val="23"/>
        </w:rPr>
        <w:t>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2022.</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On July 27, 2023 the federal banking agencies issued a notice of proposed rulemaking to modify the regulatory capital requirements applicable to large banking organizations with over $100 billion of total assets and their depository institution subsidiaries. The proposed rule would generally require banking organizations subject to Category III and IV standards, like the Company, to compute their regulatory capital consistent with Category I and II standards. Management is in the process of evaluating the impact of the proposed rule on the regulatory capital requirements of M&amp;T and its subsidiary banks.</w:t>
      </w:r>
    </w:p>
    <w:p>
      <w:pPr>
        <w:pStyle w:val="TextBody"/>
        <w:bidi w:val="0"/>
        <w:spacing w:before="120" w:after="0"/>
        <w:jc w:val="left"/>
        <w:rPr>
          <w:rFonts w:ascii="Times New Roman;serif" w:hAnsi="Times New Roman;serif"/>
          <w:b/>
          <w:sz w:val="23"/>
        </w:rPr>
      </w:pPr>
      <w:r>
        <w:rPr>
          <w:rFonts w:ascii="Times New Roman;serif" w:hAnsi="Times New Roman;serif"/>
          <w:b/>
          <w:sz w:val="23"/>
        </w:rPr>
        <w:t>Segment Information</w:t>
      </w:r>
    </w:p>
    <w:p>
      <w:pPr>
        <w:pStyle w:val="TextBody"/>
        <w:bidi w:val="0"/>
        <w:spacing w:before="120" w:after="0"/>
        <w:jc w:val="both"/>
        <w:rPr>
          <w:rFonts w:ascii="Times New Roman" w:hAnsi="Times New Roman"/>
          <w:sz w:val="20"/>
        </w:rPr>
      </w:pPr>
      <w:r>
        <w:rPr>
          <w:rFonts w:ascii="Times New Roman;serif" w:hAnsi="Times New Roman;serif"/>
          <w:b w:val="false"/>
          <w:sz w:val="23"/>
        </w:rPr>
        <w:t>The Company's reportable segments have been determined based upon its internal profitability reporting system, which is organized by strategic business unit. Financial information about the Company's segments is presented in note 14 of Notes to Financial Statements. The reportable segments are Business Banking, Commercial Banking, Commercial Real Estate, Discretionary Portfolio, Residential Mortgage Banking and Retail Banking. As described in the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- 79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Company’s Form 10-K for the year ended December 31, 2022, certain lending relationships within the hospitality sector were realigned from the Commercial Banking segment to the Commercial Real Estate segment and certain expenses were reallocated from the All Other segment to various reportable segments in the fourth quarter of 2022. During 2022, the Company also realigned certain acquired operations associated with People's United primarily consisting of reclassifications of certain revenues and expenses to the Commercial Banking segment from other reportable segments. The results and analysis provided herein are reflective of those changes.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 Business Banking segment recorded net income of $116 million in the second quarter of 2023, compared with $68 million and $113 million, respectively, in the periods ended June 30, 2022 and March 31, 2023. As compared with the year-earlier quarter, the increase was predominantly due to higher net interest income of $73 million reflecting a comparatively higher interest rate environment in the recent quarter, partially offset by a $7 million increase in centrally-allocated costs associated with data processing, risk management and other support services provided to the Business Banking segment. The higher net interest income reflected a 224 basis point widening of the net interest margin on deposits, partially offset by a 106 basis point narrowing of the net interest margin on loans and a decline in average outstanding deposit balances of $5.0 billion. As compared with the first quarter of 2023, the modest increase in net income in the recent quarter was attributable to a $4 million decrease in the provision for credit losses. Net income recorded by the Business Banking segment was $229 million in the first six months of 2023, compared with $107 million in the year-earlier period. Reflecting the impact of one additional quarter of People’s United-related operations, that 114% improvement resulted from a $199 million rise in net interest income, partially offset by a $23 million increase in centrally-allocated costs associated with data processing, risk management and other support services and higher personnel-related costs of $10 million. The increase in net interest income reflected a widening of the net interest margin on deposits of 232 basis points, partially offset by a narrowing of the net interest margin on loans of 116 basis points.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Net income earned by the Commercial Banking segment totaled $166 million during the quarter ended June 30, 2023, $162 million in the year-earlier quarter and $220 million in the first quarter of 2023. The increase in net income as compared with the second quarter of 2022 reflected higher credit-related and other fees of $12 million and a lower provision for credit losses of $7 million, largely offset by a $19 million increase in centrally-allocated costs associated with data processing, risk management and other support services provided to the Commercial Banking segment. The recent quarter’s 25% decline in net income as compared with the initial 2023 quarter was largely due to lower net interest income of $47 million, a $15 million increase in the provision for credit losses and a $10 million rise in centrally-allocated costs associated with data processing, risk management and other support services. The recent quarter’s decline in net interest income as compared with the first quarter of 2023 reflected a narrowing of the interest margin on loans and deposits of 31 and 14 basis points, respectively, and a decrease in average outstanding deposit balances of $2.5 billion, partially offset by higher average outstanding loan balances of $2.0 billion. The Commercial Banking segment contributed $386 million of net income in the first half of 2023, up from $290 million earned in the similar 2022 period. Contributing to that rise was a $179 million increase in net interest income and higher credit-related fees of $34 million, partially offset by higher centrally-allocated costs associated with data processing, risk management and other support services of $59 million and increases in personnel-related costs of $37 million, all reflecting one additional quarter of People’s United-related activity. The higher net interest income in the first half of 2023 was driven by a widening of the net interest margin on deposits of 157 basis points and higher average outstanding loan balances of $13.2 billion, partially offset by a 43 basis point narrowing of the net interest margin on loans and lower average outstanding deposit balances of $5.0 billion.</w:t>
      </w:r>
    </w:p>
    <w:p>
      <w:pPr>
        <w:pStyle w:val="TextBody"/>
        <w:bidi w:val="0"/>
        <w:spacing w:before="120" w:after="0"/>
        <w:jc w:val="both"/>
        <w:rPr>
          <w:rFonts w:ascii="Times New Roman" w:hAnsi="Times New Roman"/>
          <w:sz w:val="20"/>
        </w:rPr>
      </w:pPr>
      <w:r>
        <w:rPr>
          <w:rFonts w:ascii="Times New Roman;serif" w:hAnsi="Times New Roman;serif"/>
          <w:b w:val="false"/>
          <w:sz w:val="23"/>
        </w:rPr>
        <w:t>The Commercial Real Estate segment contributed net income of $39 million in the recent quarter, compared with $118 million in the second quarter of 2022 and $81 million in the initial 2023 quarter. The decline as compared with the second quarter of 2022 reflects a rise in the provision for credit losses of $68 million, a $25 million decrease in net interest income and higher centrally-allocated costs associated with data processing, risk management and other support services provided to the Commercial Real Estate segment of $11 million. The lower net interest income was driven by a 38 basis point narrowing of the net interest margin on loans and decreases in average outstanding balances of deposits and loans of $2.5 billion and $1.8 billion, respectively, partially offset by a widening of the net interest margin on deposits of 142 basis points. The decline in the recent quarter’s net income as compared with the first quarter of 2023 was driven by a $43 million increase in the provision for credit losses and lower net interest income of $8</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- 80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million. The increase in the provision for credit losses in the recent quarter as compared with the year-earlier quarter and 2023’s first quarter reflects higher net charge-offs. Net income earned by the Commercial Real Estate segment totaled $120 million during the six-month period ended June 30, 2023, compared with $229 million in the corresponding 2022 period. The factors contributing to that decline included: a $106 million increase in the provision for credit losses, reflecting higher net charge-offs; a $30 million rise in centrally-allocated costs associated with data processing, risk management and other support services; and a $14 million decline in net interest income reflecting the narrowing of the net interest margin on loans of 52 basis points. Those unfavorable factors were partially offset by a widening of the net interest margin on deposits of 165 basis points and higher average outstanding balances of loans of $2.4 billion.</w:t>
      </w:r>
    </w:p>
    <w:p>
      <w:pPr>
        <w:pStyle w:val="TextBody"/>
        <w:bidi w:val="0"/>
        <w:spacing w:before="120" w:after="0"/>
        <w:jc w:val="both"/>
        <w:rPr>
          <w:rFonts w:ascii="Times New Roman" w:hAnsi="Times New Roman"/>
          <w:sz w:val="20"/>
        </w:rPr>
      </w:pPr>
      <w:r>
        <w:rPr>
          <w:rFonts w:ascii="Times New Roman;serif" w:hAnsi="Times New Roman;serif"/>
          <w:b w:val="false"/>
          <w:sz w:val="23"/>
        </w:rPr>
        <w:t>The Discretionary Portfolio segment recorded net losses of $32 million in the recent quarter and $40 million in the initial 2023 quarter, compared with net income of $44 million in the second quarter of 2022. As compared with 2022’s second quarter, the recent quarter’s results reflected a decline in net interest income of $117 million, driven by increased interest expense from interest rate swap agreements utilized as part of the Company’s management of interest rate risk, partially offset by a $19 million</w:t>
      </w:r>
      <w:r>
        <w:rPr>
          <w:rFonts w:ascii="Times New Roman" w:hAnsi="Times New Roman"/>
          <w:sz w:val="20"/>
        </w:rPr>
        <w:t xml:space="preserve"> </w:t>
      </w:r>
      <w:r>
        <w:rPr>
          <w:rFonts w:ascii="Times New Roman;serif" w:hAnsi="Times New Roman;serif"/>
          <w:b w:val="false"/>
          <w:sz w:val="23"/>
        </w:rPr>
        <w:t>decrease in intersegment fees paid to the Residential Mortgage Banking segment reflecting the Company’s return in the first quarter of 2023 to originating for sale the majority of its newly originated residential mortgage loans, and favorable trading and non-hedging derivative gains of $6 million. The reduction in net loss in the recent quarter as compared with the immediately preceding quarter was attributable to a $5 million increase in net interest income. In the first six months of 2023, the Discretionary segment recorded a net loss of $72 million, compared with net income of $79 million in the comparable 2022 period. The year-over-year decline was predominantly the result of a $226 million decrease in net interest income reflecting the Company’s management of interest rate risk through interest rate swap agreements, offset, in part, by lower intersegment fees paid to the Residential Mortgage Banking segment of $28 million and favorable trading and non-hedging derivative gains of $7 million.</w:t>
      </w:r>
    </w:p>
    <w:p>
      <w:pPr>
        <w:pStyle w:val="TextBody"/>
        <w:bidi w:val="0"/>
        <w:spacing w:before="120" w:after="0"/>
        <w:jc w:val="both"/>
        <w:rPr>
          <w:rFonts w:ascii="Times New Roman" w:hAnsi="Times New Roman"/>
          <w:sz w:val="20"/>
        </w:rPr>
      </w:pPr>
      <w:r>
        <w:rPr>
          <w:rFonts w:ascii="Times New Roman;serif" w:hAnsi="Times New Roman;serif"/>
          <w:b w:val="false"/>
          <w:sz w:val="23"/>
        </w:rPr>
        <w:t>The Residential Mortgage Banking segment recorded net losses of $15 million and $12 million, respectively, during the quarters ended June 30, 2023 and March 31, 2023, compared with net income of $8 million in the quarter ended June 30, 2022. As compared with the year-earlier period, the net loss in the recent quarter reflects lower net interest income of $11 million. The modest increase in net loss from the first quarter of 2023</w:t>
      </w:r>
      <w:r>
        <w:rPr>
          <w:rFonts w:ascii="Times New Roman" w:hAnsi="Times New Roman"/>
          <w:sz w:val="20"/>
        </w:rPr>
        <w:t xml:space="preserve"> </w:t>
      </w:r>
      <w:r>
        <w:rPr>
          <w:rFonts w:ascii="Times New Roman;serif" w:hAnsi="Times New Roman;serif"/>
          <w:b w:val="false"/>
          <w:sz w:val="23"/>
        </w:rPr>
        <w:t>was driven by higher personnel-related costs (including severance and overtime salary expenses) of $6 million. The Residential Mortgage Banking segment recorded a net loss of $27 million in the first six months of 2023, compared with net income of $35 million in the corresponding 2022 period. Factors attributable to the net loss included a decline in net interest income of $30 million and lower revenues associated with mortgage origination and sales activities (including intersegment revenues) of $27 million, partially offset by a $7 million decline in centrally-allocated costs associated with data processing, risk management and other support services provided to the Residential Mortgage Banking segment and $5 million of lower personnel-related costs.</w:t>
      </w:r>
    </w:p>
    <w:p>
      <w:pPr>
        <w:pStyle w:val="TextBody"/>
        <w:bidi w:val="0"/>
        <w:spacing w:before="120" w:after="0"/>
        <w:jc w:val="both"/>
        <w:rPr>
          <w:rFonts w:ascii="Times New Roman" w:hAnsi="Times New Roman"/>
          <w:sz w:val="20"/>
        </w:rPr>
      </w:pPr>
      <w:r>
        <w:rPr>
          <w:rFonts w:ascii="Times New Roman;serif" w:hAnsi="Times New Roman;serif"/>
          <w:b w:val="false"/>
          <w:sz w:val="23"/>
        </w:rPr>
        <w:t>Net income earned by the Retail Banking segment totaled $336 million in the second quarter of 2023, compared with $105 million in the year-earlier quarter and $317 million in the first quarter of 2023. The improvement in the recent quarter as compared with the second quarter of 2022 included higher net interest income of $351 million reflecting a 226 basis point widening of the net interest margin on deposits, partially offset by a $5.6 billion decline in average outstanding balances in deposits. Those beneficial results were partially offset by higher personnel-related costs and a rise in the provision for credit losses of $14 million each, and a $6 million decline in service charges on deposit accounts. As compared with the immediately preceding quarter, the $20 million increase in net income was driven by higher net interest income of $29 million, declines of $5 million each in the provision for credit losses and check fraud and other losses. Those favorable factors were partially offset by a $20 million increase in centrally-allocated costs associated with data processing, risk management and other support services provided to the Retail Banking segment. The rise in net interest income was predominantly due to a 21 basis point widening in the net interest margin on deposits, partially offset by a 9 basis point narrowing of the net interest margin on loans. Net income recorded by the Retail Banking segment totaled $653 million in the first half of 2023 and $184 million in 2022. The most significant factor contributing to that 255% increase in net income was an $822 million increase in net interest income, reflecting a widening of the net interest margin on deposits of 229 basis points and higher average outstanding balances of deposits of $7.2 billion due, in part, to deposits assumed on April 1, 2022 in the People’s United transaction.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- 81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Partially offsetting that favorable factor was an increase in personnel-related costs of $77 million, a higher provision for credit losses of $33 million due to higher net charge-offs, a $29 million rise in equipment and occupancy costs, an increase in check fraud and other losses of $23 million and higher centrally-allocated costs associated with data processing, risk management and other support services of $9 million. Higher levels of expenses in the first half of 2023 reflect an additional three months of operations related to People’s United as compared with the year-earlier period.</w:t>
      </w:r>
    </w:p>
    <w:p>
      <w:pPr>
        <w:pStyle w:val="TextBody"/>
        <w:bidi w:val="0"/>
        <w:spacing w:before="120" w:after="0"/>
        <w:jc w:val="both"/>
        <w:rPr>
          <w:rFonts w:ascii="Times New Roman" w:hAnsi="Times New Roman"/>
          <w:sz w:val="20"/>
        </w:rPr>
      </w:pPr>
      <w:r>
        <w:rPr>
          <w:rFonts w:ascii="Times New Roman;serif" w:hAnsi="Times New Roman;serif"/>
          <w:b w:val="false"/>
          <w:sz w:val="23"/>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distributions from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income from the Company's ICS and WAS business activities. The various components of the “All Other” category resulted in net income of $256 million for the quarter ended June 30, 2023, compared with a net loss of $287 million in the second quarter of 2022 and net income of $24 million and first quarter of 2023. The $543</w:t>
      </w:r>
      <w:r>
        <w:rPr>
          <w:rFonts w:ascii="Times New Roman" w:hAnsi="Times New Roman"/>
          <w:sz w:val="20"/>
        </w:rPr>
        <w:t xml:space="preserve"> </w:t>
      </w:r>
      <w:r>
        <w:rPr>
          <w:rFonts w:ascii="Times New Roman;serif" w:hAnsi="Times New Roman;serif"/>
          <w:b w:val="false"/>
          <w:sz w:val="23"/>
        </w:rPr>
        <w:t>million favorable change from the year-earlier quarter reflected the $225 million gain on sale of the CIT business in April 2023, a decrease to the provision for credit losses of $223 million reflecting a $242 million provision for credit losses in the second quarter of 2023 on loans acquired from People’s United not deemed to be PCD, a $116 million increase in net interest income attributable to an increased net interest margin of 222 basis points on deposits related to the ICS and WAS businesses, a favorable impact from the Company’s allocation methodologies for internal transfers for funding charges and credits associated with earning assets and interest-bearing liabilities of the Company’s reportable segments, and merger-related expenses associated with acquisition of People’s United that were incurred in the second quarter of 2022. No merger-related expenses were incurred in the recent quarter.</w:t>
      </w:r>
      <w:r>
        <w:rPr>
          <w:rFonts w:ascii="Times New Roman" w:hAnsi="Times New Roman"/>
          <w:sz w:val="20"/>
        </w:rPr>
        <w:t xml:space="preserve"> </w:t>
      </w:r>
      <w:r>
        <w:rPr>
          <w:rFonts w:ascii="Times New Roman;serif" w:hAnsi="Times New Roman;serif"/>
          <w:b w:val="false"/>
          <w:sz w:val="23"/>
        </w:rPr>
        <w:t>The increase in net income in the second quarter of 2023 as compared with the immediately preceding quarter reflected the gain on sale of the CIT business, a decrease in personnel-related expenses of $74 million predominantly due to seasonal stock compensation and employee benefits expenses recorded in the first quarter of 2023 and a decline in the provision for credit losses of $17 million, partially offset by income received from BLG of $20 million in the first quarter of 2023. The “All Other” category had a net gain of $280 million for the six months ended June 30, 2023, compared with a net loss of $345 million recorded in the corresponding prior year period. The improved performance in 2023 was attributable to the following factors: a $373 million increase in net interest income attributable to a 234 basis point widening in net interest margin on deposits, the $225 million gain on the sale of the CIT business; a decrease in the provision for credit losses of $184 million reflecting a $242 million provision for credit losses in the second quarter of 2023 on loans acquired from People’s United not deemed to be PCD; lower merger-related costs associated with People’s United; and the favorable impact from the Company's allocation methodologies for internal transfers for funding charges and credits associated with earnings assets and interest-bearing liabilities of the Company's reportable segments. Increased expenses generally resulting from one additional quarter of operations from People’s United partially offset those favorable factors.</w:t>
      </w:r>
    </w:p>
    <w:p>
      <w:pPr>
        <w:pStyle w:val="TextBody"/>
        <w:bidi w:val="0"/>
        <w:spacing w:before="120" w:after="0"/>
        <w:jc w:val="left"/>
        <w:rPr>
          <w:rFonts w:ascii="Times New Roman;serif" w:hAnsi="Times New Roman;serif"/>
          <w:b/>
          <w:sz w:val="23"/>
        </w:rPr>
      </w:pPr>
      <w:r>
        <w:rPr>
          <w:rFonts w:ascii="Times New Roman;serif" w:hAnsi="Times New Roman;serif"/>
          <w:b/>
          <w:sz w:val="23"/>
        </w:rPr>
        <w:t>Other Matters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As widely reported a global cybersecurity incident involving MOVEit, a file transfer software owned by Progress Software Corporation, occurred in May 2023. The software is used by thousands of public and private sector entities around the world. This incident resulted in the potential exposure of customer information for any organization using MOVEit. It was determined that no information was obtained from the Company’s internal systems and these systems were not at risk from the MOVEit incident, however, certain customer information available at some of the Company's external service providers was compromised. The Company has begun notifying its affected customers of this incident. The Company does not believe this incident will have a material impact on its business, operations or consolidated financial statements.</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- 82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sz w:val="23"/>
        </w:rPr>
      </w:pPr>
      <w:r>
        <w:rPr>
          <w:rFonts w:ascii="Times New Roman;serif" w:hAnsi="Times New Roman;serif"/>
          <w:b/>
          <w:sz w:val="23"/>
        </w:rPr>
        <w:t>Recent Accounting Developments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discussion of recent accounting developments is included in note 16 of Notes to Financial Statements.</w:t>
      </w:r>
    </w:p>
    <w:p>
      <w:pPr>
        <w:pStyle w:val="TextBody"/>
        <w:bidi w:val="0"/>
        <w:spacing w:before="120" w:after="0"/>
        <w:jc w:val="both"/>
        <w:rPr>
          <w:rFonts w:ascii="Times New Roman;serif" w:hAnsi="Times New Roman;serif"/>
          <w:b/>
          <w:sz w:val="23"/>
        </w:rPr>
      </w:pPr>
      <w:r>
        <w:rPr>
          <w:rFonts w:ascii="Times New Roman;serif" w:hAnsi="Times New Roman;serif"/>
          <w:b/>
          <w:sz w:val="23"/>
        </w:rPr>
        <w:t>Forward-Looking Statements</w:t>
      </w:r>
    </w:p>
    <w:p>
      <w:pPr>
        <w:pStyle w:val="TextBody"/>
        <w:bidi w:val="0"/>
        <w:spacing w:before="120" w:after="0"/>
        <w:jc w:val="both"/>
        <w:rPr>
          <w:rFonts w:ascii="Times New Roman" w:hAnsi="Times New Roman"/>
          <w:sz w:val="20"/>
        </w:rPr>
      </w:pPr>
      <w:r>
        <w:rPr>
          <w:rFonts w:ascii="Times New Roman;serif" w:hAnsi="Times New Roman;serif"/>
          <w:b w:val="false"/>
          <w:sz w:val="23"/>
        </w:rPr>
        <w:t>Management’s Discussion and Analysis of Financial Condition and Results of Operations and other sections of this quarterly report contain forward-looking statements within the meaning of the Private Securities Litigation Reform Act of 1995 and the rules and regulations of the SEC. Any statement that does not describe historical or current facts is a forward-looking statement, including statements based on current expectations, estimates and projections about the Company’s business, management's beliefs and assumptions made by management.</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Statements regarding the potential effects of events or factors specific to the Company and/or the financial industry as a whole, as well as national and global events generally, including economic conditions, on the Company's business, financial condition, liquidity and results of operations may constitute forward-looking statements. Such statements are subject to the risk that the actual effects may differ, possibly materially, from what is reflected in those forward-looking statements due to factors and future developments that are uncertain, unpredictable and in many cases beyond the Company's control.</w:t>
      </w:r>
    </w:p>
    <w:p>
      <w:pPr>
        <w:pStyle w:val="TextBody"/>
        <w:bidi w:val="0"/>
        <w:spacing w:before="120" w:after="0"/>
        <w:jc w:val="both"/>
        <w:rPr>
          <w:rFonts w:ascii="Times New Roman" w:hAnsi="Times New Roman"/>
          <w:sz w:val="20"/>
        </w:rPr>
      </w:pPr>
      <w:r>
        <w:rPr>
          <w:rFonts w:ascii="Times New Roman;serif" w:hAnsi="Times New Roman;serif"/>
          <w:b w:val="false"/>
          <w:sz w:val="23"/>
        </w:rPr>
        <w:t>Forward-looking statements are typically identified by words such as "believe," "expect," "anticipate," "intend," "target," "estimate," "continue,"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Examples of Future Factors include: the impact of the Company's acquisition of People's United (as described in the next paragraph); events and developments in the financial services industry, including legislation, regulations and other governmental actions as well as business conditions affecting the industry and/or M&amp;T and its subsidiaries, individually or collectively; economic conditions, including inflation and market volatility;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regulatory supervision and oversight, including monetary policy and capital requirements; domestic or international political developments and other geopolitical events, including international conflicts; governmental and public policy changes, including tax policy; the outcome of pending and future litigation and governmental proceedings, including tax-related examinations and other matters; changes in accounting policies or procedures as may be required by the Financial Accounting Standards Board, regulatory agencies or legislation; increasing price, product and service competition by competitors, including new entrants; rapid technological developments and changes; the ability to continue to introduce competitive new products and services on a timely, cost-effective basis; the mix of products and services; containing costs and expenses; protection and validity of intellectual property rights; reliance on large customers; technological, implementation and cost/financial risks in large, multi-year contracts; continued availability of financing; financial resources in the amounts, at the times and on the terms required to support M&amp;T and its subsidiaries' future businesses; and material differences in the actual financial results of merger, acquisition, divestment and investment activities compared with M&amp;T's initial expectations, including the full realization of anticipated cost savings and revenue enhancements.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 addition, Future Factors related to the acquisition of People's United include, among others: the possibility that the anticipated benefits of the transaction will not be realized when expected or at all; potential adverse reactions or changes to business, customer or employee relationships; the Company's success in executing its business plans and strategies and managing the risks involved in the foregoing; the results and costs of integration efforts; the business, economic and political conditions in the markets in which M&amp;T and its subsidiaries operate; the outcome of any legal proceedings that may be instituted against M&amp;T or its subsidiaries; and other factors related to the acquisition that may affect future results of the Company.</w:t>
      </w:r>
    </w:p>
    <w:p>
      <w:pPr>
        <w:pStyle w:val="TextBody"/>
        <w:bidi w:val="0"/>
        <w:spacing w:before="240" w:after="0"/>
        <w:jc w:val="center"/>
        <w:rPr>
          <w:rFonts w:ascii="Times New Roman" w:hAnsi="Times New Roman"/>
          <w:sz w:val="20"/>
        </w:rPr>
      </w:pPr>
      <w:r>
        <w:rPr>
          <w:rFonts w:ascii="Times New Roman;serif" w:hAnsi="Times New Roman;serif"/>
          <w:b w:val="false"/>
          <w:sz w:val="20"/>
        </w:rPr>
        <w:t>- 83</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These are representative of the Future Factors that could affect the outcome of the forward-looking statements. In addition, as noted,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M&amp;T provides further detail regarding these risks and uncertainties in its Form 10-K for the year ended December 31, 2022, including in the Risk Factors section of such report, as well as in other SEC filings. Forward-looking statements speak only as of the date made, and M&amp;T does not assume any duty and does not undertake to update forward-looking statements.</w:t>
      </w:r>
    </w:p>
    <w:p>
      <w:pPr>
        <w:pStyle w:val="TextBody"/>
        <w:bidi w:val="0"/>
        <w:spacing w:before="240" w:after="0"/>
        <w:jc w:val="center"/>
        <w:rPr>
          <w:rFonts w:ascii="Times New Roman" w:hAnsi="Times New Roman"/>
          <w:sz w:val="20"/>
        </w:rPr>
      </w:pPr>
      <w:r>
        <w:rPr>
          <w:rFonts w:ascii="Times New Roman;serif" w:hAnsi="Times New Roman;serif"/>
          <w:b w:val="false"/>
          <w:sz w:val="20"/>
        </w:rPr>
        <w:t>- 84</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2"/>
        </w:rPr>
      </w:pPr>
      <w:r>
        <w:rPr>
          <w:rFonts w:ascii="Times New Roman;serif" w:hAnsi="Times New Roman;serif"/>
          <w:b w:val="false"/>
          <w:sz w:val="22"/>
        </w:rPr>
        <w:t>M&amp;T BANK CORPORATION AND SUBSIDIARIES</w:t>
      </w:r>
    </w:p>
    <w:p>
      <w:pPr>
        <w:pStyle w:val="TextBody"/>
        <w:bidi w:val="0"/>
        <w:spacing w:before="0" w:after="0"/>
        <w:jc w:val="right"/>
        <w:rPr>
          <w:rFonts w:ascii="Times New Roman;serif" w:hAnsi="Times New Roman;serif"/>
          <w:b w:val="false"/>
          <w:sz w:val="22"/>
        </w:rPr>
      </w:pPr>
      <w:r>
        <w:rPr>
          <w:rFonts w:ascii="Times New Roman;serif" w:hAnsi="Times New Roman;serif"/>
          <w:b w:val="false"/>
          <w:sz w:val="22"/>
        </w:rPr>
        <w:t>Table 1</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QUARTERLY TRENDS</w:t>
      </w:r>
    </w:p>
    <w:tbl>
      <w:tblPr>
        <w:tblW w:w="10205" w:type="dxa"/>
        <w:jc w:val="left"/>
        <w:tblInd w:w="0" w:type="dxa"/>
        <w:tblLayout w:type="fixed"/>
        <w:tblCellMar>
          <w:top w:w="28" w:type="dxa"/>
          <w:left w:w="28" w:type="dxa"/>
          <w:bottom w:w="28" w:type="dxa"/>
          <w:right w:w="28" w:type="dxa"/>
        </w:tblCellMar>
      </w:tblPr>
      <w:tblGrid>
        <w:gridCol w:w="1891"/>
        <w:gridCol w:w="196"/>
        <w:gridCol w:w="826"/>
        <w:gridCol w:w="241"/>
        <w:gridCol w:w="146"/>
        <w:gridCol w:w="146"/>
        <w:gridCol w:w="826"/>
        <w:gridCol w:w="241"/>
        <w:gridCol w:w="146"/>
        <w:gridCol w:w="146"/>
        <w:gridCol w:w="826"/>
        <w:gridCol w:w="241"/>
        <w:gridCol w:w="146"/>
        <w:gridCol w:w="146"/>
        <w:gridCol w:w="826"/>
        <w:gridCol w:w="241"/>
        <w:gridCol w:w="146"/>
        <w:gridCol w:w="146"/>
        <w:gridCol w:w="826"/>
        <w:gridCol w:w="241"/>
        <w:gridCol w:w="146"/>
        <w:gridCol w:w="146"/>
        <w:gridCol w:w="691"/>
        <w:gridCol w:w="241"/>
        <w:gridCol w:w="391"/>
      </w:tblGrid>
      <w:tr>
        <w:trPr/>
        <w:tc>
          <w:tcPr>
            <w:tcW w:w="1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pPr>
            <w:r>
              <w:rPr/>
              <w:t> </w:t>
            </w:r>
          </w:p>
        </w:tc>
        <w:tc>
          <w:tcPr>
            <w:tcW w:w="23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 Quarters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91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 Quarters</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Fourth</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Third</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Second</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First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Earnings and dividends</w:t>
            </w:r>
          </w:p>
        </w:tc>
        <w:tc>
          <w:tcPr>
            <w:tcW w:w="102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Amounts in thousands, except per share</w:t>
            </w:r>
          </w:p>
        </w:tc>
        <w:tc>
          <w:tcPr>
            <w:tcW w:w="102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income (taxable-equivalent basis)</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2,529,511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2,340,447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2,085,594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1,793,340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1,475,868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931,490</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716,496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508,721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244,835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102,822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53,425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24,082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interest income</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1,813,015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1,831,726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1,840,759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1,690,518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1,422,443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907,408</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Less: provision for credit losses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302,000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10,000</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income</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803,171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587,133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681,537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563,079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571,100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540,887</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Less: other expense</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1,292,559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1,359,230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1,408,288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1,279,253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1,403,154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959,741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Income before income taxes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1,173,627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939,629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1,024,008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859,344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288,389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478,554</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Applicable income taxes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292,707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224,543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245,252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200,921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60,141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113,146</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Taxable-equivalent adjustment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13,886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13,462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13,385</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11,827</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10,726</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3,234</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867,034</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701,624</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765,371</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646,596</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217,522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362,174</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Net income available to common </w:t>
              <w:br/>
              <w:t>     shareholders-diluted</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840,524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675,511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739,126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620,554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192,236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339,590</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 common share data</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Basic earnings</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Diluted earnings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2.62</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dividends</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common shares outstanding</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Basic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165,842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167,732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171,187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174,609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177,367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128,945</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Diluted</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166,320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168,410</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172,149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175,682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178,277</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129,416</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Performance ratios, annualized</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Return on</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Average assets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Average common shareholders’ equity</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14.27</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Net interest margin on average earning </w:t>
              <w:br/>
              <w:t>     assets (taxable-equivalent basis)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Nonaccrual loans to total loans and </w:t>
              <w:br/>
              <w:t>     leases, net of unearned discount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operating (tangible) results (a)</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operating income (in thousands)</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878,661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714,935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812,359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700,030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577,622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375,999</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Diluted net operating income per common share</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Annualized return on</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Average tangible assets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Average tangible common shareholders’ equity</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22.73</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21.29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14.41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12.44</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Efficiency ratio (b)</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55.5</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Balance sheet data</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i/>
                <w:sz w:val="16"/>
              </w:rPr>
            </w:pPr>
            <w:r>
              <w:rPr>
                <w:rFonts w:ascii="Times New Roman;serif" w:hAnsi="Times New Roman;serif"/>
                <w:b w:val="false"/>
                <w:i/>
                <w:sz w:val="16"/>
              </w:rPr>
              <w:t>In millions, except per share</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Average balances</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assets (c)</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204,376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202,599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198,592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201,131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208,865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151,648</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tangible assets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195,764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193,957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189,934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192,450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200,170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147,053</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Earning assets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185,936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184,069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179,914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182,382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189,755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138,624</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securities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28,623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27,622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25,297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22,384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7,724</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Loans and leases, net of unearned discount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133,545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132,012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129,406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127,525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127,599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92,159</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Deposits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159,399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161,537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163,468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167,271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174,683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128,055</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shareholders’ equity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23,674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23,366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23,335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23,654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24,079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16,144</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Tangible common shareholders’ equity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15,062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14,724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14,677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14,973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15,384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11,549</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9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At end of quarter</w:t>
            </w:r>
          </w:p>
        </w:tc>
        <w:tc>
          <w:tcPr>
            <w:tcW w:w="102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assets (c)</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207,672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202,956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200,730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197,955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204,033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149,864</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tangible assets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199,074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194,321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192,082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189,281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195,344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145,269</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Earning assets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188,504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183,853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181,855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178,351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185,109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137,237</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Investment securities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27,916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28,443</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25,211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24,604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22,802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9,357</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Loans and leases, net of unearned discount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133,344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132,938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131,564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128,226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128,486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91,808</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Deposits</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162,058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159,075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163,515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163,845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170,358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126,319</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Common shareholders’ equity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23,790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23,366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23,307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23,784</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16,126</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Tangible common shareholders’ equity (c)</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15,192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14,731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14,571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15,095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11,531</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Equity per common share</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143.41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140.88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137.68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134.45</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135.16</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124.93</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9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Tangible equity per common share</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91.58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88.81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86.59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84.28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85.78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89.33</w:t>
            </w:r>
          </w:p>
        </w:tc>
        <w:tc>
          <w:tcPr>
            <w:tcW w:w="241" w:type="dxa"/>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both"/>
        <w:rPr>
          <w:rFonts w:ascii="Times New Roman" w:hAnsi="Times New Roman"/>
          <w:b w:val="false"/>
          <w:i/>
          <w:sz w:val="15"/>
        </w:rPr>
      </w:pPr>
      <w:r>
        <w:rPr>
          <w:rFonts w:ascii="Times New Roman" w:hAnsi="Times New Roman"/>
          <w:b w:val="false"/>
          <w:i/>
          <w:sz w:val="15"/>
        </w:rPr>
        <w:t>(a)</w:t>
      </w:r>
    </w:p>
    <w:p>
      <w:pPr>
        <w:pStyle w:val="TextBody"/>
        <w:bidi w:val="0"/>
        <w:spacing w:before="40" w:after="0"/>
        <w:jc w:val="both"/>
        <w:rPr>
          <w:rFonts w:ascii="Times New Roman;serif" w:hAnsi="Times New Roman;serif"/>
          <w:b w:val="false"/>
          <w:i/>
          <w:sz w:val="15"/>
        </w:rPr>
      </w:pPr>
      <w:r>
        <w:rPr>
          <w:rFonts w:ascii="Times New Roman;serif" w:hAnsi="Times New Roman;serif"/>
          <w:b w:val="false"/>
          <w:i/>
          <w:sz w:val="15"/>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pStyle w:val="TextBody"/>
        <w:bidi w:val="0"/>
        <w:spacing w:before="0" w:after="0"/>
        <w:jc w:val="both"/>
        <w:rPr>
          <w:rFonts w:ascii="Times New Roman" w:hAnsi="Times New Roman"/>
          <w:b w:val="false"/>
          <w:i/>
          <w:sz w:val="15"/>
        </w:rPr>
      </w:pPr>
      <w:r>
        <w:rPr>
          <w:rFonts w:ascii="Times New Roman" w:hAnsi="Times New Roman"/>
          <w:b w:val="false"/>
          <w:i/>
          <w:sz w:val="15"/>
        </w:rPr>
        <w:t>(b)</w:t>
      </w:r>
    </w:p>
    <w:p>
      <w:pPr>
        <w:pStyle w:val="TextBody"/>
        <w:bidi w:val="0"/>
        <w:spacing w:before="0" w:after="0"/>
        <w:jc w:val="both"/>
        <w:rPr>
          <w:rFonts w:ascii="Times New Roman;serif" w:hAnsi="Times New Roman;serif"/>
          <w:b w:val="false"/>
          <w:i/>
          <w:sz w:val="15"/>
        </w:rPr>
      </w:pPr>
      <w:r>
        <w:rPr>
          <w:rFonts w:ascii="Times New Roman;serif" w:hAnsi="Times New Roman;serif"/>
          <w:b w:val="false"/>
          <w:i/>
          <w:sz w:val="15"/>
        </w:rPr>
        <w:t>Excludes impact of merger-related expenses and net securities transactions.</w:t>
      </w:r>
    </w:p>
    <w:p>
      <w:pPr>
        <w:pStyle w:val="TextBody"/>
        <w:bidi w:val="0"/>
        <w:spacing w:before="0" w:after="0"/>
        <w:jc w:val="both"/>
        <w:rPr>
          <w:rFonts w:ascii="Times New Roman" w:hAnsi="Times New Roman"/>
          <w:b w:val="false"/>
          <w:i/>
          <w:sz w:val="15"/>
        </w:rPr>
      </w:pPr>
      <w:r>
        <w:rPr>
          <w:rFonts w:ascii="Times New Roman" w:hAnsi="Times New Roman"/>
          <w:b w:val="false"/>
          <w:i/>
          <w:sz w:val="15"/>
        </w:rPr>
        <w:t>(c)</w:t>
      </w:r>
    </w:p>
    <w:p>
      <w:pPr>
        <w:pStyle w:val="TextBody"/>
        <w:bidi w:val="0"/>
        <w:jc w:val="both"/>
        <w:rPr>
          <w:rFonts w:ascii="Times New Roman;serif" w:hAnsi="Times New Roman;serif"/>
          <w:b w:val="false"/>
          <w:i/>
          <w:sz w:val="15"/>
        </w:rPr>
      </w:pPr>
      <w:r>
        <w:rPr>
          <w:rFonts w:ascii="Times New Roman;serif" w:hAnsi="Times New Roman;serif"/>
          <w:b w:val="false"/>
          <w:i/>
          <w:sz w:val="15"/>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pStyle w:val="TextBody"/>
        <w:bidi w:val="0"/>
        <w:spacing w:before="240" w:after="0"/>
        <w:jc w:val="center"/>
        <w:rPr>
          <w:rFonts w:ascii="Times New Roman" w:hAnsi="Times New Roman"/>
          <w:sz w:val="20"/>
        </w:rPr>
      </w:pPr>
      <w:r>
        <w:rPr>
          <w:rFonts w:ascii="Times New Roman;serif" w:hAnsi="Times New Roman;serif"/>
          <w:b w:val="false"/>
          <w:sz w:val="20"/>
        </w:rPr>
        <w:t>- 85</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M&amp;T BANK CORPORATION AND SUBSIDIARIES</w:t>
      </w:r>
    </w:p>
    <w:p>
      <w:pPr>
        <w:pStyle w:val="TextBody"/>
        <w:bidi w:val="0"/>
        <w:spacing w:before="0" w:after="0"/>
        <w:jc w:val="right"/>
        <w:rPr>
          <w:rFonts w:ascii="Times New Roman;serif" w:hAnsi="Times New Roman;serif"/>
          <w:b w:val="false"/>
          <w:sz w:val="22"/>
        </w:rPr>
      </w:pPr>
      <w:r>
        <w:rPr>
          <w:rFonts w:ascii="Times New Roman;serif" w:hAnsi="Times New Roman;serif"/>
          <w:b w:val="false"/>
          <w:sz w:val="22"/>
        </w:rPr>
        <w:t>Table 2</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RECONCILIATION OF QUARTERLY GAAP TO NON-GAAP MEASURES</w:t>
      </w:r>
    </w:p>
    <w:tbl>
      <w:tblPr>
        <w:tblW w:w="10205" w:type="dxa"/>
        <w:jc w:val="left"/>
        <w:tblInd w:w="0" w:type="dxa"/>
        <w:tblLayout w:type="fixed"/>
        <w:tblCellMar>
          <w:top w:w="28" w:type="dxa"/>
          <w:left w:w="28" w:type="dxa"/>
          <w:bottom w:w="28" w:type="dxa"/>
          <w:right w:w="28" w:type="dxa"/>
        </w:tblCellMar>
      </w:tblPr>
      <w:tblGrid>
        <w:gridCol w:w="2731"/>
        <w:gridCol w:w="146"/>
        <w:gridCol w:w="181"/>
        <w:gridCol w:w="691"/>
        <w:gridCol w:w="306"/>
        <w:gridCol w:w="146"/>
        <w:gridCol w:w="181"/>
        <w:gridCol w:w="691"/>
        <w:gridCol w:w="211"/>
        <w:gridCol w:w="146"/>
        <w:gridCol w:w="146"/>
        <w:gridCol w:w="691"/>
        <w:gridCol w:w="211"/>
        <w:gridCol w:w="146"/>
        <w:gridCol w:w="146"/>
        <w:gridCol w:w="691"/>
        <w:gridCol w:w="211"/>
        <w:gridCol w:w="146"/>
        <w:gridCol w:w="146"/>
        <w:gridCol w:w="691"/>
        <w:gridCol w:w="211"/>
        <w:gridCol w:w="146"/>
        <w:gridCol w:w="146"/>
        <w:gridCol w:w="691"/>
        <w:gridCol w:w="35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 Quarters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441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 Quarters</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Second</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First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Fourth</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Third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Second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First</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gridSpan w:val="6"/>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 xml:space="preserve">Income statement data (in thousands, </w:t>
              <w:br/>
              <w:t>   except per share)</w:t>
            </w:r>
          </w:p>
        </w:tc>
        <w:tc>
          <w:tcPr>
            <w:tcW w:w="87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Net income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867,034</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701,624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765,371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646,596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217,522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362,174</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Amortization of core deposit and other </w:t>
              <w:br/>
              <w:t>   intangible assets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11,627</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13,311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13,559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14,141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14,138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933</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Merger-related expenses (a)</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33,429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39,293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345,962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12,892</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Net operating income</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878,661</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714,935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812,359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700,030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577,622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375,999</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Earnings per common share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Diluted earnings per common share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5.05</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3.53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2.62</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Amortization of core deposit and other </w:t>
              <w:br/>
              <w:t>   intangible assets (a)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0.07</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.01</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Merger-related expenses (a)</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Diluted net operating earnings per</w:t>
              <w:br/>
              <w:t>  common share</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5.12</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3.83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2.73</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Other expense</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expense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1,292,559</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1,359,230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1,408,288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1,279,253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1,403,154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959,741</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Amortization of core deposit and other </w:t>
              <w:br/>
              <w:t>   intangible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(14,945</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(17,208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(1,256</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Merger-related expenses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(45,113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(222,809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(17,372</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Noninterest operating expense</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1,277,614</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1,342,022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1,345,575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1,207,842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1,161,961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941,113</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sz w:val="14"/>
              </w:rPr>
            </w:pPr>
            <w:r>
              <w:rPr>
                <w:rFonts w:ascii="Times New Roman;serif" w:hAnsi="Times New Roman;serif"/>
                <w:b/>
                <w:sz w:val="14"/>
              </w:rPr>
              <w:t>Merger-related expenses</w:t>
            </w:r>
          </w:p>
        </w:tc>
        <w:tc>
          <w:tcPr>
            <w:tcW w:w="146" w:type="dxa"/>
            <w:tcBorders/>
            <w:vAlign w:val="center"/>
          </w:tcPr>
          <w:p>
            <w:pPr>
              <w:pStyle w:val="TableContents"/>
              <w:bidi w:val="0"/>
              <w:spacing w:before="0" w:after="0"/>
              <w:ind w:left="16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firstLine="160"/>
              <w:jc w:val="right"/>
              <w:rPr/>
            </w:pPr>
            <w:r>
              <w:rPr/>
              <w:t> </w:t>
            </w:r>
          </w:p>
        </w:tc>
        <w:tc>
          <w:tcPr>
            <w:tcW w:w="146" w:type="dxa"/>
            <w:tcBorders/>
            <w:vAlign w:val="center"/>
          </w:tcPr>
          <w:p>
            <w:pPr>
              <w:pStyle w:val="TableContents"/>
              <w:bidi w:val="0"/>
              <w:spacing w:before="0" w:after="0"/>
              <w:ind w:left="16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Salaries and employee benefits</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3,670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13,094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85,299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Equipment and net occupancy</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2,294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2,106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1,807</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Outside data processing and software</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2,193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Advertising and marketing</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5,258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2,177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628</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Printing, postage and supplies</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2,953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722</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Other costs of operations</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28,745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132,633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13,876</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Other expense</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45,113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53,027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222,809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17,372</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Provision for credit losses</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242,000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Total</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45,113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53,027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464,809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17,372</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Efficiency ratio</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Noninterest operating expense (numerator)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1,277,614</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1,342,022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1,345,575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1,207,842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1,161,961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941,113</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Taxable-equivalent net interest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1,813,015</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1,831,726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1,840,759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1,690,518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1,422,443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907,408</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income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803,171</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587,133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681,537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563,079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571,100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540,887</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Less: Gain (loss) on bank investment securities</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1,004</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(3,773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(743</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Denominator</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2,615,182</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2,419,275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2,526,069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2,254,705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1,993,605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1,449,038</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Efficiency ratio</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48.9</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53.6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64.9</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Balance sheet data (in millions)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Average assets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Average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204,376</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202,599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198,592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201,131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208,865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151,648</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Goodwill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(8,473</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taxes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Average tangible assets</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195,764</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193,957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189,934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192,450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200,170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147,053</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Average common equity</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Average total equity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25,685</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25,377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25,346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25,665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26,090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17,894</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Average common equity</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23,674</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23,366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23,335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23,654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24,079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16,144</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Goodwill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(8,473</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taxes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Average tangible common equity</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15,062</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14,724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14,677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14,973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15,384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11,549</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At end of quarter</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assets</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207,672</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202,956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200,730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197,955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204,033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149,864</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Goodwill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(8,465</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taxes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Total tangible assets</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199,074</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194,321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192,082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189,281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195,344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145,269</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common equity</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30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37" w:type="dxa"/>
            <w:gridSpan w:val="2"/>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righ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Total equity</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25,801</w:t>
            </w:r>
          </w:p>
        </w:tc>
        <w:tc>
          <w:tcPr>
            <w:tcW w:w="3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25,377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25,318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25,256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25,795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17,876</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Preferred stock</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(1,750</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Common equity</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23,790</w:t>
            </w:r>
          </w:p>
        </w:tc>
        <w:tc>
          <w:tcPr>
            <w:tcW w:w="306" w:type="dxa"/>
            <w:tcBorders/>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23,366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23,307</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23,245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23,784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16,126</w:t>
            </w:r>
          </w:p>
        </w:tc>
        <w:tc>
          <w:tcPr>
            <w:tcW w:w="356"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Goodwill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(8,465</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(8,501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Core deposit and other intangible assets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w:t>
            </w:r>
          </w:p>
        </w:tc>
        <w:tc>
          <w:tcPr>
            <w:tcW w:w="30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35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Deferred taxes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c>
          <w:tcPr>
            <w:tcW w:w="3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356" w:type="dxa"/>
            <w:tcBorders>
              <w:bottom w:val="single" w:sz="4"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r>
      <w:tr>
        <w:trPr/>
        <w:tc>
          <w:tcPr>
            <w:tcW w:w="2731" w:type="dxa"/>
            <w:tcBorders/>
            <w:vAlign w:val="center"/>
          </w:tcPr>
          <w:p>
            <w:pPr>
              <w:pStyle w:val="TableContents"/>
              <w:bidi w:val="0"/>
              <w:spacing w:before="0" w:after="0"/>
              <w:ind w:left="0" w:right="0" w:firstLine="160"/>
              <w:jc w:val="left"/>
              <w:rPr>
                <w:rFonts w:ascii="Times New Roman;serif" w:hAnsi="Times New Roman;serif"/>
                <w:b w:val="false"/>
                <w:sz w:val="14"/>
              </w:rPr>
            </w:pPr>
            <w:r>
              <w:rPr>
                <w:rFonts w:ascii="Times New Roman;serif" w:hAnsi="Times New Roman;serif"/>
                <w:b w:val="false"/>
                <w:sz w:val="14"/>
              </w:rPr>
              <w:t>Total tangible common equity</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15,192</w:t>
            </w:r>
          </w:p>
        </w:tc>
        <w:tc>
          <w:tcPr>
            <w:tcW w:w="306" w:type="dxa"/>
            <w:tcBorders>
              <w:bottom w:val="double" w:sz="6" w:space="0" w:color="000000"/>
            </w:tcBorders>
            <w:tcMar>
              <w:top w:w="0" w:type="dxa"/>
              <w:left w:w="0" w:type="dxa"/>
              <w:right w:w="0" w:type="dxa"/>
            </w:tcMar>
            <w:vAlign w:val="center"/>
          </w:tcPr>
          <w:p>
            <w:pPr>
              <w:pStyle w:val="TableContents"/>
              <w:bidi w:val="0"/>
              <w:spacing w:before="0" w:after="0"/>
              <w:ind w:left="0" w:right="0" w:firstLine="160"/>
              <w:jc w:val="left"/>
              <w:rPr/>
            </w:pPr>
            <w:r>
              <w:rPr/>
              <w:t> </w:t>
            </w:r>
          </w:p>
        </w:tc>
        <w:tc>
          <w:tcPr>
            <w:tcW w:w="146" w:type="dxa"/>
            <w:tcBorders/>
            <w:vAlign w:val="center"/>
          </w:tcPr>
          <w:p>
            <w:pPr>
              <w:pStyle w:val="TableContents"/>
              <w:bidi w:val="0"/>
              <w:spacing w:before="0" w:after="0"/>
              <w:ind w:left="16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14,731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14,659</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14,571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15,095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11,531</w:t>
            </w:r>
          </w:p>
        </w:tc>
        <w:tc>
          <w:tcPr>
            <w:tcW w:w="3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left"/>
        <w:rPr>
          <w:rFonts w:ascii="Times New Roman" w:hAnsi="Times New Roman"/>
          <w:b w:val="false"/>
          <w:i/>
          <w:sz w:val="16"/>
        </w:rPr>
      </w:pPr>
      <w:r>
        <w:rPr>
          <w:rFonts w:ascii="Times New Roman" w:hAnsi="Times New Roman"/>
          <w:b w:val="false"/>
          <w:i/>
          <w:sz w:val="16"/>
        </w:rPr>
        <w:t>(a)</w:t>
      </w:r>
    </w:p>
    <w:p>
      <w:pPr>
        <w:pStyle w:val="TextBody"/>
        <w:bidi w:val="0"/>
        <w:spacing w:before="40" w:after="283"/>
        <w:jc w:val="left"/>
        <w:rPr>
          <w:rFonts w:ascii="Times New Roman;serif" w:hAnsi="Times New Roman;serif"/>
          <w:b w:val="false"/>
          <w:i/>
          <w:sz w:val="16"/>
        </w:rPr>
      </w:pPr>
      <w:r>
        <w:rPr>
          <w:rFonts w:ascii="Times New Roman;serif" w:hAnsi="Times New Roman;serif"/>
          <w:b w:val="false"/>
          <w:i/>
          <w:sz w:val="16"/>
        </w:rPr>
        <w:t>After any related tax effect.</w:t>
      </w:r>
    </w:p>
    <w:p>
      <w:pPr>
        <w:pStyle w:val="TextBody"/>
        <w:bidi w:val="0"/>
        <w:spacing w:before="240" w:after="0"/>
        <w:jc w:val="center"/>
        <w:rPr>
          <w:rFonts w:ascii="Times New Roman" w:hAnsi="Times New Roman"/>
          <w:sz w:val="20"/>
        </w:rPr>
      </w:pPr>
      <w:r>
        <w:rPr>
          <w:rFonts w:ascii="Times New Roman;serif" w:hAnsi="Times New Roman;serif"/>
          <w:b w:val="false"/>
          <w:sz w:val="20"/>
        </w:rPr>
        <w:t>- 86</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0" w:after="0"/>
        <w:jc w:val="right"/>
        <w:rPr>
          <w:rFonts w:ascii="Times New Roman;serif" w:hAnsi="Times New Roman;serif"/>
          <w:b w:val="false"/>
          <w:sz w:val="23"/>
        </w:rPr>
      </w:pPr>
      <w:r>
        <w:rPr>
          <w:rFonts w:ascii="Times New Roman;serif" w:hAnsi="Times New Roman;serif"/>
          <w:b w:val="false"/>
          <w:sz w:val="23"/>
        </w:rPr>
        <w:t>Table 3</w:t>
      </w:r>
    </w:p>
    <w:p>
      <w:pPr>
        <w:pStyle w:val="TextBody"/>
        <w:bidi w:val="0"/>
        <w:spacing w:before="120" w:after="0"/>
        <w:jc w:val="left"/>
        <w:rPr>
          <w:rFonts w:ascii="Times New Roman;serif" w:hAnsi="Times New Roman;serif"/>
          <w:b w:val="false"/>
          <w:sz w:val="23"/>
        </w:rPr>
      </w:pPr>
      <w:r>
        <w:rPr>
          <w:rFonts w:ascii="Times New Roman;serif" w:hAnsi="Times New Roman;serif"/>
          <w:b w:val="false"/>
          <w:sz w:val="23"/>
        </w:rPr>
        <w:t>AVERAGE BALANCE SHEETS AND ANNUALIZED TAXABLE-EQUIVALENT RATES</w:t>
      </w:r>
    </w:p>
    <w:tbl>
      <w:tblPr>
        <w:tblW w:w="11345" w:type="dxa"/>
        <w:jc w:val="left"/>
        <w:tblInd w:w="0" w:type="dxa"/>
        <w:tblLayout w:type="fixed"/>
        <w:tblCellMar>
          <w:top w:w="28" w:type="dxa"/>
          <w:left w:w="28" w:type="dxa"/>
          <w:bottom w:w="28" w:type="dxa"/>
          <w:right w:w="28" w:type="dxa"/>
        </w:tblCellMar>
      </w:tblPr>
      <w:tblGrid>
        <w:gridCol w:w="1276"/>
        <w:gridCol w:w="146"/>
        <w:gridCol w:w="181"/>
        <w:gridCol w:w="586"/>
        <w:gridCol w:w="151"/>
        <w:gridCol w:w="146"/>
        <w:gridCol w:w="181"/>
        <w:gridCol w:w="691"/>
        <w:gridCol w:w="146"/>
        <w:gridCol w:w="146"/>
        <w:gridCol w:w="173"/>
        <w:gridCol w:w="428"/>
        <w:gridCol w:w="211"/>
        <w:gridCol w:w="146"/>
        <w:gridCol w:w="181"/>
        <w:gridCol w:w="586"/>
        <w:gridCol w:w="151"/>
        <w:gridCol w:w="146"/>
        <w:gridCol w:w="181"/>
        <w:gridCol w:w="691"/>
        <w:gridCol w:w="146"/>
        <w:gridCol w:w="146"/>
        <w:gridCol w:w="173"/>
        <w:gridCol w:w="428"/>
        <w:gridCol w:w="211"/>
        <w:gridCol w:w="146"/>
        <w:gridCol w:w="181"/>
        <w:gridCol w:w="586"/>
        <w:gridCol w:w="151"/>
        <w:gridCol w:w="146"/>
        <w:gridCol w:w="181"/>
        <w:gridCol w:w="691"/>
        <w:gridCol w:w="146"/>
        <w:gridCol w:w="146"/>
        <w:gridCol w:w="173"/>
        <w:gridCol w:w="428"/>
        <w:gridCol w:w="211"/>
        <w:gridCol w:w="51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2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 Second Quarter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2023 First Quarter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2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2022 Fourth Quarter</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Balance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Rate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Balance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Rate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Balance</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Average</w:t>
              <w:br/>
              <w:t>Rate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i/>
                <w:sz w:val="14"/>
              </w:rPr>
            </w:pPr>
            <w:r>
              <w:rPr>
                <w:rFonts w:ascii="Times New Roman;serif" w:hAnsi="Times New Roman;serif"/>
                <w:b/>
                <w:i/>
                <w:sz w:val="14"/>
              </w:rPr>
              <w:t>Average balance in millions; interest in thousands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Assets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Earning assets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Loans and leases, net of unearned</w:t>
              <w:br/>
              <w:t>    discount (a)</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Commercial, financial, etc.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44,531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754,312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42,428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676,194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40,038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581,161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Real estate – commercial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44,944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710,284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6.25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45,327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659,099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45,690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5.06</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Real estate – consumer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23,781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23,334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228,391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3.92</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Consumer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20,289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297,217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5.88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20,487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286,596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20,344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270,590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loans and leases, net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133,545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2,005,709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132,012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1,857,030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129,406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1,671,432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23,617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302,429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24,312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278,417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4.64</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25,089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 xml:space="preserve">Federal funds sold and agreements </w:t>
              <w:br/>
              <w:t>   to resell securities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5.53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4.32</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Trading account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2.66</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2.13</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Investment securities (b)</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24,630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2.92</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23,795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166,978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21,590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140,315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2.58</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Obligations of states and political subdivisions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2,555</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2,607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3.67</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Other</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1,438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4.83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1,257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13,557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1,100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investment securities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28,623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220,373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27,622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204,286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25,297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176,485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sz w:val="14"/>
              </w:rPr>
            </w:pPr>
            <w:r>
              <w:rPr>
                <w:rFonts w:ascii="Times New Roman;serif" w:hAnsi="Times New Roman;serif"/>
                <w:b/>
                <w:sz w:val="14"/>
              </w:rPr>
              <w:t>Total earning assets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185,936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2,529,511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184,069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2,340,447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179,914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2,085,594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(1,985</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(1,938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(1,888</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Cash and due from banks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1,747</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1,952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assets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18,678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18,516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18,577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assets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204,376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202,599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198,592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Interest-bearing liabilities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Interest-bearing deposits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87,210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368,362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88,053</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277,068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1.28</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87,068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167,421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.76</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160"/>
              <w:jc w:val="left"/>
              <w:rPr/>
            </w:pPr>
            <w:r>
              <w:rPr/>
              <w:t> </w:t>
            </w:r>
          </w:p>
        </w:tc>
      </w:tr>
      <w:tr>
        <w:trPr/>
        <w:tc>
          <w:tcPr>
            <w:tcW w:w="1276" w:type="dxa"/>
            <w:tcBorders/>
            <w:vAlign w:val="center"/>
          </w:tcPr>
          <w:p>
            <w:pPr>
              <w:pStyle w:val="TableContents"/>
              <w:bidi w:val="0"/>
              <w:spacing w:before="0" w:after="0"/>
              <w:ind w:left="160" w:right="0" w:hanging="0"/>
              <w:jc w:val="left"/>
              <w:rPr>
                <w:rFonts w:ascii="Times New Roman;serif" w:hAnsi="Times New Roman;serif"/>
                <w:b w:val="false"/>
                <w:sz w:val="14"/>
              </w:rPr>
            </w:pPr>
            <w:r>
              <w:rPr>
                <w:rFonts w:ascii="Times New Roman;serif" w:hAnsi="Times New Roman;serif"/>
                <w:b w:val="false"/>
                <w:sz w:val="14"/>
              </w:rPr>
              <w:t>Time deposits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16,009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150,337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11,630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89,197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6,182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20,119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1.29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interest-bearing deposits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103,219</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518,699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99,683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366,265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93,250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187,540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Short-term borrowings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7,539</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95,996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5.11</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4,994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57,776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4.69</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1,632</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3.24</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Long-term borrowings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7,516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101,801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6,511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84,680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5.27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3,753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4.65</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sz w:val="14"/>
              </w:rPr>
            </w:pPr>
            <w:r>
              <w:rPr>
                <w:rFonts w:ascii="Times New Roman;serif" w:hAnsi="Times New Roman;serif"/>
                <w:b/>
                <w:sz w:val="14"/>
              </w:rPr>
              <w:t>Total interest-bearing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118,274</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716,496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111,188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508,721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1.86</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98,635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244,835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56,180</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61,854</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70,218</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Other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4,237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4,180</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4,393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liabilities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178,691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177,222</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173,246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Shareholders’ equity</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25,685</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25,377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25,346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firstLine="320"/>
              <w:jc w:val="left"/>
              <w:rPr/>
            </w:pPr>
            <w:r>
              <w:rPr/>
              <w:t> </w:t>
            </w:r>
          </w:p>
        </w:tc>
      </w:tr>
      <w:tr>
        <w:trPr/>
        <w:tc>
          <w:tcPr>
            <w:tcW w:w="1276" w:type="dxa"/>
            <w:tcBorders/>
            <w:vAlign w:val="center"/>
          </w:tcPr>
          <w:p>
            <w:pPr>
              <w:pStyle w:val="TableContents"/>
              <w:bidi w:val="0"/>
              <w:spacing w:before="0" w:after="0"/>
              <w:ind w:left="320" w:right="0" w:hanging="0"/>
              <w:jc w:val="left"/>
              <w:rPr>
                <w:rFonts w:ascii="Times New Roman;serif" w:hAnsi="Times New Roman;serif"/>
                <w:b w:val="false"/>
                <w:sz w:val="14"/>
              </w:rPr>
            </w:pPr>
            <w:r>
              <w:rPr>
                <w:rFonts w:ascii="Times New Roman;serif" w:hAnsi="Times New Roman;serif"/>
                <w:b w:val="false"/>
                <w:sz w:val="14"/>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204,376</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202,599</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198,592</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0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interest spread</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3.03</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3.30</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428"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3.62</w:t>
            </w:r>
          </w:p>
        </w:tc>
        <w:tc>
          <w:tcPr>
            <w:tcW w:w="21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Contribution of interest-free funds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left"/>
              <w:rPr/>
            </w:pPr>
            <w:r>
              <w:rPr/>
              <w:t> </w:t>
            </w:r>
          </w:p>
        </w:tc>
      </w:tr>
      <w:tr>
        <w:trPr/>
        <w:tc>
          <w:tcPr>
            <w:tcW w:w="1276"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Net interest income/margin on earning assets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1,813,015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3.91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1,831,726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4.04</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1,840,759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4.06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left"/>
        <w:rPr>
          <w:rFonts w:ascii="Times New Roman" w:hAnsi="Times New Roman"/>
          <w:b w:val="false"/>
          <w:i/>
          <w:sz w:val="16"/>
        </w:rPr>
      </w:pPr>
      <w:r>
        <w:rPr>
          <w:rFonts w:ascii="Times New Roman" w:hAnsi="Times New Roman"/>
          <w:b w:val="false"/>
          <w:i/>
          <w:sz w:val="16"/>
        </w:rPr>
        <w:t>(a)</w:t>
      </w:r>
    </w:p>
    <w:p>
      <w:pPr>
        <w:pStyle w:val="TextBody"/>
        <w:bidi w:val="0"/>
        <w:spacing w:before="40" w:after="0"/>
        <w:jc w:val="left"/>
        <w:rPr>
          <w:rFonts w:ascii="Times New Roman;serif" w:hAnsi="Times New Roman;serif"/>
          <w:b w:val="false"/>
          <w:i/>
          <w:sz w:val="16"/>
        </w:rPr>
      </w:pPr>
      <w:r>
        <w:rPr>
          <w:rFonts w:ascii="Times New Roman;serif" w:hAnsi="Times New Roman;serif"/>
          <w:b w:val="false"/>
          <w:i/>
          <w:sz w:val="16"/>
        </w:rPr>
        <w:t>Includes nonaccrual loans.</w:t>
      </w:r>
    </w:p>
    <w:p>
      <w:pPr>
        <w:pStyle w:val="TextBody"/>
        <w:bidi w:val="0"/>
        <w:spacing w:before="0" w:after="0"/>
        <w:jc w:val="left"/>
        <w:rPr>
          <w:rFonts w:ascii="Times New Roman" w:hAnsi="Times New Roman"/>
          <w:b w:val="false"/>
          <w:i/>
          <w:sz w:val="16"/>
        </w:rPr>
      </w:pPr>
      <w:r>
        <w:rPr>
          <w:rFonts w:ascii="Times New Roman" w:hAnsi="Times New Roman"/>
          <w:b w:val="false"/>
          <w:i/>
          <w:sz w:val="16"/>
        </w:rPr>
        <w:t>(b)</w:t>
      </w:r>
    </w:p>
    <w:p>
      <w:pPr>
        <w:pStyle w:val="TextBody"/>
        <w:bidi w:val="0"/>
        <w:jc w:val="left"/>
        <w:rPr>
          <w:rFonts w:ascii="Times New Roman;serif" w:hAnsi="Times New Roman;serif"/>
          <w:b w:val="false"/>
          <w:i/>
          <w:sz w:val="16"/>
        </w:rPr>
      </w:pPr>
      <w:r>
        <w:rPr>
          <w:rFonts w:ascii="Times New Roman;serif" w:hAnsi="Times New Roman;serif"/>
          <w:b w:val="false"/>
          <w:i/>
          <w:sz w:val="16"/>
        </w:rPr>
        <w:t>Includes available-for-sale securities at amortized cost.</w:t>
      </w:r>
    </w:p>
    <w:p>
      <w:pPr>
        <w:pStyle w:val="TextBody"/>
        <w:bidi w:val="0"/>
        <w:spacing w:before="120" w:after="0"/>
        <w:jc w:val="right"/>
        <w:rPr>
          <w:rFonts w:ascii="Times New Roman;serif" w:hAnsi="Times New Roman;serif"/>
          <w:b w:val="false"/>
          <w:sz w:val="23"/>
        </w:rPr>
      </w:pPr>
      <w:r>
        <w:rPr>
          <w:rFonts w:ascii="Times New Roman;serif" w:hAnsi="Times New Roman;serif"/>
          <w:b w:val="false"/>
          <w:sz w:val="23"/>
        </w:rPr>
        <w:t>(continued)</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- 87</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M&amp;T BANK CORPORATION AND SUBSIDIARIES</w:t>
      </w:r>
    </w:p>
    <w:p>
      <w:pPr>
        <w:pStyle w:val="TextBody"/>
        <w:bidi w:val="0"/>
        <w:spacing w:before="120" w:after="0"/>
        <w:jc w:val="right"/>
        <w:rPr>
          <w:rFonts w:ascii="Times New Roman;serif" w:hAnsi="Times New Roman;serif"/>
          <w:b w:val="false"/>
          <w:sz w:val="23"/>
        </w:rPr>
      </w:pPr>
      <w:r>
        <w:rPr>
          <w:rFonts w:ascii="Times New Roman;serif" w:hAnsi="Times New Roman;serif"/>
          <w:b w:val="false"/>
          <w:sz w:val="23"/>
        </w:rPr>
        <w:t>Table 3 (continued)</w:t>
      </w:r>
    </w:p>
    <w:p>
      <w:pPr>
        <w:pStyle w:val="TextBody"/>
        <w:bidi w:val="0"/>
        <w:spacing w:before="120" w:after="0"/>
        <w:jc w:val="left"/>
        <w:rPr>
          <w:rFonts w:ascii="Times New Roman" w:hAnsi="Times New Roman"/>
          <w:sz w:val="20"/>
        </w:rPr>
      </w:pPr>
      <w:r>
        <w:rPr>
          <w:rFonts w:ascii="Times New Roman;serif" w:hAnsi="Times New Roman;serif"/>
          <w:b w:val="false"/>
          <w:sz w:val="23"/>
        </w:rPr>
        <w:t>AVERAGE BALANCE SHEETS AND ANNUALIZED TAXABLE-EQUIVALENT RATES (continued)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342"/>
        <w:gridCol w:w="146"/>
        <w:gridCol w:w="196"/>
        <w:gridCol w:w="691"/>
        <w:gridCol w:w="166"/>
        <w:gridCol w:w="146"/>
        <w:gridCol w:w="196"/>
        <w:gridCol w:w="826"/>
        <w:gridCol w:w="146"/>
        <w:gridCol w:w="146"/>
        <w:gridCol w:w="185"/>
        <w:gridCol w:w="536"/>
        <w:gridCol w:w="256"/>
        <w:gridCol w:w="146"/>
        <w:gridCol w:w="196"/>
        <w:gridCol w:w="691"/>
        <w:gridCol w:w="166"/>
        <w:gridCol w:w="146"/>
        <w:gridCol w:w="196"/>
        <w:gridCol w:w="826"/>
        <w:gridCol w:w="146"/>
        <w:gridCol w:w="146"/>
        <w:gridCol w:w="185"/>
        <w:gridCol w:w="536"/>
        <w:gridCol w:w="256"/>
        <w:gridCol w:w="591"/>
      </w:tblGrid>
      <w:tr>
        <w:trPr/>
        <w:tc>
          <w:tcPr>
            <w:tcW w:w="23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4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 Third Quarter</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3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 Second Quarter</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Balance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Rate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Balance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Interest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br/>
              <w:t>Rate</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375" w:type="dxa"/>
            <w:gridSpan w:val="4"/>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Average balance in millions; interest in thousands</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center"/>
              <w:rPr/>
            </w:pPr>
            <w:r>
              <w:rPr/>
              <w:t> </w:t>
            </w:r>
          </w:p>
        </w:tc>
        <w:tc>
          <w:tcPr>
            <w:tcW w:w="256" w:type="dxa"/>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Earning 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Loans and leases, net of unearned</w:t>
              <w:br/>
              <w:t>    discount (a)</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Commercial, financial, etc.</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38,321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470,738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4.87</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37,818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373,543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3.96</w:t>
            </w:r>
          </w:p>
        </w:tc>
        <w:tc>
          <w:tcPr>
            <w:tcW w:w="2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Real estate – commercial</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46,282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531,225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461,594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3.87</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Real estate – consumer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220,464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207,080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Consumer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239,471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19,793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210,290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loans and leases, net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127,525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1,461,898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127,599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1,252,507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3.94</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Interest-bearing deposits at banks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30,752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172,956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39,386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80,773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Federal funds sold and agreements </w:t>
              <w:br/>
              <w:t>   to resell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Trading account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1.78</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Investment securities (b)</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U.S. Treasury and federal agencies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20,227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124,084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2.43</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109,755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Obligations of states and political</w:t>
              <w:br/>
              <w:t>  subdivisions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Other</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9,037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3.73</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investment securities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23,945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157,862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22,384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142,136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Total earning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182,382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1,793,340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189,755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1,475,868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Allowance for credit losses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Cash and due from banks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19,234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208,865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Interest-bearing liabilities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Interest-bearing deposits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Savings and interest-checking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68,690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95,149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2342" w:type="dxa"/>
            <w:tcBorders/>
            <w:vAlign w:val="center"/>
          </w:tcPr>
          <w:p>
            <w:pPr>
              <w:pStyle w:val="TableContents"/>
              <w:bidi w:val="0"/>
              <w:spacing w:before="0" w:after="0"/>
              <w:ind w:left="200" w:right="0" w:hanging="0"/>
              <w:jc w:val="left"/>
              <w:rPr>
                <w:rFonts w:ascii="Times New Roman;serif" w:hAnsi="Times New Roman;serif"/>
                <w:b w:val="false"/>
                <w:sz w:val="18"/>
              </w:rPr>
            </w:pPr>
            <w:r>
              <w:rPr>
                <w:rFonts w:ascii="Times New Roman;serif" w:hAnsi="Times New Roman;serif"/>
                <w:b w:val="false"/>
                <w:sz w:val="18"/>
              </w:rPr>
              <w:t>Time deposits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94,410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69,814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100,629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29,134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Short-term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Long-term borrowings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30,338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20,872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2.55</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sz w:val="18"/>
              </w:rPr>
            </w:pPr>
            <w:r>
              <w:rPr>
                <w:rFonts w:ascii="Times New Roman;serif" w:hAnsi="Times New Roman;serif"/>
                <w:b/>
                <w:sz w:val="18"/>
              </w:rPr>
              <w:t>Total interest-bearing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98,604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102,822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53,425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Noninterest-bearing deposits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72,861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74,054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175,466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182,775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25,665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2342"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shareholders’ equity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208,865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256" w:type="dxa"/>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interest spread</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3.49</w:t>
            </w:r>
          </w:p>
        </w:tc>
        <w:tc>
          <w:tcPr>
            <w:tcW w:w="2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53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2.92</w:t>
            </w:r>
          </w:p>
        </w:tc>
        <w:tc>
          <w:tcPr>
            <w:tcW w:w="25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Contribution of interest-free funds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w:t>
            </w:r>
          </w:p>
        </w:tc>
        <w:tc>
          <w:tcPr>
            <w:tcW w:w="2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4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interest income/margin on earning 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1,690,518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3.68</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1,422,443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3.01</w:t>
            </w:r>
          </w:p>
        </w:tc>
        <w:tc>
          <w:tcPr>
            <w:tcW w:w="2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91" w:type="dxa"/>
            <w:tcBorders/>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40" w:after="0"/>
        <w:jc w:val="left"/>
        <w:rPr>
          <w:rFonts w:ascii="Times New Roman" w:hAnsi="Times New Roman"/>
          <w:b w:val="false"/>
          <w:i/>
          <w:sz w:val="16"/>
        </w:rPr>
      </w:pPr>
      <w:r>
        <w:rPr>
          <w:rFonts w:ascii="Times New Roman" w:hAnsi="Times New Roman"/>
          <w:b w:val="false"/>
          <w:i/>
          <w:sz w:val="16"/>
        </w:rPr>
        <w:t>(a)</w:t>
      </w:r>
    </w:p>
    <w:p>
      <w:pPr>
        <w:pStyle w:val="TextBody"/>
        <w:bidi w:val="0"/>
        <w:spacing w:before="40" w:after="0"/>
        <w:jc w:val="left"/>
        <w:rPr>
          <w:rFonts w:ascii="Times New Roman;serif" w:hAnsi="Times New Roman;serif"/>
          <w:b w:val="false"/>
          <w:i/>
          <w:sz w:val="16"/>
        </w:rPr>
      </w:pPr>
      <w:r>
        <w:rPr>
          <w:rFonts w:ascii="Times New Roman;serif" w:hAnsi="Times New Roman;serif"/>
          <w:b w:val="false"/>
          <w:i/>
          <w:sz w:val="16"/>
        </w:rPr>
        <w:t>Includes nonaccrual loans.</w:t>
      </w:r>
    </w:p>
    <w:p>
      <w:pPr>
        <w:pStyle w:val="TextBody"/>
        <w:bidi w:val="0"/>
        <w:spacing w:before="0" w:after="0"/>
        <w:jc w:val="left"/>
        <w:rPr>
          <w:rFonts w:ascii="Times New Roman" w:hAnsi="Times New Roman"/>
          <w:b w:val="false"/>
          <w:i/>
          <w:sz w:val="16"/>
        </w:rPr>
      </w:pPr>
      <w:r>
        <w:rPr>
          <w:rFonts w:ascii="Times New Roman" w:hAnsi="Times New Roman"/>
          <w:b w:val="false"/>
          <w:i/>
          <w:sz w:val="16"/>
        </w:rPr>
        <w:t>(b)</w:t>
      </w:r>
    </w:p>
    <w:p>
      <w:pPr>
        <w:pStyle w:val="TextBody"/>
        <w:bidi w:val="0"/>
        <w:jc w:val="left"/>
        <w:rPr>
          <w:rFonts w:ascii="Times New Roman;serif" w:hAnsi="Times New Roman;serif"/>
          <w:b w:val="false"/>
          <w:i/>
          <w:sz w:val="16"/>
        </w:rPr>
      </w:pPr>
      <w:r>
        <w:rPr>
          <w:rFonts w:ascii="Times New Roman;serif" w:hAnsi="Times New Roman;serif"/>
          <w:b w:val="false"/>
          <w:i/>
          <w:sz w:val="16"/>
        </w:rPr>
        <w:t>Includes available-for-sale securities at amortized cost.</w:t>
      </w:r>
    </w:p>
    <w:p>
      <w:pPr>
        <w:pStyle w:val="TextBody"/>
        <w:bidi w:val="0"/>
        <w:spacing w:before="240" w:after="0"/>
        <w:jc w:val="center"/>
        <w:rPr>
          <w:rFonts w:ascii="Times New Roman" w:hAnsi="Times New Roman"/>
          <w:sz w:val="20"/>
        </w:rPr>
      </w:pPr>
      <w:r>
        <w:rPr>
          <w:rFonts w:ascii="Times New Roman;serif" w:hAnsi="Times New Roman;serif"/>
          <w:b w:val="false"/>
          <w:sz w:val="20"/>
        </w:rPr>
        <w:t>- 88</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serif" w:hAnsi="Times New Roman;serif"/>
          <w:b w:val="false"/>
          <w:sz w:val="23"/>
        </w:rPr>
      </w:pPr>
      <w:bookmarkStart w:id="11" w:name="item_3_quantitative_qualitative_disclosu"/>
      <w:bookmarkEnd w:id="11"/>
      <w:r>
        <w:rPr>
          <w:rFonts w:ascii="Times New Roman;serif" w:hAnsi="Times New Roman;serif"/>
          <w:b w:val="false"/>
          <w:sz w:val="23"/>
        </w:rPr>
        <w:t>Item 3. Quantitative and Qualitative Disclosures About Market Risk.</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Incorporated by reference to the discussion contained under the caption “Taxable-equivalent Net Interest Income” in Part I, Item 2, “Management’s Discussion and Analysis of Financial Condition and Results of Operations.”</w:t>
      </w:r>
    </w:p>
    <w:p>
      <w:pPr>
        <w:pStyle w:val="TextBody"/>
        <w:bidi w:val="0"/>
        <w:spacing w:before="240" w:after="0"/>
        <w:jc w:val="both"/>
        <w:rPr>
          <w:rFonts w:ascii="Times New Roman;serif" w:hAnsi="Times New Roman;serif"/>
          <w:b w:val="false"/>
          <w:sz w:val="23"/>
        </w:rPr>
      </w:pPr>
      <w:bookmarkStart w:id="12" w:name="item_4_controls_procedures"/>
      <w:bookmarkEnd w:id="12"/>
      <w:r>
        <w:rPr>
          <w:rFonts w:ascii="Times New Roman;serif" w:hAnsi="Times New Roman;serif"/>
          <w:b w:val="false"/>
          <w:sz w:val="23"/>
        </w:rPr>
        <w:t>Item 4. Controls and Procedures.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Evaluation of disclosure controls and procedures. Based upon their evaluation of the effectiveness of M&amp;T’s disclosure controls and procedures (as defined in Exchange Act rules 13a-15(e) and 15d-15(e)), René F. Jones, Chairman of the Board and Chief Executive Officer, and Daryl N. Bible, Senior Executive Vice President and Chief Financial Officer, concluded that M&amp;T’s disclosure controls and procedures were effective as of June 30, 2023.</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 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2023 that have materially affected, or are reasonably likely to materially affect, M&amp;T’s internal control over financial reporting.</w:t>
      </w:r>
    </w:p>
    <w:p>
      <w:pPr>
        <w:pStyle w:val="TextBody"/>
        <w:bidi w:val="0"/>
        <w:spacing w:before="240" w:after="0"/>
        <w:jc w:val="center"/>
        <w:rPr>
          <w:rFonts w:ascii="Times New Roman" w:hAnsi="Times New Roman"/>
          <w:sz w:val="20"/>
        </w:rPr>
      </w:pPr>
      <w:r>
        <w:rPr>
          <w:rFonts w:ascii="Times New Roman;serif" w:hAnsi="Times New Roman;serif"/>
          <w:b w:val="false"/>
          <w:sz w:val="20"/>
        </w:rPr>
        <w:t>- 89</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bookmarkStart w:id="13" w:name="part_ii_or_information"/>
      <w:bookmarkEnd w:id="13"/>
      <w:r>
        <w:rPr>
          <w:rFonts w:ascii="Times New Roman;serif" w:hAnsi="Times New Roman;serif"/>
          <w:b w:val="false"/>
          <w:sz w:val="23"/>
        </w:rPr>
        <w:t>PART II. OTHER INFORMATION</w:t>
      </w:r>
    </w:p>
    <w:p>
      <w:pPr>
        <w:pStyle w:val="TextBody"/>
        <w:bidi w:val="0"/>
        <w:spacing w:before="120" w:after="0"/>
        <w:jc w:val="left"/>
        <w:rPr>
          <w:rFonts w:ascii="Times New Roman;serif" w:hAnsi="Times New Roman;serif"/>
          <w:b w:val="false"/>
          <w:sz w:val="23"/>
        </w:rPr>
      </w:pPr>
      <w:bookmarkStart w:id="14" w:name="item_1_legal_proceedings"/>
      <w:bookmarkEnd w:id="14"/>
      <w:r>
        <w:rPr>
          <w:rFonts w:ascii="Times New Roman;serif" w:hAnsi="Times New Roman;serif"/>
          <w:b w:val="false"/>
          <w:sz w:val="23"/>
        </w:rPr>
        <w:t>Item 1. Legal Proceedings.</w:t>
      </w:r>
    </w:p>
    <w:p>
      <w:pPr>
        <w:pStyle w:val="TextBody"/>
        <w:bidi w:val="0"/>
        <w:spacing w:before="120" w:after="0"/>
        <w:jc w:val="both"/>
        <w:rPr>
          <w:rFonts w:ascii="Times New Roman" w:hAnsi="Times New Roman"/>
          <w:sz w:val="20"/>
        </w:rPr>
      </w:pPr>
      <w:r>
        <w:rPr>
          <w:rFonts w:ascii="Times New Roman;serif" w:hAnsi="Times New Roman;serif"/>
          <w:b w:val="false"/>
          <w:sz w:val="23"/>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$25 million</w:t>
      </w:r>
      <w:r>
        <w:rPr>
          <w:rFonts w:ascii="Times New Roman" w:hAnsi="Times New Roman"/>
          <w:sz w:val="20"/>
        </w:rPr>
        <w:t xml:space="preserve"> </w:t>
      </w:r>
      <w:r>
        <w:rPr>
          <w:rFonts w:ascii="Times New Roman;serif" w:hAnsi="Times New Roman;serif"/>
          <w:b w:val="false"/>
          <w:sz w:val="23"/>
        </w:rPr>
        <w:t>as of June 30, 2023. Although the Company does not believe that the outcome of pending legal matters will be material to the Company’s consolidated financial position, it cannot rule out the possibility that such outcomes will be material to the consolidated results of operations for a particular reporting period in the future.</w:t>
      </w:r>
      <w:r>
        <w:rPr>
          <w:rFonts w:ascii="Times New Roman" w:hAnsi="Times New Roman"/>
          <w:sz w:val="20"/>
        </w:rPr>
        <w:t xml:space="preserve"> </w:t>
      </w:r>
    </w:p>
    <w:p>
      <w:pPr>
        <w:pStyle w:val="TextBody"/>
        <w:bidi w:val="0"/>
        <w:spacing w:before="120" w:after="0"/>
        <w:jc w:val="both"/>
        <w:rPr>
          <w:rFonts w:ascii="Times New Roman;serif" w:hAnsi="Times New Roman;serif"/>
          <w:b w:val="false"/>
          <w:sz w:val="23"/>
        </w:rPr>
      </w:pPr>
      <w:bookmarkStart w:id="15" w:name="item_1a"/>
      <w:bookmarkEnd w:id="15"/>
      <w:r>
        <w:rPr>
          <w:rFonts w:ascii="Times New Roman;serif" w:hAnsi="Times New Roman;serif"/>
          <w:b w:val="false"/>
          <w:sz w:val="23"/>
        </w:rPr>
        <w:t>Item 1A. Risk Factors.</w:t>
      </w:r>
    </w:p>
    <w:p>
      <w:pPr>
        <w:pStyle w:val="TextBody"/>
        <w:bidi w:val="0"/>
        <w:spacing w:before="120" w:after="0"/>
        <w:jc w:val="both"/>
        <w:rPr>
          <w:rFonts w:ascii="Times New Roman" w:hAnsi="Times New Roman"/>
          <w:sz w:val="20"/>
        </w:rPr>
      </w:pPr>
      <w:r>
        <w:rPr>
          <w:rFonts w:ascii="Times New Roman;serif" w:hAnsi="Times New Roman;serif"/>
          <w:b w:val="false"/>
          <w:sz w:val="23"/>
        </w:rPr>
        <w:t>There have been no material changes in risk factors relating to M&amp;T to those disclosed in response to Item 1A. to Part I of Form 10-K for the year ended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3"/>
        </w:rPr>
      </w:pPr>
      <w:bookmarkStart w:id="16" w:name="item_2"/>
      <w:bookmarkEnd w:id="16"/>
      <w:r>
        <w:rPr>
          <w:rFonts w:ascii="Times New Roman;serif" w:hAnsi="Times New Roman;serif"/>
          <w:b w:val="false"/>
          <w:sz w:val="23"/>
        </w:rPr>
        <w:t>Item 2. Unregistered Sales of Equity Securities and Use of Proceeds.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 (b) Not applicable.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w:t>
      </w:r>
    </w:p>
    <w:tbl>
      <w:tblPr>
        <w:tblW w:w="7742" w:type="dxa"/>
        <w:jc w:val="left"/>
        <w:tblInd w:w="0" w:type="dxa"/>
        <w:tblLayout w:type="fixed"/>
        <w:tblCellMar>
          <w:top w:w="28" w:type="dxa"/>
          <w:left w:w="28" w:type="dxa"/>
          <w:bottom w:w="28" w:type="dxa"/>
          <w:right w:w="28" w:type="dxa"/>
        </w:tblCellMar>
      </w:tblPr>
      <w:tblGrid>
        <w:gridCol w:w="2026"/>
        <w:gridCol w:w="146"/>
        <w:gridCol w:w="225"/>
        <w:gridCol w:w="885"/>
        <w:gridCol w:w="146"/>
        <w:gridCol w:w="146"/>
        <w:gridCol w:w="232"/>
        <w:gridCol w:w="743"/>
        <w:gridCol w:w="146"/>
        <w:gridCol w:w="146"/>
        <w:gridCol w:w="271"/>
        <w:gridCol w:w="645"/>
        <w:gridCol w:w="146"/>
        <w:gridCol w:w="146"/>
        <w:gridCol w:w="211"/>
        <w:gridCol w:w="129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7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Issuer Purchases of Equity Securities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sz w:val="16"/>
                <w:u w:val="single"/>
              </w:rPr>
            </w:pPr>
            <w:r>
              <w:rPr>
                <w:rFonts w:ascii="Times New Roman;serif" w:hAnsi="Times New Roman;serif"/>
                <w:b/>
                <w:sz w:val="16"/>
                <w:u w:val="single"/>
              </w:rPr>
              <w:t>Period</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 Total</w:t>
              <w:br/>
              <w:t>Number</w:t>
              <w:br/>
              <w:t>of Shares</w:t>
              <w:br/>
              <w:t>(or Units)</w:t>
              <w:br/>
              <w:t>Purchased</w:t>
            </w:r>
            <w:r>
              <w:rPr>
                <w:rFonts w:ascii="Times New Roman" w:hAnsi="Times New Roman"/>
                <w:sz w:val="16"/>
              </w:rPr>
              <w:t xml:space="preserve"> </w:t>
            </w:r>
            <w:r>
              <w:rPr>
                <w:rFonts w:ascii="Times New Roman;serif" w:hAnsi="Times New Roman;serif"/>
                <w:b/>
                <w:sz w:val="16"/>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 Average</w:t>
              <w:br/>
              <w:t>Price Paid</w:t>
              <w:br/>
              <w:t>per Share</w:t>
              <w:br/>
              <w:t>(or Unit)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 Total</w:t>
              <w:br/>
              <w:t>Number of</w:t>
              <w:br/>
              <w:t>Shares</w:t>
              <w:br/>
              <w:t>(or Units)</w:t>
              <w:br/>
              <w:t>Purchased</w:t>
              <w:br/>
              <w:t>as Part of</w:t>
              <w:br/>
              <w:t>Publicly</w:t>
              <w:br/>
              <w:t>Announced</w:t>
              <w:br/>
              <w:t>Plans or</w:t>
              <w:br/>
              <w:t>Programs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 Maximum</w:t>
              <w:br/>
              <w:t>Number (or</w:t>
              <w:br/>
              <w:t>Approximate</w:t>
              <w:br/>
              <w:t>Dollar Value)</w:t>
              <w:br/>
              <w:t>of Shares</w:t>
              <w:br/>
              <w:t>(or Units)</w:t>
              <w:br/>
              <w:t>that may yet</w:t>
              <w:br/>
              <w:t>be Purchased</w:t>
              <w:br/>
              <w:t>Under the</w:t>
              <w:br/>
              <w:t>Plans or</w:t>
              <w:br/>
              <w:t>Programs (2)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7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0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April 1 - April 30, 2023</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1,200,060,000</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May 1 - May 31, 2023</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 </w:t>
            </w:r>
          </w:p>
        </w:tc>
        <w:tc>
          <w:tcPr>
            <w:tcW w:w="7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1,200,060,000</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June 1 - June 30, 2023</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1,200,060,000</w:t>
            </w:r>
          </w:p>
        </w:tc>
        <w:tc>
          <w:tcPr>
            <w:tcW w:w="191" w:type="dxa"/>
            <w:tcBorders/>
            <w:vAlign w:val="center"/>
          </w:tcPr>
          <w:p>
            <w:pPr>
              <w:pStyle w:val="TableContents"/>
              <w:bidi w:val="0"/>
              <w:spacing w:before="0" w:after="0"/>
              <w:ind w:left="0" w:right="0" w:hanging="0"/>
              <w:jc w:val="left"/>
              <w:rPr/>
            </w:pPr>
            <w:r>
              <w:rPr/>
              <w:t> </w:t>
            </w:r>
          </w:p>
        </w:tc>
      </w:tr>
      <w:tr>
        <w:trPr/>
        <w:tc>
          <w:tcPr>
            <w:tcW w:w="20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2"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bl>
    <w:p>
      <w:pPr>
        <w:pStyle w:val="TextBody"/>
        <w:pBdr>
          <w:bottom w:val="single" w:sz="6" w:space="1" w:color="000000"/>
        </w:pBdr>
        <w:bidi w:val="0"/>
        <w:spacing w:before="40" w:after="0"/>
        <w:jc w:val="left"/>
        <w:rPr/>
      </w:pPr>
      <w:r>
        <w:rPr/>
        <w:t> </w:t>
      </w:r>
    </w:p>
    <w:p>
      <w:pPr>
        <w:pStyle w:val="TextBody"/>
        <w:bidi w:val="0"/>
        <w:spacing w:before="40" w:after="0"/>
        <w:jc w:val="both"/>
        <w:rPr>
          <w:rFonts w:ascii="Times New Roman" w:hAnsi="Times New Roman"/>
          <w:b w:val="false"/>
          <w:i/>
          <w:sz w:val="16"/>
        </w:rPr>
      </w:pPr>
      <w:r>
        <w:rPr>
          <w:rFonts w:ascii="Times New Roman" w:hAnsi="Times New Roman"/>
          <w:b w:val="false"/>
          <w:i/>
          <w:sz w:val="16"/>
        </w:rPr>
        <w:t>(1)</w:t>
      </w:r>
    </w:p>
    <w:p>
      <w:pPr>
        <w:pStyle w:val="TextBody"/>
        <w:bidi w:val="0"/>
        <w:spacing w:before="40" w:after="0"/>
        <w:jc w:val="both"/>
        <w:rPr>
          <w:rFonts w:ascii="Times New Roman;serif" w:hAnsi="Times New Roman;serif"/>
          <w:b w:val="false"/>
          <w:i/>
          <w:sz w:val="16"/>
        </w:rPr>
      </w:pPr>
      <w:r>
        <w:rPr>
          <w:rFonts w:ascii="Times New Roman;serif" w:hAnsi="Times New Roman;serif"/>
          <w:b w:val="false"/>
          <w:i/>
          <w:sz w:val="16"/>
        </w:rPr>
        <w:t>The total number of shares purchased during the periods indicated includes shares purchased as part of publicly announced programs and/or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pStyle w:val="TextBody"/>
        <w:bidi w:val="0"/>
        <w:spacing w:before="0" w:after="0"/>
        <w:jc w:val="both"/>
        <w:rPr>
          <w:rFonts w:ascii="Times New Roman" w:hAnsi="Times New Roman"/>
          <w:b w:val="false"/>
          <w:i/>
          <w:sz w:val="16"/>
        </w:rPr>
      </w:pPr>
      <w:r>
        <w:rPr>
          <w:rFonts w:ascii="Times New Roman" w:hAnsi="Times New Roman"/>
          <w:b w:val="false"/>
          <w:i/>
          <w:sz w:val="16"/>
        </w:rPr>
        <w:t>(2)</w:t>
      </w:r>
    </w:p>
    <w:p>
      <w:pPr>
        <w:pStyle w:val="TextBody"/>
        <w:bidi w:val="0"/>
        <w:jc w:val="both"/>
        <w:rPr>
          <w:rFonts w:ascii="Times New Roman;serif" w:hAnsi="Times New Roman;serif"/>
          <w:b w:val="false"/>
          <w:i/>
          <w:sz w:val="16"/>
        </w:rPr>
      </w:pPr>
      <w:r>
        <w:rPr>
          <w:rFonts w:ascii="Times New Roman;serif" w:hAnsi="Times New Roman;serif"/>
          <w:b w:val="false"/>
          <w:i/>
          <w:sz w:val="16"/>
        </w:rPr>
        <w:t>In July 2022, M&amp;T's Board of Directors authorized a program under which $3.0 billion of common shares may be repurchased with the exact number, timing, price and terms of such repurchases to be determined at the discretion of management and subject to all regulatory limitations.</w:t>
      </w:r>
    </w:p>
    <w:p>
      <w:pPr>
        <w:pStyle w:val="TextBody"/>
        <w:bidi w:val="0"/>
        <w:spacing w:before="120" w:after="0"/>
        <w:jc w:val="both"/>
        <w:rPr>
          <w:rFonts w:ascii="Times New Roman;serif" w:hAnsi="Times New Roman;serif"/>
          <w:b w:val="false"/>
          <w:sz w:val="23"/>
        </w:rPr>
      </w:pPr>
      <w:bookmarkStart w:id="17" w:name="item_3_defaults_upon_senior_securities"/>
      <w:bookmarkEnd w:id="17"/>
      <w:r>
        <w:rPr>
          <w:rFonts w:ascii="Times New Roman;serif" w:hAnsi="Times New Roman;serif"/>
          <w:b w:val="false"/>
          <w:sz w:val="23"/>
        </w:rPr>
        <w:t>Item 3. Defaults Upon Senior Securities.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(None.)</w:t>
      </w:r>
    </w:p>
    <w:p>
      <w:pPr>
        <w:pStyle w:val="TextBody"/>
        <w:bidi w:val="0"/>
        <w:spacing w:before="120" w:after="0"/>
        <w:jc w:val="both"/>
        <w:rPr>
          <w:rFonts w:ascii="Times New Roman;serif" w:hAnsi="Times New Roman;serif"/>
          <w:b w:val="false"/>
          <w:sz w:val="23"/>
        </w:rPr>
      </w:pPr>
      <w:bookmarkStart w:id="18" w:name="item_4_mine_safety_disclosures"/>
      <w:bookmarkEnd w:id="18"/>
      <w:r>
        <w:rPr>
          <w:rFonts w:ascii="Times New Roman;serif" w:hAnsi="Times New Roman;serif"/>
          <w:b w:val="false"/>
          <w:sz w:val="23"/>
        </w:rPr>
        <w:t>Item 4. Mine Safety Disclosures.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(Not applicable.)</w:t>
      </w:r>
    </w:p>
    <w:p>
      <w:pPr>
        <w:pStyle w:val="TextBody"/>
        <w:bidi w:val="0"/>
        <w:spacing w:before="120" w:after="0"/>
        <w:jc w:val="both"/>
        <w:rPr>
          <w:rFonts w:ascii="Times New Roman;serif" w:hAnsi="Times New Roman;serif"/>
          <w:b w:val="false"/>
          <w:sz w:val="23"/>
        </w:rPr>
      </w:pPr>
      <w:bookmarkStart w:id="19" w:name="item_5_or_information"/>
      <w:bookmarkEnd w:id="19"/>
      <w:r>
        <w:rPr>
          <w:rFonts w:ascii="Times New Roman;serif" w:hAnsi="Times New Roman;serif"/>
          <w:b w:val="false"/>
          <w:sz w:val="23"/>
        </w:rPr>
        <w:t>Item 5. Other Information.</w:t>
      </w:r>
    </w:p>
    <w:p>
      <w:pPr>
        <w:pStyle w:val="TextBody"/>
        <w:bidi w:val="0"/>
        <w:spacing w:before="120" w:after="0"/>
        <w:jc w:val="both"/>
        <w:rPr>
          <w:rFonts w:ascii="Times New Roman" w:hAnsi="Times New Roman"/>
          <w:sz w:val="20"/>
        </w:rPr>
      </w:pPr>
      <w:r>
        <w:rPr>
          <w:rFonts w:ascii="Times New Roman;serif" w:hAnsi="Times New Roman;serif"/>
          <w:b w:val="false"/>
          <w:sz w:val="23"/>
        </w:rPr>
        <w:t>(a) – (b) Not applicable.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serif" w:hAnsi="Times New Roman;serif"/>
          <w:b w:val="false"/>
          <w:sz w:val="23"/>
        </w:rPr>
        <w:t>(c) Certain of our officers or directors have made elections to participate in, and are participating in, our tax-qualified 401(k) plan and nonqualified deferred compensation plans, or have made, and may from time to time make,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val="false"/>
          <w:sz w:val="20"/>
        </w:rPr>
        <w:t>- 90</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both"/>
        <w:rPr>
          <w:rFonts w:ascii="Times New Roman" w:hAnsi="Times New Roman"/>
          <w:sz w:val="20"/>
        </w:rPr>
      </w:pPr>
      <w:r>
        <w:rPr>
          <w:rFonts w:ascii="Times New Roman;serif" w:hAnsi="Times New Roman;serif"/>
          <w:b w:val="false"/>
          <w:sz w:val="23"/>
        </w:rPr>
        <w:t>elections to reinvest dividends in M&amp;T Bank Corporation common stock, or have shares withheld to cover withholding taxes upon the vesting of equity awards or to pay the exercise price of options, each of which may be designed to satisfy the affirmative defense conditions of Rule 10b5-1</w:t>
      </w:r>
      <w:r>
        <w:rPr>
          <w:rFonts w:ascii="Times New Roman" w:hAnsi="Times New Roman"/>
          <w:sz w:val="20"/>
        </w:rPr>
        <w:t xml:space="preserve"> </w:t>
      </w:r>
      <w:r>
        <w:rPr>
          <w:rFonts w:ascii="Times New Roman;serif" w:hAnsi="Times New Roman;serif"/>
          <w:b w:val="false"/>
          <w:sz w:val="23"/>
        </w:rPr>
        <w:t>under the Exchange Act or may constitute non-Rule 10b5-1</w:t>
      </w:r>
      <w:r>
        <w:rPr>
          <w:rFonts w:ascii="Times New Roman" w:hAnsi="Times New Roman"/>
          <w:sz w:val="20"/>
        </w:rPr>
        <w:t xml:space="preserve"> </w:t>
      </w:r>
      <w:r>
        <w:rPr>
          <w:rFonts w:ascii="Times New Roman;serif" w:hAnsi="Times New Roman;serif"/>
          <w:b w:val="false"/>
          <w:sz w:val="23"/>
        </w:rPr>
        <w:t>trading arrangements (as defined in Item 408(c) of Regulation S-K).</w:t>
      </w:r>
    </w:p>
    <w:p>
      <w:pPr>
        <w:pStyle w:val="TextBody"/>
        <w:bidi w:val="0"/>
        <w:spacing w:before="120" w:after="0"/>
        <w:jc w:val="both"/>
        <w:rPr>
          <w:rFonts w:ascii="Times New Roman;serif" w:hAnsi="Times New Roman;serif"/>
          <w:b w:val="false"/>
          <w:sz w:val="23"/>
        </w:rPr>
      </w:pPr>
      <w:bookmarkStart w:id="20" w:name="item_6_exhibits"/>
      <w:bookmarkEnd w:id="20"/>
      <w:r>
        <w:rPr>
          <w:rFonts w:ascii="Times New Roman;serif" w:hAnsi="Times New Roman;serif"/>
          <w:b w:val="false"/>
          <w:sz w:val="23"/>
        </w:rPr>
        <w:t>Item 6. Exhibits.</w:t>
      </w:r>
    </w:p>
    <w:p>
      <w:pPr>
        <w:pStyle w:val="TextBody"/>
        <w:bidi w:val="0"/>
        <w:spacing w:before="120" w:after="120"/>
        <w:jc w:val="both"/>
        <w:rPr>
          <w:rFonts w:ascii="Times New Roman" w:hAnsi="Times New Roman"/>
          <w:sz w:val="20"/>
        </w:rPr>
      </w:pPr>
      <w:r>
        <w:rPr>
          <w:rFonts w:ascii="Times New Roman;serif" w:hAnsi="Times New Roman;serif"/>
          <w:b w:val="false"/>
          <w:sz w:val="23"/>
        </w:rPr>
        <w:t>The following exhibits are filed as a part of this report.</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922"/>
        <w:gridCol w:w="146"/>
        <w:gridCol w:w="9137"/>
      </w:tblGrid>
      <w:tr>
        <w:trPr/>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7" w:type="dxa"/>
            <w:tcBorders/>
            <w:vAlign w:val="center"/>
          </w:tcPr>
          <w:p>
            <w:pPr>
              <w:pStyle w:val="TableContents"/>
              <w:bidi w:val="0"/>
              <w:spacing w:before="0" w:after="283"/>
              <w:jc w:val="left"/>
              <w:rPr>
                <w:sz w:val="4"/>
                <w:szCs w:val="4"/>
              </w:rPr>
            </w:pPr>
            <w:r>
              <w:rPr>
                <w:sz w:val="4"/>
                <w:szCs w:val="4"/>
              </w:rPr>
            </w:r>
          </w:p>
        </w:tc>
      </w:tr>
      <w:tr>
        <w:trPr/>
        <w:tc>
          <w:tcPr>
            <w:tcW w:w="9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3"/>
              </w:rPr>
            </w:pPr>
            <w:r>
              <w:rPr>
                <w:rFonts w:ascii="Times New Roman;serif" w:hAnsi="Times New Roman;serif"/>
                <w:b w:val="false"/>
                <w:sz w:val="23"/>
              </w:rPr>
              <w:t>Exhibit</w:t>
            </w:r>
          </w:p>
          <w:p>
            <w:pPr>
              <w:pStyle w:val="TableContents"/>
              <w:bidi w:val="0"/>
              <w:spacing w:before="0" w:after="0"/>
              <w:ind w:left="0" w:right="0" w:hanging="0"/>
              <w:jc w:val="center"/>
              <w:rPr>
                <w:rFonts w:ascii="Times New Roman;serif" w:hAnsi="Times New Roman;serif"/>
                <w:b w:val="false"/>
                <w:sz w:val="23"/>
              </w:rPr>
            </w:pPr>
            <w:r>
              <w:rPr>
                <w:rFonts w:ascii="Times New Roman;serif" w:hAnsi="Times New Roman;serif"/>
                <w:b w:val="false"/>
                <w:sz w:val="23"/>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both"/>
              <w:rPr/>
            </w:pPr>
            <w:r>
              <w:rPr/>
              <w:t> </w:t>
            </w:r>
          </w:p>
        </w:tc>
        <w:tc>
          <w:tcPr>
            <w:tcW w:w="9137" w:type="dxa"/>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137" w:type="dxa"/>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pPr>
            <w:r>
              <w:rPr/>
              <w:t>  </w:t>
            </w:r>
            <w:r>
              <w:rPr>
                <w:rFonts w:ascii="Times New Roman;serif" w:hAnsi="Times New Roman;serif"/>
                <w:b w:val="false"/>
                <w:sz w:val="23"/>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pPr>
            <w:hyperlink w:anchor="mtb-ex31_1.htm">
              <w:r>
                <w:rPr>
                  <w:rStyle w:val="InternetLink"/>
                  <w:rFonts w:ascii="Times New Roman;serif" w:hAnsi="Times New Roman;serif"/>
                  <w:b w:val="false"/>
                  <w:sz w:val="23"/>
                  <w:u w:val="single"/>
                </w:rPr>
                <w:t>Certification of Chief Executive Officer under Section 302 of the Sarbanes-Oxley Act of 2002. Filed herewith.</w:t>
              </w:r>
            </w:hyperlink>
          </w:p>
        </w:tc>
      </w:tr>
      <w:tr>
        <w:trPr/>
        <w:tc>
          <w:tcPr>
            <w:tcW w:w="922"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137" w:type="dxa"/>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pPr>
            <w:r>
              <w:rPr/>
              <w:t>  </w:t>
            </w:r>
            <w:r>
              <w:rPr>
                <w:rFonts w:ascii="Times New Roman;serif" w:hAnsi="Times New Roman;serif"/>
                <w:b w:val="false"/>
                <w:sz w:val="23"/>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pPr>
            <w:hyperlink w:anchor="mtb-ex31_2.htm">
              <w:r>
                <w:rPr>
                  <w:rStyle w:val="InternetLink"/>
                  <w:rFonts w:ascii="Times New Roman;serif" w:hAnsi="Times New Roman;serif"/>
                  <w:b w:val="false"/>
                  <w:sz w:val="23"/>
                  <w:u w:val="single"/>
                </w:rPr>
                <w:t>Certification of Chief Financial Officer under Section 302 of the Sarbanes-Oxley Act of 2002. Filed herewith.</w:t>
              </w:r>
            </w:hyperlink>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pPr>
            <w:r>
              <w:rPr/>
              <w:t>  </w:t>
            </w:r>
            <w:r>
              <w:rPr>
                <w:rFonts w:ascii="Times New Roman;serif" w:hAnsi="Times New Roman;serif"/>
                <w:b w:val="false"/>
                <w:sz w:val="23"/>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pPr>
            <w:hyperlink w:anchor="mtb-ex32_1.htm">
              <w:r>
                <w:rPr>
                  <w:rStyle w:val="InternetLink"/>
                  <w:rFonts w:ascii="Times New Roman;serif" w:hAnsi="Times New Roman;serif"/>
                  <w:b w:val="false"/>
                  <w:sz w:val="23"/>
                  <w:u w:val="single"/>
                </w:rPr>
                <w:t>Certification of Chief Executive Officer under 18 U.S.C. §1350 pursuant to Section 906 of the Sarbanes-Oxley Act of 2002. Filed herewith.</w:t>
              </w:r>
            </w:hyperlink>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pPr>
            <w:r>
              <w:rPr/>
              <w:t>  </w:t>
            </w:r>
            <w:r>
              <w:rPr>
                <w:rFonts w:ascii="Times New Roman;serif" w:hAnsi="Times New Roman;serif"/>
                <w:b w:val="false"/>
                <w:sz w:val="23"/>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pPr>
            <w:hyperlink w:anchor="mtb-ex32_2.htm">
              <w:r>
                <w:rPr>
                  <w:rStyle w:val="InternetLink"/>
                  <w:rFonts w:ascii="Times New Roman;serif" w:hAnsi="Times New Roman;serif"/>
                  <w:b w:val="false"/>
                  <w:sz w:val="23"/>
                  <w:u w:val="single"/>
                </w:rPr>
                <w:t>Certification of Chief Financial Officer under 18 U.S.C. §1350 pursuant to Section 906 of the Sarbanes-Oxley Act of 2002. Filed herewith.</w:t>
              </w:r>
            </w:hyperlink>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101.INS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Instance Document. Filed herewith.</w:t>
            </w:r>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101.SCH</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Taxonomy Extension Schema. Filed herewith.</w:t>
            </w:r>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101.CAL</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Taxonomy Extension Calculation Linkbase. Filed herewith.</w:t>
            </w:r>
          </w:p>
        </w:tc>
      </w:tr>
      <w:tr>
        <w:trPr/>
        <w:tc>
          <w:tcPr>
            <w:tcW w:w="922" w:type="dxa"/>
            <w:tcBorders/>
            <w:vAlign w:val="center"/>
          </w:tcPr>
          <w:p>
            <w:pPr>
              <w:pStyle w:val="TableContents"/>
              <w:bidi w:val="0"/>
              <w:spacing w:before="0" w:after="0"/>
              <w:ind w:left="0" w:right="0" w:hanging="0"/>
              <w:jc w:val="both"/>
              <w:rPr/>
            </w:pPr>
            <w:r>
              <w:rPr/>
              <w:t> </w:t>
            </w:r>
          </w:p>
        </w:tc>
        <w:tc>
          <w:tcPr>
            <w:tcW w:w="146" w:type="dxa"/>
            <w:tcBorders/>
            <w:vAlign w:val="center"/>
          </w:tcPr>
          <w:p>
            <w:pPr>
              <w:pStyle w:val="TableContents"/>
              <w:bidi w:val="0"/>
              <w:spacing w:before="0" w:after="0"/>
              <w:ind w:left="0" w:right="0" w:hanging="0"/>
              <w:jc w:val="both"/>
              <w:rPr/>
            </w:pPr>
            <w:r>
              <w:rPr/>
              <w:t> </w:t>
            </w:r>
          </w:p>
        </w:tc>
        <w:tc>
          <w:tcPr>
            <w:tcW w:w="9137" w:type="dxa"/>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101.DEF</w:t>
            </w:r>
          </w:p>
        </w:tc>
        <w:tc>
          <w:tcPr>
            <w:tcW w:w="146" w:type="dxa"/>
            <w:tcBorders/>
            <w:vAlign w:val="center"/>
          </w:tcPr>
          <w:p>
            <w:pPr>
              <w:pStyle w:val="TableContents"/>
              <w:bidi w:val="0"/>
              <w:spacing w:before="0" w:after="0"/>
              <w:ind w:left="0" w:right="0" w:hanging="0"/>
              <w:jc w:val="both"/>
              <w:rPr/>
            </w:pPr>
            <w:r>
              <w:rPr/>
              <w:t> </w:t>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Taxonomy Extension Definition Linkbase. Filed herewith.</w:t>
            </w:r>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101.LAB</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Taxonomy Extension Label Linkbase. Filed herewith.</w:t>
            </w:r>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101.PRE</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Inline XBRL Taxonomy Extension Presentation Linkbase. Filed herewith.</w:t>
            </w:r>
          </w:p>
        </w:tc>
      </w:tr>
      <w:tr>
        <w:trPr/>
        <w:tc>
          <w:tcPr>
            <w:tcW w:w="922" w:type="dxa"/>
            <w:tcBorders/>
            <w:vAlign w:val="center"/>
          </w:tcPr>
          <w:p>
            <w:pPr>
              <w:pStyle w:val="TableContents"/>
              <w:bidi w:val="0"/>
              <w:spacing w:before="0" w:after="0"/>
              <w:ind w:left="0" w:right="0" w:hanging="0"/>
              <w:jc w:val="both"/>
              <w:rPr/>
            </w:pPr>
            <w:r>
              <w:rPr/>
              <w:t> </w:t>
            </w:r>
          </w:p>
        </w:tc>
        <w:tc>
          <w:tcPr>
            <w:tcW w:w="9283" w:type="dxa"/>
            <w:gridSpan w:val="2"/>
            <w:tcBorders/>
            <w:vAlign w:val="center"/>
          </w:tcPr>
          <w:p>
            <w:pPr>
              <w:pStyle w:val="TableContents"/>
              <w:bidi w:val="0"/>
              <w:spacing w:before="0" w:after="0"/>
              <w:ind w:left="0" w:right="0" w:hanging="0"/>
              <w:jc w:val="both"/>
              <w:rPr/>
            </w:pPr>
            <w:r>
              <w:rPr/>
              <w:t> </w:t>
            </w:r>
          </w:p>
        </w:tc>
      </w:tr>
      <w:tr>
        <w:trPr/>
        <w:tc>
          <w:tcPr>
            <w:tcW w:w="922" w:type="dxa"/>
            <w:tcBorders/>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104</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9137" w:type="dxa"/>
            <w:tcBorders/>
            <w:vAlign w:val="center"/>
          </w:tcPr>
          <w:p>
            <w:pPr>
              <w:pStyle w:val="TableContents"/>
              <w:bidi w:val="0"/>
              <w:spacing w:before="0" w:after="0"/>
              <w:ind w:left="0" w:right="0" w:hanging="0"/>
              <w:jc w:val="both"/>
              <w:rPr>
                <w:rFonts w:ascii="Times New Roman" w:hAnsi="Times New Roman"/>
                <w:sz w:val="23"/>
              </w:rPr>
            </w:pPr>
            <w:r>
              <w:rPr>
                <w:rFonts w:ascii="Times New Roman;serif" w:hAnsi="Times New Roman;serif"/>
                <w:b w:val="false"/>
                <w:sz w:val="23"/>
              </w:rPr>
              <w:t>The cover page from M&amp;T Bank Corporation’s Quarterly Report on Form 10-Q for the quarter ended</w:t>
            </w:r>
            <w:r>
              <w:rPr>
                <w:rFonts w:ascii="Times New Roman" w:hAnsi="Times New Roman"/>
                <w:sz w:val="23"/>
              </w:rPr>
              <w:t xml:space="preserve"> </w:t>
            </w:r>
          </w:p>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June 30, 2023 has been formatted in Inline XBRL.</w:t>
            </w:r>
          </w:p>
        </w:tc>
      </w:tr>
    </w:tbl>
    <w:p>
      <w:pPr>
        <w:pStyle w:val="TextBody"/>
        <w:bidi w:val="0"/>
        <w:spacing w:before="0" w:after="0"/>
        <w:jc w:val="both"/>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- 91</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3"/>
        </w:rPr>
      </w:pPr>
      <w:bookmarkStart w:id="21" w:name="signatures"/>
      <w:bookmarkEnd w:id="21"/>
      <w:r>
        <w:rPr>
          <w:rFonts w:ascii="Times New Roman;serif" w:hAnsi="Times New Roman;serif"/>
          <w:b w:val="false"/>
          <w:sz w:val="23"/>
        </w:rPr>
        <w:t>SIGNATURES</w:t>
      </w:r>
    </w:p>
    <w:p>
      <w:pPr>
        <w:pStyle w:val="TextBody"/>
        <w:bidi w:val="0"/>
        <w:spacing w:before="240" w:after="240"/>
        <w:jc w:val="both"/>
        <w:rPr>
          <w:rFonts w:ascii="Times New Roman" w:hAnsi="Times New Roman"/>
          <w:sz w:val="20"/>
        </w:rPr>
      </w:pPr>
      <w:r>
        <w:rPr>
          <w:rFonts w:ascii="Times New Roman;serif" w:hAnsi="Times New Roman;serif"/>
          <w:b w:val="false"/>
          <w:sz w:val="23"/>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tbl>
      <w:tblPr>
        <w:tblW w:w="5973" w:type="dxa"/>
        <w:jc w:val="left"/>
        <w:tblInd w:w="0" w:type="dxa"/>
        <w:tblLayout w:type="fixed"/>
        <w:tblCellMar>
          <w:top w:w="28" w:type="dxa"/>
          <w:left w:w="28" w:type="dxa"/>
          <w:bottom w:w="28" w:type="dxa"/>
          <w:right w:w="28" w:type="dxa"/>
        </w:tblCellMar>
      </w:tblPr>
      <w:tblGrid>
        <w:gridCol w:w="2131"/>
        <w:gridCol w:w="146"/>
        <w:gridCol w:w="436"/>
        <w:gridCol w:w="109"/>
        <w:gridCol w:w="315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96" w:type="dxa"/>
            <w:gridSpan w:val="3"/>
            <w:tcBorders/>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M&amp;T BANK CORPORATION</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96" w:type="dxa"/>
            <w:gridSpan w:val="3"/>
            <w:tcBorders/>
            <w:vAlign w:val="center"/>
          </w:tcPr>
          <w:p>
            <w:pPr>
              <w:pStyle w:val="TableContents"/>
              <w:bidi w:val="0"/>
              <w:spacing w:before="0" w:after="0"/>
              <w:ind w:left="0" w:right="0" w:hanging="0"/>
              <w:jc w:val="left"/>
              <w:rPr/>
            </w:pPr>
            <w:r>
              <w:rPr/>
              <w:t> </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Date: August 8,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By: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 Daryl N. Bible</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Daryl N. Bible</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3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151" w:type="dxa"/>
            <w:tcBorders/>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Senior Executive Vice President</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and Chief Financial Officer</w:t>
            </w:r>
          </w:p>
        </w:tc>
      </w:tr>
    </w:tbl>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serif" w:hAnsi="Times New Roman;serif"/>
          <w:b w:val="false"/>
          <w:sz w:val="20"/>
        </w:rPr>
        <w:t>- 92</w:t>
      </w:r>
      <w:r>
        <w:rPr>
          <w:rFonts w:ascii="Times New Roman" w:hAnsi="Times New Roman"/>
          <w:sz w:val="20"/>
        </w:rPr>
        <w:t xml:space="preserve"> </w:t>
      </w:r>
      <w:r>
        <w:rPr>
          <w:rFonts w:ascii="Times New Roman;serif" w:hAnsi="Times New Roman;serif"/>
          <w:b w:val="false"/>
          <w:sz w:val="20"/>
        </w:rPr>
        <w:t>-</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val="false"/>
          <w:sz w:val="20"/>
        </w:rPr>
      </w:pPr>
      <w:bookmarkStart w:id="22" w:name="mtb-ex31_1.htm"/>
      <w:bookmarkStart w:id="23" w:name="ksmtbex31_1"/>
      <w:bookmarkEnd w:id="22"/>
      <w:bookmarkEnd w:id="23"/>
      <w:r>
        <w:rPr>
          <w:rFonts w:ascii="Times New Roman;serif" w:hAnsi="Times New Roman;serif"/>
          <w:b w:val="false"/>
          <w:sz w:val="20"/>
        </w:rPr>
        <w:t>EXHIBIT 31.1</w:t>
      </w:r>
      <w:r>
        <w:br w:type="page"/>
      </w:r>
    </w:p>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CERTIFICATIONS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I, René F. Jones, certify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1. I have reviewed this quarterly report on Form 10-Q of M&amp;T Bank Corporation;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Date: August 8, 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152" w:type="dxa"/>
        <w:jc w:val="left"/>
        <w:tblInd w:w="0" w:type="dxa"/>
        <w:tblLayout w:type="fixed"/>
        <w:tblCellMar>
          <w:top w:w="28" w:type="dxa"/>
          <w:left w:w="28" w:type="dxa"/>
          <w:bottom w:w="28" w:type="dxa"/>
          <w:right w:w="28" w:type="dxa"/>
        </w:tblCellMar>
      </w:tblPr>
      <w:tblGrid>
        <w:gridCol w:w="451"/>
        <w:gridCol w:w="2701"/>
      </w:tblGrid>
      <w:tr>
        <w:trPr/>
        <w:tc>
          <w:tcPr>
            <w:tcW w:w="45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By:</w:t>
            </w:r>
          </w:p>
        </w:tc>
        <w:tc>
          <w:tcPr>
            <w:tcW w:w="27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/s/ René F. Jones</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René F. Jones</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Chairman of the Board and</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4" w:name="mtb-ex31_2.htm"/>
      <w:bookmarkStart w:id="25" w:name="ksmtbex31_2"/>
      <w:bookmarkEnd w:id="24"/>
      <w:bookmarkEnd w:id="25"/>
      <w:r>
        <w:rPr/>
        <w:t> </w:t>
      </w:r>
      <w:r>
        <w:br w:type="page"/>
      </w:r>
    </w:p>
    <w:p>
      <w:pPr>
        <w:pStyle w:val="TextBody"/>
        <w:bidi w:val="0"/>
        <w:spacing w:before="0" w:after="0"/>
        <w:jc w:val="right"/>
        <w:rPr>
          <w:rFonts w:ascii="Times New Roman;serif" w:hAnsi="Times New Roman;serif"/>
          <w:b w:val="false"/>
          <w:sz w:val="23"/>
        </w:rPr>
      </w:pPr>
      <w:r>
        <w:rPr>
          <w:rFonts w:ascii="Times New Roman;serif" w:hAnsi="Times New Roman;serif"/>
          <w:b w:val="false"/>
          <w:sz w:val="23"/>
        </w:rPr>
        <w:t>EXHIBIT 31.2</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CERTIFICATIONS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I, Daryl N. Bible, certify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1. I have reviewed this quarterly report on Form 10-Q of M&amp;T Bank Corporation;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0"/>
        <w:jc w:val="both"/>
        <w:rPr>
          <w:rFonts w:ascii="Times New Roman;serif" w:hAnsi="Times New Roman;serif"/>
          <w:b w:val="false"/>
          <w:sz w:val="23"/>
        </w:rPr>
      </w:pPr>
      <w:r>
        <w:rPr>
          <w:rFonts w:ascii="Times New Roman;serif" w:hAnsi="Times New Roman;serif"/>
          <w:b w:val="false"/>
          <w:sz w:val="23"/>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3"/>
        </w:rPr>
      </w:pPr>
      <w:r>
        <w:rPr>
          <w:rFonts w:ascii="Times New Roman;serif" w:hAnsi="Times New Roman;serif"/>
          <w:b w:val="false"/>
          <w:sz w:val="23"/>
        </w:rPr>
        <w:t>Date: August 8, 2023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3602" w:type="dxa"/>
        <w:jc w:val="left"/>
        <w:tblInd w:w="0" w:type="dxa"/>
        <w:tblLayout w:type="fixed"/>
        <w:tblCellMar>
          <w:top w:w="28" w:type="dxa"/>
          <w:left w:w="28" w:type="dxa"/>
          <w:bottom w:w="28" w:type="dxa"/>
          <w:right w:w="28" w:type="dxa"/>
        </w:tblCellMar>
      </w:tblPr>
      <w:tblGrid>
        <w:gridCol w:w="451"/>
        <w:gridCol w:w="3151"/>
      </w:tblGrid>
      <w:tr>
        <w:trPr/>
        <w:tc>
          <w:tcPr>
            <w:tcW w:w="45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By:</w:t>
            </w:r>
          </w:p>
        </w:tc>
        <w:tc>
          <w:tcPr>
            <w:tcW w:w="3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/s/ Daryl N. Bible</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Daryl N. Bible</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Senior Executive Vice President</w:t>
            </w:r>
          </w:p>
        </w:tc>
      </w:tr>
      <w:tr>
        <w:trPr/>
        <w:tc>
          <w:tcPr>
            <w:tcW w:w="4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3"/>
              </w:rPr>
            </w:pPr>
            <w:r>
              <w:rPr>
                <w:rFonts w:ascii="Times New Roman;serif" w:hAnsi="Times New Roman;serif"/>
                <w:b w:val="false"/>
                <w:sz w:val="23"/>
              </w:rPr>
              <w:t>and Chief Financial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val="false"/>
          <w:sz w:val="23"/>
        </w:rPr>
      </w:pPr>
      <w:bookmarkStart w:id="26" w:name="mtb-ex32_1.htm"/>
      <w:bookmarkStart w:id="27" w:name="ksmtbex32_1"/>
      <w:bookmarkEnd w:id="26"/>
      <w:bookmarkEnd w:id="27"/>
      <w:r>
        <w:rPr>
          <w:rFonts w:ascii="Times New Roman;serif" w:hAnsi="Times New Roman;serif"/>
          <w:b w:val="false"/>
          <w:sz w:val="23"/>
        </w:rPr>
        <w:t>EXHIBIT 32.1</w:t>
      </w:r>
      <w:r>
        <w:br w:type="page"/>
      </w:r>
    </w:p>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CERTIFICATION OF CHIEF EXECUTIVE OFFICER UNDER 18 U.S.C. §1350</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I, René F. Jones, Chairman of the Board and Chief Executive Officer of M&amp;T Bank Corporation, certify, pursuant to Section 906 of the Sarbanes-Oxley Act of 2002, 18 U.S.C. Section 1350,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(1) the Quarterly Report on Form 10-Q of M&amp;T Bank Corporation for the quarterly period ended June 30, 2023 (the "Report") fully complies with the requirements of Section 13(a) or 15(d) of the Securities Exchange Act of 1934 (15 U.S.C. 78m or 78o(d)); and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(2) the information contained in the Report fairly presents, in all material respects, the financial condition and results of operations of M&amp;T Bank Corporation.</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foregoing certification is being furnished solely pursuant to 18 U.S.C. §1350 and is not being filed as part of the Report or as a separate disclosure document.</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both"/>
              <w:rPr>
                <w:rFonts w:ascii="Times New Roman" w:hAnsi="Times New Roman"/>
                <w:sz w:val="23"/>
              </w:rPr>
            </w:pPr>
            <w:r>
              <w:rPr>
                <w:rFonts w:ascii="Times New Roman;serif" w:hAnsi="Times New Roman;serif"/>
                <w:b w:val="false"/>
                <w:sz w:val="23"/>
              </w:rPr>
              <w:t>/s/ René F. Jones</w:t>
            </w:r>
            <w:r>
              <w:rPr>
                <w:rFonts w:ascii="Times New Roman" w:hAnsi="Times New Roman"/>
                <w:sz w:val="23"/>
              </w:rPr>
              <w:t xml:space="preserve">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René F. Jones</w:t>
            </w:r>
          </w:p>
          <w:p>
            <w:pPr>
              <w:pStyle w:val="TableContents"/>
              <w:bidi w:val="0"/>
              <w:spacing w:before="0" w:after="0"/>
              <w:ind w:left="0" w:right="0" w:hanging="0"/>
              <w:jc w:val="both"/>
              <w:rPr/>
            </w:pPr>
            <w:r>
              <w:rPr/>
              <w:t> </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August 8, 2023</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val="false"/>
          <w:sz w:val="23"/>
        </w:rPr>
      </w:pPr>
      <w:bookmarkStart w:id="28" w:name="mtb-ex32_2.htm"/>
      <w:bookmarkStart w:id="29" w:name="ksmtbex32_2"/>
      <w:bookmarkEnd w:id="28"/>
      <w:bookmarkEnd w:id="29"/>
      <w:r>
        <w:rPr>
          <w:rFonts w:ascii="Times New Roman;serif" w:hAnsi="Times New Roman;serif"/>
          <w:b w:val="false"/>
          <w:sz w:val="23"/>
        </w:rPr>
        <w:t>EXHIBIT 32.2</w:t>
      </w:r>
      <w:r>
        <w:br w:type="page"/>
      </w:r>
    </w:p>
    <w:p>
      <w:pPr>
        <w:pStyle w:val="TextBody"/>
        <w:bidi w:val="0"/>
        <w:spacing w:before="0" w:after="0"/>
        <w:jc w:val="right"/>
        <w:rPr/>
      </w:pPr>
      <w:r>
        <w:rPr/>
        <w:t> </w:t>
      </w:r>
    </w:p>
    <w:p>
      <w:pPr>
        <w:pStyle w:val="TextBody"/>
        <w:bidi w:val="0"/>
        <w:spacing w:before="0" w:after="0"/>
        <w:jc w:val="center"/>
        <w:rPr>
          <w:rFonts w:ascii="Times New Roman;serif" w:hAnsi="Times New Roman;serif"/>
          <w:b w:val="false"/>
          <w:sz w:val="23"/>
        </w:rPr>
      </w:pPr>
      <w:r>
        <w:rPr>
          <w:rFonts w:ascii="Times New Roman;serif" w:hAnsi="Times New Roman;serif"/>
          <w:b w:val="false"/>
          <w:sz w:val="23"/>
        </w:rPr>
        <w:t>CERTIFICATION OF CHIEF FINANCIAL OFFICER UNDER 18 U.S.C. §1350</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I, Daryl N. Bible, Senior Executive Vice President and Chief Financial Officer of M&amp;T Bank Corporation, certify, pursuant to Section 906 of the Sarbanes-Oxley Act of 2002, 18 U.S.C. Section 1350, that: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(1) the Quarterly Report on Form 10-Q of M&amp;T Bank Corporation for the quarterly period ended June 30, 2023 (the "Report") fully complies with the requirements of Section 13(a) or 15(d) of the Securities Exchange Act of 1934 (15 U.S.C. 78m or 78o(d)); and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(2) the information contained in the Report fairly presents, in all material respects, the financial condition and results of operations of M&amp;T Bank Corporation.</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The foregoing certification is being furnished solely pursuant to 18 U.S.C. §1350 and is not being filed as part of the Report or as a separate disclosure document.</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/s/ Daryl N. Bible</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Daryl N. Bible</w:t>
            </w:r>
          </w:p>
        </w:tc>
      </w:tr>
      <w:tr>
        <w:trPr/>
        <w:tc>
          <w:tcPr>
            <w:tcW w:w="1801"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serif" w:hAnsi="Times New Roman;serif"/>
                <w:b w:val="false"/>
                <w:sz w:val="23"/>
              </w:rPr>
            </w:pPr>
            <w:r>
              <w:rPr>
                <w:rFonts w:ascii="Times New Roman;serif" w:hAnsi="Times New Roman;serif"/>
                <w:b w:val="false"/>
                <w:sz w:val="23"/>
              </w:rPr>
              <w:t>August 8, 2023</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23"/>
        </w:rPr>
      </w:pPr>
      <w:r>
        <w:rPr>
          <w:rFonts w:ascii="Times New Roman;serif" w:hAnsi="Times New Roman;serif"/>
          <w:b w:val="false"/>
          <w:sz w:val="23"/>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51723</Words>
  <Characters>287613</Characters>
  <CharactersWithSpaces>353857</CharactersWithSpaces>
  <Paragraphs>32166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