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223520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5"/>
              </w:rPr>
              <w:t>New York</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7"/>
              </w:rPr>
              <w:t>One M &amp; T Plaza</w:t>
            </w:r>
          </w:p>
        </w:tc>
        <w:tc>
          <w:tcPr>
            <w:tcW w:w="5140" w:type="dxa"/>
            <w:vAlign w:val="bottom"/>
          </w:tcPr>
          <w:p>
            <w:pPr>
              <w:spacing w:after="0"/>
              <w:rPr>
                <w:sz w:val="24"/>
                <w:szCs w:val="24"/>
                <w:color w:val="auto"/>
              </w:rPr>
            </w:pPr>
          </w:p>
        </w:tc>
      </w:t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Buffalo, New York</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14203</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2380" w:type="dxa"/>
            <w:vAlign w:val="bottom"/>
          </w:tcPr>
          <w:p>
            <w:pPr>
              <w:spacing w:after="0"/>
              <w:rPr>
                <w:sz w:val="24"/>
                <w:szCs w:val="24"/>
                <w:color w:val="auto"/>
              </w:rPr>
            </w:pPr>
          </w:p>
        </w:tc>
        <w:tc>
          <w:tcPr>
            <w:tcW w:w="5140" w:type="dxa"/>
            <w:vAlign w:val="bottom"/>
          </w:tcPr>
          <w:p>
            <w:pPr>
              <w:jc w:val="right"/>
              <w:ind w:right="2860"/>
              <w:spacing w:after="0"/>
              <w:rPr>
                <w:sz w:val="20"/>
                <w:szCs w:val="20"/>
                <w:color w:val="auto"/>
              </w:rPr>
            </w:pPr>
            <w:r>
              <w:rPr>
                <w:rFonts w:ascii="Arial" w:cs="Arial" w:eastAsia="Arial" w:hAnsi="Arial"/>
                <w:sz w:val="18"/>
                <w:szCs w:val="18"/>
                <w:b w:val="1"/>
                <w:bCs w:val="1"/>
                <w:color w:val="auto"/>
              </w:rPr>
              <w:t>(716) 842-5445</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43"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368" w:right="239" w:bottom="1440" w:gutter="0" w:footer="0" w:header="0"/>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368"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540" w:space="380"/>
            <w:col w:w="160" w:space="100"/>
            <w:col w:w="5960" w:space="720"/>
            <w:col w:w="1980" w:space="420"/>
            <w:col w:w="160"/>
          </w:cols>
          <w:pgMar w:left="240" w:top="368"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196" w:lineRule="exact"/>
        <w:rPr>
          <w:sz w:val="24"/>
          <w:szCs w:val="24"/>
          <w:color w:val="auto"/>
        </w:rPr>
      </w:pPr>
    </w:p>
    <w:p>
      <w:pPr>
        <w:sectPr>
          <w:pgSz w:w="11900" w:h="16838" w:orient="portrait"/>
          <w:cols w:equalWidth="0" w:num="5">
            <w:col w:w="8180" w:space="180"/>
            <w:col w:w="160" w:space="80"/>
            <w:col w:w="260" w:space="180"/>
            <w:col w:w="160" w:space="100"/>
            <w:col w:w="2120"/>
          </w:cols>
          <w:pgMar w:left="240" w:top="368" w:right="239" w:bottom="1440" w:gutter="0" w:footer="0" w:header="0"/>
          <w:type w:val="continuous"/>
        </w:sect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July 29, 2016: 156,769,164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M&amp;T BANK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June 30,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60" w:type="dxa"/>
            <w:vAlign w:val="bottom"/>
            <w:tcBorders>
              <w:bottom w:val="single" w:sz="8" w:color="auto"/>
            </w:tcBorders>
            <w:gridSpan w:val="12"/>
          </w:tcPr>
          <w:p>
            <w:pPr>
              <w:spacing w:after="0"/>
              <w:rPr>
                <w:sz w:val="20"/>
                <w:szCs w:val="20"/>
                <w:color w:val="auto"/>
              </w:rPr>
            </w:pPr>
            <w:r>
              <w:rPr>
                <w:rFonts w:ascii="Arial" w:cs="Arial" w:eastAsia="Arial" w:hAnsi="Arial"/>
                <w:sz w:val="14"/>
                <w:szCs w:val="14"/>
                <w:color w:val="auto"/>
                <w:w w:val="94"/>
              </w:rPr>
              <w:t>Table of Contents of Information Required in Report</w:t>
            </w:r>
          </w:p>
        </w:tc>
        <w:tc>
          <w:tcPr>
            <w:tcW w:w="7940" w:type="dxa"/>
            <w:vAlign w:val="bottom"/>
            <w:gridSpan w:val="11"/>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r>
      <w:tr>
        <w:trPr>
          <w:trHeight w:val="257"/>
        </w:trPr>
        <w:tc>
          <w:tcPr>
            <w:tcW w:w="1100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320" w:type="dxa"/>
            <w:vAlign w:val="bottom"/>
          </w:tcPr>
          <w:p>
            <w:pPr>
              <w:spacing w:after="0"/>
              <w:rPr>
                <w:sz w:val="22"/>
                <w:szCs w:val="22"/>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22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CONSOLIDATED BALANCE SHEET - June 30, 2016 and December 31, 2015</w:t>
              </w:r>
            </w:hyperlink>
          </w:p>
        </w:tc>
        <w:tc>
          <w:tcPr>
            <w:tcW w:w="398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INCOME - Three and six months ended June 30, 2016 and 2015</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COMPREHENSIVE INCOME – Three and six months ended June 30, 2016 and 2015</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0" w:type="dxa"/>
            <w:vAlign w:val="bottom"/>
            <w:tcBorders>
              <w:top w:val="single" w:sz="8" w:color="0000EE"/>
            </w:tcBorders>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 Six months ended June 30, 2016 and 2015</w:t>
              </w:r>
            </w:hyperlink>
          </w:p>
        </w:tc>
        <w:tc>
          <w:tcPr>
            <w:tcW w:w="78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0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 OF CHANGES IN SHAREHOLDERS’ EQUITY - Six months ended June 30, 2016 and 2015</w:t>
              </w:r>
            </w:hyperlink>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978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4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10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8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103</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105">
              <w:r>
                <w:rPr>
                  <w:rFonts w:ascii="Arial" w:cs="Arial" w:eastAsia="Arial" w:hAnsi="Arial"/>
                  <w:sz w:val="18"/>
                  <w:szCs w:val="18"/>
                  <w:color w:val="0000EE"/>
                  <w:w w:val="88"/>
                </w:rPr>
                <w:t>Controls and Procedures.</w:t>
              </w:r>
            </w:hyperlink>
          </w:p>
        </w:tc>
        <w:tc>
          <w:tcPr>
            <w:tcW w:w="796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103</w:t>
            </w:r>
          </w:p>
        </w:tc>
      </w:tr>
      <w:tr>
        <w:trPr>
          <w:trHeight w:val="304"/>
        </w:trPr>
        <w:tc>
          <w:tcPr>
            <w:tcW w:w="244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105">
              <w:r>
                <w:rPr>
                  <w:rFonts w:ascii="Arial" w:cs="Arial" w:eastAsia="Arial" w:hAnsi="Arial"/>
                  <w:sz w:val="18"/>
                  <w:szCs w:val="18"/>
                  <w:color w:val="0000EE"/>
                  <w:w w:val="95"/>
                </w:rPr>
                <w:t>Part II. OTHER INFORMATION</w:t>
              </w:r>
            </w:hyperlink>
          </w:p>
        </w:tc>
        <w:tc>
          <w:tcPr>
            <w:tcW w:w="8560" w:type="dxa"/>
            <w:vAlign w:val="bottom"/>
            <w:gridSpan w:val="17"/>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9780" w:type="dxa"/>
            <w:vAlign w:val="bottom"/>
            <w:gridSpan w:val="21"/>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Legal Proceedings.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103</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9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0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24"/>
                <w:szCs w:val="24"/>
                <w:color w:val="auto"/>
              </w:rPr>
            </w:pPr>
          </w:p>
        </w:tc>
        <w:tc>
          <w:tcPr>
            <w:tcW w:w="840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44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07">
              <w:r>
                <w:rPr>
                  <w:rFonts w:ascii="Arial" w:cs="Arial" w:eastAsia="Arial" w:hAnsi="Arial"/>
                  <w:sz w:val="18"/>
                  <w:szCs w:val="18"/>
                  <w:color w:val="0000EE"/>
                  <w:w w:val="89"/>
                </w:rPr>
                <w:t>Unregistered Sales of Equity Securities and Use of Proceeds.</w:t>
              </w:r>
            </w:hyperlink>
          </w:p>
        </w:tc>
        <w:tc>
          <w:tcPr>
            <w:tcW w:w="538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23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07">
              <w:r>
                <w:rPr>
                  <w:rFonts w:ascii="Arial" w:cs="Arial" w:eastAsia="Arial" w:hAnsi="Arial"/>
                  <w:sz w:val="18"/>
                  <w:szCs w:val="18"/>
                  <w:color w:val="0000EE"/>
                  <w:w w:val="90"/>
                </w:rPr>
                <w:t>Defaults Upon Senior Securities.</w:t>
              </w:r>
            </w:hyperlink>
          </w:p>
        </w:tc>
        <w:tc>
          <w:tcPr>
            <w:tcW w:w="740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07">
              <w:r>
                <w:rPr>
                  <w:rFonts w:ascii="Arial" w:cs="Arial" w:eastAsia="Arial" w:hAnsi="Arial"/>
                  <w:sz w:val="18"/>
                  <w:szCs w:val="18"/>
                  <w:color w:val="0000EE"/>
                  <w:w w:val="90"/>
                </w:rPr>
                <w:t>Mine Safety Disclosures.</w:t>
              </w:r>
            </w:hyperlink>
          </w:p>
        </w:tc>
        <w:tc>
          <w:tcPr>
            <w:tcW w:w="796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5.</w:t>
            </w:r>
          </w:p>
        </w:tc>
        <w:tc>
          <w:tcPr>
            <w:tcW w:w="9780" w:type="dxa"/>
            <w:vAlign w:val="bottom"/>
            <w:gridSpan w:val="21"/>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Other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1360" w:type="dxa"/>
            <w:vAlign w:val="bottom"/>
            <w:tcBorders>
              <w:top w:val="single" w:sz="8" w:color="0000EE"/>
            </w:tcBorders>
            <w:gridSpan w:val="5"/>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Exhibits.</w:t>
              </w:r>
            </w:hyperlink>
          </w:p>
        </w:tc>
        <w:tc>
          <w:tcPr>
            <w:tcW w:w="8420" w:type="dxa"/>
            <w:vAlign w:val="bottom"/>
            <w:gridSpan w:val="1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304"/>
        </w:trPr>
        <w:tc>
          <w:tcPr>
            <w:tcW w:w="1220" w:type="dxa"/>
            <w:vAlign w:val="bottom"/>
            <w:gridSpan w:val="2"/>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SIGNATURES</w:t>
              </w:r>
            </w:hyperlink>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20"/>
        </w:trPr>
        <w:tc>
          <w:tcPr>
            <w:tcW w:w="11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60" w:type="dxa"/>
            <w:vAlign w:val="bottom"/>
            <w:gridSpan w:val="2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340" w:type="dxa"/>
            <w:vAlign w:val="bottom"/>
            <w:tcBorders>
              <w:bottom w:val="single" w:sz="8" w:color="0000EE"/>
            </w:tcBorders>
            <w:gridSpan w:val="3"/>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EXHIBIT INDEX</w:t>
              </w:r>
            </w:hyperlink>
          </w:p>
        </w:tc>
        <w:tc>
          <w:tcPr>
            <w:tcW w:w="9660" w:type="dxa"/>
            <w:vAlign w:val="bottom"/>
            <w:gridSpan w:val="2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r>
      <w:tr>
        <w:trPr>
          <w:trHeight w:val="385"/>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gridSpan w:val="15"/>
          </w:tcPr>
          <w:p>
            <w:pPr>
              <w:ind w:left="438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10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color w:val="auto"/>
              </w:rPr>
              <w:t>June 30,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90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51"/>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14"/>
                <w:szCs w:val="14"/>
                <w:color w:val="auto"/>
              </w:rPr>
            </w:pPr>
          </w:p>
        </w:tc>
        <w:tc>
          <w:tcPr>
            <w:tcW w:w="960" w:type="dxa"/>
            <w:vAlign w:val="bottom"/>
          </w:tcPr>
          <w:p>
            <w:pPr>
              <w:jc w:val="right"/>
              <w:ind w:right="251"/>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7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1,284,442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60" w:type="dxa"/>
            <w:vAlign w:val="bottom"/>
            <w:gridSpan w:val="2"/>
          </w:tcPr>
          <w:p>
            <w:pPr>
              <w:ind w:left="28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8,474,839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7,594,350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Trading account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506,131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260" w:type="dxa"/>
            <w:vAlign w:val="bottom"/>
            <w:gridSpan w:val="2"/>
          </w:tcPr>
          <w:p>
            <w:pPr>
              <w:ind w:left="280"/>
              <w:spacing w:after="0" w:line="201" w:lineRule="exact"/>
              <w:rPr>
                <w:sz w:val="20"/>
                <w:szCs w:val="20"/>
                <w:color w:val="auto"/>
              </w:rPr>
            </w:pPr>
            <w:r>
              <w:rPr>
                <w:rFonts w:ascii="Arial" w:cs="Arial" w:eastAsia="Arial" w:hAnsi="Arial"/>
                <w:sz w:val="18"/>
                <w:szCs w:val="18"/>
                <w:color w:val="auto"/>
                <w:w w:val="92"/>
              </w:rPr>
              <w:t>Investment securities (includes pledged securities that can be sold or repledged of $2,119,744</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260" w:type="dxa"/>
            <w:vAlign w:val="bottom"/>
            <w:gridSpan w:val="2"/>
          </w:tcPr>
          <w:p>
            <w:pPr>
              <w:ind w:left="460"/>
              <w:spacing w:after="0"/>
              <w:rPr>
                <w:sz w:val="20"/>
                <w:szCs w:val="20"/>
                <w:color w:val="auto"/>
              </w:rPr>
            </w:pPr>
            <w:r>
              <w:rPr>
                <w:rFonts w:ascii="Arial" w:cs="Arial" w:eastAsia="Arial" w:hAnsi="Arial"/>
                <w:sz w:val="18"/>
                <w:szCs w:val="18"/>
                <w:color w:val="auto"/>
              </w:rPr>
              <w:t>at June 30, 2016; $2,136,712 at December 31, 2015)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7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Available for sale (cost: $11,578,829 at June 30, 2016; $12,138,636 at December 31,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7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11,918,974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12,242,671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780" w:type="dxa"/>
            <w:vAlign w:val="bottom"/>
          </w:tcPr>
          <w:p>
            <w:pPr>
              <w:ind w:left="160"/>
              <w:spacing w:after="0" w:line="201" w:lineRule="exact"/>
              <w:rPr>
                <w:sz w:val="20"/>
                <w:szCs w:val="20"/>
                <w:color w:val="auto"/>
              </w:rPr>
            </w:pPr>
            <w:r>
              <w:rPr>
                <w:rFonts w:ascii="Arial" w:cs="Arial" w:eastAsia="Arial" w:hAnsi="Arial"/>
                <w:sz w:val="18"/>
                <w:szCs w:val="18"/>
                <w:color w:val="auto"/>
                <w:w w:val="96"/>
              </w:rPr>
              <w:t>Held to maturity (fair value: $2,623,259 at June 30, 2016; $2,864,147 at December 31,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260" w:type="dxa"/>
            <w:vAlign w:val="bottom"/>
            <w:gridSpan w:val="2"/>
          </w:tcPr>
          <w:p>
            <w:pPr>
              <w:ind w:left="8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2,574,421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2,859,709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(fair value: $469,689 at June 30, 2016; $554,059 at December 31, 2015)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469,689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780" w:type="dxa"/>
            <w:vAlign w:val="bottom"/>
          </w:tcPr>
          <w:p>
            <w:pPr>
              <w:ind w:left="520"/>
              <w:spacing w:after="0"/>
              <w:rPr>
                <w:sz w:val="20"/>
                <w:szCs w:val="20"/>
                <w:color w:val="auto"/>
              </w:rPr>
            </w:pPr>
            <w:r>
              <w:rPr>
                <w:rFonts w:ascii="Arial" w:cs="Arial" w:eastAsia="Arial" w:hAnsi="Arial"/>
                <w:sz w:val="18"/>
                <w:szCs w:val="18"/>
                <w:color w:val="auto"/>
              </w:rPr>
              <w:t>Total investment securities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14,963,084</w:t>
            </w:r>
          </w:p>
        </w:tc>
        <w:tc>
          <w:tcPr>
            <w:tcW w:w="3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15,656,439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Loans and leases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88,754,824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87,719,234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Unearned discount</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(232,826)</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(229,735)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Loans and leases, net of unearned discount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88,521,998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87,489,499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(970,496)</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(955,992)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Loans and leases,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87,551,502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86,533,507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260" w:type="dxa"/>
            <w:vAlign w:val="bottom"/>
            <w:gridSpan w:val="2"/>
          </w:tcPr>
          <w:p>
            <w:pPr>
              <w:ind w:left="280"/>
              <w:spacing w:after="0"/>
              <w:rPr>
                <w:sz w:val="20"/>
                <w:szCs w:val="20"/>
                <w:color w:val="auto"/>
              </w:rPr>
            </w:pPr>
            <w:r>
              <w:rPr>
                <w:rFonts w:ascii="Arial" w:cs="Arial" w:eastAsia="Arial" w:hAnsi="Arial"/>
                <w:sz w:val="18"/>
                <w:szCs w:val="18"/>
                <w:color w:val="auto"/>
              </w:rPr>
              <w:t>Premises and equipment</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658,216</w:t>
            </w:r>
          </w:p>
        </w:tc>
        <w:tc>
          <w:tcPr>
            <w:tcW w:w="3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4,593,112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60" w:type="dxa"/>
            <w:vAlign w:val="bottom"/>
            <w:gridSpan w:val="2"/>
          </w:tcPr>
          <w:p>
            <w:pPr>
              <w:ind w:left="280"/>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116,531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140,268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Accrued interest and 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5,672,727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5,961,703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78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123,820,584</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122,787,884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7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30,700,066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29,110,635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60" w:type="dxa"/>
            <w:vAlign w:val="bottom"/>
            <w:gridSpan w:val="2"/>
          </w:tcPr>
          <w:p>
            <w:pPr>
              <w:ind w:left="280"/>
              <w:spacing w:after="0"/>
              <w:rPr>
                <w:sz w:val="20"/>
                <w:szCs w:val="20"/>
                <w:color w:val="auto"/>
              </w:rPr>
            </w:pPr>
            <w:r>
              <w:rPr>
                <w:rFonts w:ascii="Arial" w:cs="Arial" w:eastAsia="Arial" w:hAnsi="Arial"/>
                <w:sz w:val="18"/>
                <w:szCs w:val="18"/>
                <w:color w:val="auto"/>
              </w:rPr>
              <w:t>Interest-checking deposits</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2,672,524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2,939,274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Savings deposits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48,453,713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46,627,370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60" w:type="dxa"/>
            <w:vAlign w:val="bottom"/>
            <w:gridSpan w:val="2"/>
          </w:tcPr>
          <w:p>
            <w:pPr>
              <w:ind w:left="280"/>
              <w:spacing w:after="0"/>
              <w:rPr>
                <w:sz w:val="20"/>
                <w:szCs w:val="20"/>
                <w:color w:val="auto"/>
              </w:rPr>
            </w:pPr>
            <w:r>
              <w:rPr>
                <w:rFonts w:ascii="Arial" w:cs="Arial" w:eastAsia="Arial" w:hAnsi="Arial"/>
                <w:sz w:val="18"/>
                <w:szCs w:val="18"/>
                <w:color w:val="auto"/>
              </w:rPr>
              <w:t>Time deposits</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12,630,277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13,110,392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193,523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780" w:type="dxa"/>
            <w:vAlign w:val="bottom"/>
          </w:tcPr>
          <w:p>
            <w:pPr>
              <w:ind w:left="520"/>
              <w:spacing w:after="0"/>
              <w:rPr>
                <w:sz w:val="20"/>
                <w:szCs w:val="20"/>
                <w:color w:val="auto"/>
              </w:rPr>
            </w:pPr>
            <w:r>
              <w:rPr>
                <w:rFonts w:ascii="Arial" w:cs="Arial" w:eastAsia="Arial" w:hAnsi="Arial"/>
                <w:sz w:val="18"/>
                <w:szCs w:val="18"/>
                <w:color w:val="auto"/>
              </w:rPr>
              <w:t>Total deposits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94,650,103</w:t>
            </w:r>
          </w:p>
        </w:tc>
        <w:tc>
          <w:tcPr>
            <w:tcW w:w="3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91,957,841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Federal funds purchased and agreements to repurchase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206,943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60" w:type="dxa"/>
            <w:vAlign w:val="bottom"/>
            <w:gridSpan w:val="2"/>
          </w:tcPr>
          <w:p>
            <w:pPr>
              <w:ind w:left="280"/>
              <w:spacing w:after="0"/>
              <w:rPr>
                <w:sz w:val="20"/>
                <w:szCs w:val="20"/>
                <w:color w:val="auto"/>
              </w:rPr>
            </w:pPr>
            <w:r>
              <w:rPr>
                <w:rFonts w:ascii="Arial" w:cs="Arial" w:eastAsia="Arial" w:hAnsi="Arial"/>
                <w:sz w:val="18"/>
                <w:szCs w:val="18"/>
                <w:color w:val="auto"/>
              </w:rPr>
              <w:t>Other short-term borrowings</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200,180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1,981,636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Accrued interest and other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1,963,093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60" w:type="dxa"/>
            <w:vAlign w:val="bottom"/>
            <w:gridSpan w:val="2"/>
          </w:tcPr>
          <w:p>
            <w:pPr>
              <w:ind w:left="28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10,328,751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10,653,858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107,349,070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106,614,595</w:t>
            </w:r>
          </w:p>
        </w:tc>
        <w:tc>
          <w:tcPr>
            <w:tcW w:w="0" w:type="dxa"/>
            <w:vAlign w:val="bottom"/>
          </w:tcPr>
          <w:p>
            <w:pPr>
              <w:spacing w:after="0"/>
              <w:rPr>
                <w:sz w:val="1"/>
                <w:szCs w:val="1"/>
                <w:color w:val="auto"/>
              </w:rPr>
            </w:pPr>
          </w:p>
        </w:tc>
      </w:tr>
      <w:tr>
        <w:trPr>
          <w:trHeight w:val="209"/>
        </w:trPr>
        <w:tc>
          <w:tcPr>
            <w:tcW w:w="17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7260" w:type="dxa"/>
            <w:vAlign w:val="bottom"/>
            <w:gridSpan w:val="2"/>
          </w:tcPr>
          <w:p>
            <w:pPr>
              <w:ind w:left="280"/>
              <w:spacing w:after="0"/>
              <w:rPr>
                <w:sz w:val="20"/>
                <w:szCs w:val="20"/>
                <w:color w:val="auto"/>
              </w:rPr>
            </w:pPr>
            <w:r>
              <w:rPr>
                <w:rFonts w:ascii="Arial" w:cs="Arial" w:eastAsia="Arial" w:hAnsi="Arial"/>
                <w:sz w:val="18"/>
                <w:szCs w:val="18"/>
                <w:color w:val="auto"/>
                <w:w w:val="94"/>
              </w:rPr>
              <w:t>Preferred stock, $1.00 par, 1,000,000 shares authorized; Issued and outstanding: Liquidation</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60" w:type="dxa"/>
            <w:vAlign w:val="bottom"/>
            <w:gridSpan w:val="2"/>
          </w:tcPr>
          <w:p>
            <w:pPr>
              <w:ind w:left="460"/>
              <w:spacing w:after="0"/>
              <w:rPr>
                <w:sz w:val="20"/>
                <w:szCs w:val="20"/>
                <w:color w:val="auto"/>
              </w:rPr>
            </w:pPr>
            <w:r>
              <w:rPr>
                <w:rFonts w:ascii="Arial" w:cs="Arial" w:eastAsia="Arial" w:hAnsi="Arial"/>
                <w:sz w:val="18"/>
                <w:szCs w:val="18"/>
                <w:color w:val="auto"/>
                <w:w w:val="93"/>
              </w:rPr>
              <w:t>preference of $1,000 per share: 731,500 shares at June 30, 2016 and December 31, 2015;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60" w:type="dxa"/>
            <w:vAlign w:val="bottom"/>
            <w:gridSpan w:val="2"/>
          </w:tcPr>
          <w:p>
            <w:pPr>
              <w:ind w:left="460"/>
              <w:spacing w:after="0"/>
              <w:rPr>
                <w:sz w:val="20"/>
                <w:szCs w:val="20"/>
                <w:color w:val="auto"/>
              </w:rPr>
            </w:pPr>
            <w:r>
              <w:rPr>
                <w:rFonts w:ascii="Arial" w:cs="Arial" w:eastAsia="Arial" w:hAnsi="Arial"/>
                <w:sz w:val="18"/>
                <w:szCs w:val="18"/>
                <w:color w:val="auto"/>
                <w:w w:val="92"/>
              </w:rPr>
              <w:t>Liquidation preference of $10,000 per share: 50,000 shares at June 30, 2016 and December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260" w:type="dxa"/>
            <w:vAlign w:val="bottom"/>
            <w:gridSpan w:val="2"/>
          </w:tcPr>
          <w:p>
            <w:pPr>
              <w:ind w:left="460"/>
              <w:spacing w:after="0"/>
              <w:rPr>
                <w:sz w:val="20"/>
                <w:szCs w:val="20"/>
                <w:color w:val="auto"/>
              </w:rPr>
            </w:pPr>
            <w:r>
              <w:rPr>
                <w:rFonts w:ascii="Arial" w:cs="Arial" w:eastAsia="Arial" w:hAnsi="Arial"/>
                <w:sz w:val="18"/>
                <w:szCs w:val="18"/>
                <w:color w:val="auto"/>
              </w:rPr>
              <w:t>31, 2015</w:t>
            </w:r>
          </w:p>
        </w:tc>
        <w:tc>
          <w:tcPr>
            <w:tcW w:w="1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1,231,500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1,231,500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726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w w:val="93"/>
              </w:rPr>
              <w:t>Common stock, $.50 par, 250,000,000 shares authorized, 159,957,393 shares issued at June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7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30, 2016; 159,563,512 shares issued at December 31, 2015</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79,979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60" w:type="dxa"/>
            <w:vAlign w:val="bottom"/>
            <w:gridSpan w:val="2"/>
          </w:tcPr>
          <w:p>
            <w:pPr>
              <w:ind w:left="280"/>
              <w:spacing w:after="0"/>
              <w:rPr>
                <w:sz w:val="20"/>
                <w:szCs w:val="20"/>
                <w:color w:val="auto"/>
              </w:rPr>
            </w:pPr>
            <w:r>
              <w:rPr>
                <w:rFonts w:ascii="Arial" w:cs="Arial" w:eastAsia="Arial" w:hAnsi="Arial"/>
                <w:sz w:val="18"/>
                <w:szCs w:val="18"/>
                <w:color w:val="auto"/>
                <w:w w:val="91"/>
              </w:rPr>
              <w:t>Common stock issuable, 33,546 shares at June 30, 2016; 36,644 shares at December 31, 2015</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2,201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6,690,671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6,680,768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6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8,801,305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8,430,502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(101,021)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60" w:type="dxa"/>
            <w:vAlign w:val="bottom"/>
            <w:gridSpan w:val="2"/>
          </w:tcPr>
          <w:p>
            <w:pPr>
              <w:ind w:left="280"/>
              <w:spacing w:after="0"/>
              <w:rPr>
                <w:sz w:val="20"/>
                <w:szCs w:val="20"/>
                <w:color w:val="auto"/>
              </w:rPr>
            </w:pPr>
            <w:r>
              <w:rPr>
                <w:rFonts w:ascii="Arial" w:cs="Arial" w:eastAsia="Arial" w:hAnsi="Arial"/>
                <w:sz w:val="18"/>
                <w:szCs w:val="18"/>
                <w:color w:val="auto"/>
              </w:rPr>
              <w:t>Treasury stock - common, at cost - 2,073,692 shares at June 30, 2016</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(233,121)</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16,471,514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16,173,289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780" w:type="dxa"/>
            <w:vAlign w:val="bottom"/>
          </w:tcPr>
          <w:p>
            <w:pPr>
              <w:ind w:left="5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123,820,584</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122,787,884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60" w:type="dxa"/>
            <w:vAlign w:val="bottom"/>
            <w:gridSpan w:val="2"/>
            <w:vMerge w:val="restart"/>
          </w:tcPr>
          <w:p>
            <w:pPr>
              <w:ind w:left="38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ind w:left="37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3"/>
              </w:rPr>
              <w:t>In thousands, except per share</w:t>
            </w:r>
          </w:p>
        </w:tc>
        <w:tc>
          <w:tcPr>
            <w:tcW w:w="3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4"/>
          </w:tcPr>
          <w:p>
            <w:pPr>
              <w:jc w:val="right"/>
              <w:ind w:right="580"/>
              <w:spacing w:after="0"/>
              <w:rPr>
                <w:sz w:val="20"/>
                <w:szCs w:val="20"/>
                <w:color w:val="auto"/>
              </w:rPr>
            </w:pPr>
            <w:r>
              <w:rPr>
                <w:rFonts w:ascii="Arial" w:cs="Arial" w:eastAsia="Arial" w:hAnsi="Arial"/>
                <w:sz w:val="14"/>
                <w:szCs w:val="14"/>
                <w:color w:val="auto"/>
                <w:w w:val="95"/>
              </w:rPr>
              <w:t>Three months ended June 30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4"/>
          </w:tcPr>
          <w:p>
            <w:pPr>
              <w:jc w:val="right"/>
              <w:ind w:right="48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67"/>
        </w:trPr>
        <w:tc>
          <w:tcPr>
            <w:tcW w:w="1820" w:type="dxa"/>
            <w:vAlign w:val="bottom"/>
            <w:gridSpan w:val="2"/>
            <w:vMerge w:val="continue"/>
          </w:tcPr>
          <w:p>
            <w:pPr>
              <w:spacing w:after="0"/>
              <w:rPr>
                <w:sz w:val="14"/>
                <w:szCs w:val="14"/>
                <w:color w:val="auto"/>
              </w:rPr>
            </w:pPr>
          </w:p>
        </w:tc>
        <w:tc>
          <w:tcPr>
            <w:tcW w:w="3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1"/>
              <w:spacing w:after="0"/>
              <w:rPr>
                <w:sz w:val="20"/>
                <w:szCs w:val="20"/>
                <w:color w:val="auto"/>
              </w:rPr>
            </w:pPr>
            <w:r>
              <w:rPr>
                <w:rFonts w:ascii="Arial" w:cs="Arial" w:eastAsia="Arial" w:hAnsi="Arial"/>
                <w:sz w:val="14"/>
                <w:szCs w:val="14"/>
                <w:color w:val="auto"/>
              </w:rPr>
              <w:t>2016</w:t>
            </w:r>
          </w:p>
        </w:tc>
        <w:tc>
          <w:tcPr>
            <w:tcW w:w="640" w:type="dxa"/>
            <w:vAlign w:val="bottom"/>
          </w:tcPr>
          <w:p>
            <w:pPr>
              <w:spacing w:after="0"/>
              <w:rPr>
                <w:sz w:val="14"/>
                <w:szCs w:val="14"/>
                <w:color w:val="auto"/>
              </w:rPr>
            </w:pP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2015</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color w:val="auto"/>
              </w:rPr>
              <w:t>2016</w:t>
            </w:r>
          </w:p>
        </w:tc>
        <w:tc>
          <w:tcPr>
            <w:tcW w:w="620" w:type="dxa"/>
            <w:vAlign w:val="bottom"/>
          </w:tcPr>
          <w:p>
            <w:pPr>
              <w:spacing w:after="0"/>
              <w:rPr>
                <w:sz w:val="14"/>
                <w:szCs w:val="14"/>
                <w:color w:val="auto"/>
              </w:rPr>
            </w:pPr>
          </w:p>
        </w:tc>
        <w:tc>
          <w:tcPr>
            <w:tcW w:w="800" w:type="dxa"/>
            <w:vAlign w:val="bottom"/>
          </w:tcPr>
          <w:p>
            <w:pPr>
              <w:jc w:val="right"/>
              <w:ind w:right="170"/>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Loans and leases, including fees</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867,478</w:t>
            </w:r>
          </w:p>
        </w:tc>
        <w:tc>
          <w:tcPr>
            <w:tcW w:w="6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662,633</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1,730,863</w:t>
            </w: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1,309,812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Investment securities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Fully taxable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91,184</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93,144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189,199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179,101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Exempt from federal taxes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663</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1,062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1,458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Deposits at banks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10,993</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21,330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w:t>
            </w:r>
          </w:p>
        </w:tc>
        <w:tc>
          <w:tcPr>
            <w:tcW w:w="6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605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interest income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970,621</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760,354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1,943,455</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1,498,441</w:t>
            </w:r>
          </w:p>
        </w:tc>
        <w:tc>
          <w:tcPr>
            <w:tcW w:w="0" w:type="dxa"/>
            <w:vAlign w:val="bottom"/>
          </w:tcPr>
          <w:p>
            <w:pPr>
              <w:spacing w:after="0"/>
              <w:rPr>
                <w:sz w:val="1"/>
                <w:szCs w:val="1"/>
                <w:color w:val="auto"/>
              </w:rPr>
            </w:pPr>
          </w:p>
        </w:tc>
      </w:tr>
      <w:tr>
        <w:trPr>
          <w:trHeight w:val="223"/>
        </w:trPr>
        <w:tc>
          <w:tcPr>
            <w:tcW w:w="18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760" w:type="dxa"/>
            <w:vAlign w:val="bottom"/>
          </w:tcPr>
          <w:p>
            <w:pPr>
              <w:ind w:left="60"/>
              <w:spacing w:after="0"/>
              <w:rPr>
                <w:sz w:val="20"/>
                <w:szCs w:val="20"/>
                <w:color w:val="auto"/>
              </w:rPr>
            </w:pPr>
            <w:r>
              <w:rPr>
                <w:rFonts w:ascii="Arial" w:cs="Arial" w:eastAsia="Arial" w:hAnsi="Arial"/>
                <w:sz w:val="18"/>
                <w:szCs w:val="18"/>
                <w:color w:val="auto"/>
              </w:rPr>
              <w:t>Interest-checking deposits</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6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6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Savings deposits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20,134</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10,361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36,025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Time deposits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26,867</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3,690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51,189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Deposits at Cayman Islands office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181</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Short-term borrowings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1,143</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3,305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Long-term borrowings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58,077</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62,640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115,965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126,688</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60" w:type="dxa"/>
            <w:vAlign w:val="bottom"/>
          </w:tcPr>
          <w:p>
            <w:pPr>
              <w:ind w:left="780"/>
              <w:spacing w:after="0"/>
              <w:rPr>
                <w:sz w:val="20"/>
                <w:szCs w:val="20"/>
                <w:color w:val="auto"/>
              </w:rPr>
            </w:pPr>
            <w:r>
              <w:rPr>
                <w:rFonts w:ascii="Arial" w:cs="Arial" w:eastAsia="Arial" w:hAnsi="Arial"/>
                <w:sz w:val="18"/>
                <w:szCs w:val="18"/>
                <w:color w:val="auto"/>
              </w:rPr>
              <w:t>Total interest expense</w:t>
            </w:r>
          </w:p>
        </w:tc>
        <w:tc>
          <w:tcPr>
            <w:tcW w:w="7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106,802</w:t>
            </w:r>
          </w:p>
        </w:tc>
        <w:tc>
          <w:tcPr>
            <w:tcW w:w="6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77,226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207,672</w:t>
            </w:r>
          </w:p>
        </w:tc>
        <w:tc>
          <w:tcPr>
            <w:tcW w:w="6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8"/>
                <w:szCs w:val="18"/>
                <w:i w:val="1"/>
                <w:iCs w:val="1"/>
                <w:color w:val="auto"/>
              </w:rPr>
              <w:t>Net interest income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863,819</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683,128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1,735,783</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1,342,716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Provision for credit losses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32,000</w:t>
            </w:r>
          </w:p>
        </w:tc>
        <w:tc>
          <w:tcPr>
            <w:tcW w:w="6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81,000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68,000</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Net interest income after provision for credit losses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831,819</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653,128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1,654,783</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1,274,716</w:t>
            </w:r>
          </w:p>
        </w:tc>
        <w:tc>
          <w:tcPr>
            <w:tcW w:w="0" w:type="dxa"/>
            <w:vAlign w:val="bottom"/>
          </w:tcPr>
          <w:p>
            <w:pPr>
              <w:spacing w:after="0"/>
              <w:rPr>
                <w:sz w:val="1"/>
                <w:szCs w:val="1"/>
                <w:color w:val="auto"/>
              </w:rPr>
            </w:pPr>
          </w:p>
        </w:tc>
      </w:tr>
      <w:tr>
        <w:trPr>
          <w:trHeight w:val="223"/>
        </w:trPr>
        <w:tc>
          <w:tcPr>
            <w:tcW w:w="18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3760" w:type="dxa"/>
            <w:vAlign w:val="bottom"/>
          </w:tcPr>
          <w:p>
            <w:pPr>
              <w:ind w:left="60"/>
              <w:spacing w:after="0"/>
              <w:rPr>
                <w:sz w:val="20"/>
                <w:szCs w:val="20"/>
                <w:color w:val="auto"/>
              </w:rPr>
            </w:pPr>
            <w:r>
              <w:rPr>
                <w:rFonts w:ascii="Arial" w:cs="Arial" w:eastAsia="Arial" w:hAnsi="Arial"/>
                <w:sz w:val="18"/>
                <w:szCs w:val="18"/>
                <w:color w:val="auto"/>
              </w:rPr>
              <w:t>Mortgage banking revenues</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89,383</w:t>
            </w:r>
          </w:p>
        </w:tc>
        <w:tc>
          <w:tcPr>
            <w:tcW w:w="6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102,602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171,446</w:t>
            </w:r>
          </w:p>
        </w:tc>
        <w:tc>
          <w:tcPr>
            <w:tcW w:w="6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Service charges on deposit accounts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103,872</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105,257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206,277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207,601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Trust income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120,450</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118,598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231,527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242,332</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Brokerage services income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16,272</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16,861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32,276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32,322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Trading account and foreign exchange gains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13,222</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6,046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20,680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12,277</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Gain (loss) on bank investment securities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264</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Other revenues from operations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104,791</w:t>
            </w:r>
          </w:p>
        </w:tc>
        <w:tc>
          <w:tcPr>
            <w:tcW w:w="6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147,673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206,713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238,603</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other income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448,254</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497,027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869,187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937,230</w:t>
            </w:r>
          </w:p>
        </w:tc>
        <w:tc>
          <w:tcPr>
            <w:tcW w:w="0" w:type="dxa"/>
            <w:vAlign w:val="bottom"/>
          </w:tcPr>
          <w:p>
            <w:pPr>
              <w:spacing w:after="0"/>
              <w:rPr>
                <w:sz w:val="1"/>
                <w:szCs w:val="1"/>
                <w:color w:val="auto"/>
              </w:rPr>
            </w:pPr>
          </w:p>
        </w:tc>
      </w:tr>
      <w:tr>
        <w:trPr>
          <w:trHeight w:val="223"/>
        </w:trPr>
        <w:tc>
          <w:tcPr>
            <w:tcW w:w="182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3760" w:type="dxa"/>
            <w:vAlign w:val="bottom"/>
          </w:tcPr>
          <w:p>
            <w:pPr>
              <w:ind w:left="60"/>
              <w:spacing w:after="0"/>
              <w:rPr>
                <w:sz w:val="20"/>
                <w:szCs w:val="20"/>
                <w:color w:val="auto"/>
              </w:rPr>
            </w:pPr>
            <w:r>
              <w:rPr>
                <w:rFonts w:ascii="Arial" w:cs="Arial" w:eastAsia="Arial" w:hAnsi="Arial"/>
                <w:sz w:val="18"/>
                <w:szCs w:val="18"/>
                <w:color w:val="auto"/>
              </w:rPr>
              <w:t>Salaries and employee benefits</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398,675</w:t>
            </w:r>
          </w:p>
        </w:tc>
        <w:tc>
          <w:tcPr>
            <w:tcW w:w="6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361,657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830,460</w:t>
            </w:r>
          </w:p>
        </w:tc>
        <w:tc>
          <w:tcPr>
            <w:tcW w:w="6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Equipment and net occupancy</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75,724</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66,852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149,902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133,322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Printing, postage and supplies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9,907</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9,305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21,893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18,895</w:t>
            </w: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7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5"/>
              </w:rPr>
              <w:t>Amortization of core deposit and other intangible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assets</w:t>
            </w: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11,418</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5,965</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23,737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FDIC assessments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22,370</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10,801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47,595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21,461</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costs of operations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231,801</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242,048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452,403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445,017</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60" w:type="dxa"/>
            <w:vAlign w:val="bottom"/>
          </w:tcPr>
          <w:p>
            <w:pPr>
              <w:ind w:left="780"/>
              <w:spacing w:after="0"/>
              <w:rPr>
                <w:sz w:val="20"/>
                <w:szCs w:val="20"/>
                <w:color w:val="auto"/>
              </w:rPr>
            </w:pPr>
            <w:r>
              <w:rPr>
                <w:rFonts w:ascii="Arial" w:cs="Arial" w:eastAsia="Arial" w:hAnsi="Arial"/>
                <w:sz w:val="18"/>
                <w:szCs w:val="18"/>
                <w:color w:val="auto"/>
              </w:rPr>
              <w:t>Total other expense</w:t>
            </w:r>
          </w:p>
        </w:tc>
        <w:tc>
          <w:tcPr>
            <w:tcW w:w="7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749,895</w:t>
            </w:r>
          </w:p>
        </w:tc>
        <w:tc>
          <w:tcPr>
            <w:tcW w:w="6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696,628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1,525,990</w:t>
            </w:r>
          </w:p>
        </w:tc>
        <w:tc>
          <w:tcPr>
            <w:tcW w:w="6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1,383,003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Income before taxes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530,178</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453,527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997,980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828,943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Income taxes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194,147</w:t>
            </w:r>
          </w:p>
        </w:tc>
        <w:tc>
          <w:tcPr>
            <w:tcW w:w="6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166,839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363,421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300,642</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8"/>
                <w:szCs w:val="18"/>
                <w:i w:val="1"/>
                <w:iCs w:val="1"/>
                <w:color w:val="auto"/>
              </w:rPr>
              <w:t>Net income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336,031</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286,688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634,559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528,301</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vMerge w:val="restart"/>
          </w:tcPr>
          <w:p>
            <w:pPr>
              <w:ind w:left="60"/>
              <w:spacing w:after="0"/>
              <w:rPr>
                <w:sz w:val="20"/>
                <w:szCs w:val="20"/>
                <w:color w:val="auto"/>
              </w:rPr>
            </w:pPr>
            <w:r>
              <w:rPr>
                <w:rFonts w:ascii="Arial" w:cs="Arial" w:eastAsia="Arial" w:hAnsi="Arial"/>
                <w:sz w:val="18"/>
                <w:szCs w:val="18"/>
                <w:color w:val="auto"/>
                <w:w w:val="99"/>
              </w:rPr>
              <w:t>Net income available to common shareholders</w:t>
            </w: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312,968</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263,471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588,697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482,295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tcPr>
          <w:p>
            <w:pPr>
              <w:ind w:left="780"/>
              <w:spacing w:after="0"/>
              <w:rPr>
                <w:sz w:val="20"/>
                <w:szCs w:val="20"/>
                <w:color w:val="auto"/>
              </w:rPr>
            </w:pPr>
            <w:r>
              <w:rPr>
                <w:rFonts w:ascii="Arial" w:cs="Arial" w:eastAsia="Arial" w:hAnsi="Arial"/>
                <w:sz w:val="18"/>
                <w:szCs w:val="18"/>
                <w:color w:val="auto"/>
              </w:rPr>
              <w:t>Diluted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312,974</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263,481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588,707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482,313</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income per common share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tcPr>
          <w:p>
            <w:pPr>
              <w:ind w:left="780"/>
              <w:spacing w:after="0"/>
              <w:rPr>
                <w:sz w:val="20"/>
                <w:szCs w:val="20"/>
                <w:color w:val="auto"/>
              </w:rPr>
            </w:pPr>
            <w:r>
              <w:rPr>
                <w:rFonts w:ascii="Arial" w:cs="Arial" w:eastAsia="Arial" w:hAnsi="Arial"/>
                <w:sz w:val="18"/>
                <w:szCs w:val="18"/>
                <w:color w:val="auto"/>
              </w:rPr>
              <w:t>Basic</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1.98</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1.99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3.72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Diluted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1.98</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Cash dividends per common share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.70</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1.40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Average common shares outstanding</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tcPr>
          <w:p>
            <w:pPr>
              <w:ind w:left="780"/>
              <w:spacing w:after="0"/>
              <w:rPr>
                <w:sz w:val="20"/>
                <w:szCs w:val="20"/>
                <w:color w:val="auto"/>
              </w:rPr>
            </w:pPr>
            <w:r>
              <w:rPr>
                <w:rFonts w:ascii="Arial" w:cs="Arial" w:eastAsia="Arial" w:hAnsi="Arial"/>
                <w:sz w:val="18"/>
                <w:szCs w:val="18"/>
                <w:color w:val="auto"/>
              </w:rPr>
              <w:t>Basic</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157,802</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132,356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158,268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132,203</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Diluted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158,341</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133,116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158,761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132,944</w:t>
            </w:r>
          </w:p>
        </w:tc>
        <w:tc>
          <w:tcPr>
            <w:tcW w:w="0" w:type="dxa"/>
            <w:vAlign w:val="bottom"/>
          </w:tcPr>
          <w:p>
            <w:pPr>
              <w:spacing w:after="0"/>
              <w:rPr>
                <w:sz w:val="1"/>
                <w:szCs w:val="1"/>
                <w:color w:val="auto"/>
              </w:rPr>
            </w:pPr>
          </w:p>
        </w:tc>
      </w:tr>
      <w:tr>
        <w:trPr>
          <w:trHeight w:val="365"/>
        </w:trPr>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40" w:type="dxa"/>
            <w:vAlign w:val="bottom"/>
          </w:tcPr>
          <w:p>
            <w:pPr>
              <w:jc w:val="right"/>
              <w:ind w:right="410"/>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 w:name="page5"/>
    <w:bookmarkEnd w:id="4"/>
    <w:p>
      <w:pPr>
        <w:ind w:left="37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4"/>
                <w:szCs w:val="14"/>
                <w:color w:val="auto"/>
              </w:rPr>
            </w:pPr>
          </w:p>
        </w:tc>
        <w:tc>
          <w:tcPr>
            <w:tcW w:w="1920" w:type="dxa"/>
            <w:vAlign w:val="bottom"/>
            <w:gridSpan w:val="4"/>
          </w:tcPr>
          <w:p>
            <w:pPr>
              <w:jc w:val="right"/>
              <w:ind w:right="240"/>
              <w:spacing w:after="0"/>
              <w:rPr>
                <w:sz w:val="20"/>
                <w:szCs w:val="20"/>
                <w:color w:val="auto"/>
              </w:rPr>
            </w:pPr>
            <w:r>
              <w:rPr>
                <w:rFonts w:ascii="Arial" w:cs="Arial" w:eastAsia="Arial" w:hAnsi="Arial"/>
                <w:sz w:val="14"/>
                <w:szCs w:val="14"/>
                <w:color w:val="auto"/>
                <w:w w:val="90"/>
              </w:rPr>
              <w:t>Three months ended June 30</w:t>
            </w:r>
          </w:p>
        </w:tc>
        <w:tc>
          <w:tcPr>
            <w:tcW w:w="1680" w:type="dxa"/>
            <w:vAlign w:val="bottom"/>
            <w:gridSpan w:val="4"/>
          </w:tcPr>
          <w:p>
            <w:pPr>
              <w:jc w:val="right"/>
              <w:ind w:right="140"/>
              <w:spacing w:after="0"/>
              <w:rPr>
                <w:sz w:val="20"/>
                <w:szCs w:val="20"/>
                <w:color w:val="auto"/>
              </w:rPr>
            </w:pPr>
            <w:r>
              <w:rPr>
                <w:rFonts w:ascii="Arial" w:cs="Arial" w:eastAsia="Arial" w:hAnsi="Arial"/>
                <w:sz w:val="14"/>
                <w:szCs w:val="14"/>
                <w:color w:val="auto"/>
                <w:w w:val="91"/>
              </w:rPr>
              <w:t>Six months ended June 30</w:t>
            </w:r>
          </w:p>
        </w:tc>
        <w:tc>
          <w:tcPr>
            <w:tcW w:w="0" w:type="dxa"/>
            <w:vAlign w:val="bottom"/>
          </w:tcPr>
          <w:p>
            <w:pPr>
              <w:spacing w:after="0"/>
              <w:rPr>
                <w:sz w:val="1"/>
                <w:szCs w:val="1"/>
                <w:color w:val="auto"/>
              </w:rPr>
            </w:pPr>
          </w:p>
        </w:tc>
      </w:tr>
      <w:tr>
        <w:trPr>
          <w:trHeight w:val="167"/>
        </w:trPr>
        <w:tc>
          <w:tcPr>
            <w:tcW w:w="6820" w:type="dxa"/>
            <w:vAlign w:val="bottom"/>
            <w:gridSpan w:val="3"/>
            <w:vMerge w:val="continue"/>
          </w:tcPr>
          <w:p>
            <w:pPr>
              <w:spacing w:after="0"/>
              <w:rPr>
                <w:sz w:val="14"/>
                <w:szCs w:val="14"/>
                <w:color w:val="auto"/>
              </w:rPr>
            </w:pPr>
          </w:p>
        </w:tc>
        <w:tc>
          <w:tcPr>
            <w:tcW w:w="1760" w:type="dxa"/>
            <w:vAlign w:val="bottom"/>
            <w:gridSpan w:val="2"/>
          </w:tcPr>
          <w:p>
            <w:pPr>
              <w:jc w:val="right"/>
              <w:ind w:right="156"/>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color w:val="auto"/>
              </w:rPr>
              <w:t>2015</w:t>
            </w:r>
          </w:p>
        </w:tc>
        <w:tc>
          <w:tcPr>
            <w:tcW w:w="220" w:type="dxa"/>
            <w:vAlign w:val="bottom"/>
          </w:tcPr>
          <w:p>
            <w:pPr>
              <w:spacing w:after="0"/>
              <w:rPr>
                <w:sz w:val="14"/>
                <w:szCs w:val="14"/>
                <w:color w:val="auto"/>
              </w:rPr>
            </w:pPr>
          </w:p>
        </w:tc>
        <w:tc>
          <w:tcPr>
            <w:tcW w:w="700" w:type="dxa"/>
            <w:vAlign w:val="bottom"/>
          </w:tcPr>
          <w:p>
            <w:pPr>
              <w:jc w:val="right"/>
              <w:ind w:right="114"/>
              <w:spacing w:after="0"/>
              <w:rPr>
                <w:sz w:val="20"/>
                <w:szCs w:val="20"/>
                <w:color w:val="auto"/>
              </w:rPr>
            </w:pPr>
            <w:r>
              <w:rPr>
                <w:rFonts w:ascii="Arial" w:cs="Arial" w:eastAsia="Arial" w:hAnsi="Arial"/>
                <w:sz w:val="14"/>
                <w:szCs w:val="14"/>
                <w:color w:val="auto"/>
              </w:rPr>
              <w:t>2016</w:t>
            </w:r>
          </w:p>
        </w:tc>
        <w:tc>
          <w:tcPr>
            <w:tcW w:w="220" w:type="dxa"/>
            <w:vAlign w:val="bottom"/>
          </w:tcPr>
          <w:p>
            <w:pPr>
              <w:spacing w:after="0"/>
              <w:rPr>
                <w:sz w:val="14"/>
                <w:szCs w:val="14"/>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6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$ 336,031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286,688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$634,559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528,301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 and reclassification adjustments:</w:t>
            </w: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gains (losses) on investment securities</w:t>
            </w:r>
          </w:p>
        </w:tc>
        <w:tc>
          <w:tcPr>
            <w:tcW w:w="1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47,270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(72,618)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144,464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rPr>
              <w:t>Cash flow hedges adjustments</w:t>
            </w:r>
          </w:p>
        </w:tc>
        <w:tc>
          <w:tcPr>
            <w:tcW w:w="1960" w:type="dxa"/>
            <w:vAlign w:val="bottom"/>
            <w:gridSpan w:val="3"/>
          </w:tcPr>
          <w:p>
            <w:pPr>
              <w:jc w:val="right"/>
              <w:ind w:right="140"/>
              <w:spacing w:after="0"/>
              <w:rPr>
                <w:sz w:val="20"/>
                <w:szCs w:val="20"/>
                <w:color w:val="auto"/>
              </w:rPr>
            </w:pPr>
            <w:r>
              <w:rPr>
                <w:rFonts w:ascii="Arial" w:cs="Arial" w:eastAsia="Arial" w:hAnsi="Arial"/>
                <w:sz w:val="18"/>
                <w:szCs w:val="18"/>
                <w:color w:val="auto"/>
              </w:rPr>
              <w:t>(23)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(1,565)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rPr>
              <w:t>Defined benefit plans liability adjustments</w:t>
            </w:r>
          </w:p>
        </w:tc>
        <w:tc>
          <w:tcPr>
            <w:tcW w:w="10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w:t>
            </w: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5,765</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7,807</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Total other comprehensive income (loss)</w:t>
            </w:r>
          </w:p>
        </w:tc>
        <w:tc>
          <w:tcPr>
            <w:tcW w:w="1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49,168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(65,011)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150,606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ind w:left="700"/>
              <w:spacing w:after="0"/>
              <w:rPr>
                <w:sz w:val="20"/>
                <w:szCs w:val="20"/>
                <w:color w:val="auto"/>
              </w:rPr>
            </w:pPr>
            <w:r>
              <w:rPr>
                <w:rFonts w:ascii="Arial" w:cs="Arial" w:eastAsia="Arial" w:hAnsi="Arial"/>
                <w:sz w:val="18"/>
                <w:szCs w:val="18"/>
                <w:i w:val="1"/>
                <w:iCs w:val="1"/>
                <w:color w:val="auto"/>
              </w:rPr>
              <w:t>Total comprehensive income</w:t>
            </w:r>
          </w:p>
        </w:tc>
        <w:tc>
          <w:tcPr>
            <w:tcW w:w="10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$ 385,199</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221,677</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785,165</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491,793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jc w:val="right"/>
              <w:ind w:right="1000"/>
              <w:spacing w:after="0"/>
              <w:rPr>
                <w:sz w:val="20"/>
                <w:szCs w:val="20"/>
                <w:color w:val="auto"/>
              </w:rPr>
            </w:pPr>
            <w:r>
              <w:rPr>
                <w:rFonts w:ascii="Arial" w:cs="Arial" w:eastAsia="Arial" w:hAnsi="Arial"/>
                <w:sz w:val="18"/>
                <w:szCs w:val="18"/>
                <w:color w:val="auto"/>
              </w:rPr>
              <w:t>-5-</w:t>
            </w:r>
          </w:p>
        </w:tc>
        <w:tc>
          <w:tcPr>
            <w:tcW w:w="1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2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5" w:name="page6"/>
    <w:bookmarkEnd w:id="5"/>
    <w:p>
      <w:pPr>
        <w:ind w:left="37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6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tcPr>
          <w:p>
            <w:pPr>
              <w:jc w:val="right"/>
              <w:ind w:right="38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67"/>
        </w:trPr>
        <w:tc>
          <w:tcPr>
            <w:tcW w:w="2240" w:type="dxa"/>
            <w:vAlign w:val="bottom"/>
            <w:gridSpan w:val="3"/>
            <w:vMerge w:val="continue"/>
          </w:tcPr>
          <w:p>
            <w:pPr>
              <w:spacing w:after="0"/>
              <w:rPr>
                <w:sz w:val="14"/>
                <w:szCs w:val="14"/>
                <w:color w:val="auto"/>
              </w:rPr>
            </w:pPr>
          </w:p>
        </w:tc>
        <w:tc>
          <w:tcPr>
            <w:tcW w:w="6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color w:val="auto"/>
              </w:rPr>
              <w:t>2016</w:t>
            </w:r>
          </w:p>
        </w:tc>
        <w:tc>
          <w:tcPr>
            <w:tcW w:w="320" w:type="dxa"/>
            <w:vAlign w:val="bottom"/>
          </w:tcPr>
          <w:p>
            <w:pPr>
              <w:spacing w:after="0"/>
              <w:rPr>
                <w:sz w:val="14"/>
                <w:szCs w:val="14"/>
                <w:color w:val="auto"/>
              </w:rPr>
            </w:pPr>
          </w:p>
        </w:tc>
        <w:tc>
          <w:tcPr>
            <w:tcW w:w="840" w:type="dxa"/>
            <w:vAlign w:val="bottom"/>
          </w:tcPr>
          <w:p>
            <w:pPr>
              <w:jc w:val="right"/>
              <w:ind w:right="190"/>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1"/>
              </w:rPr>
              <w:t>Cash flows</w:t>
            </w:r>
          </w:p>
        </w:tc>
        <w:tc>
          <w:tcPr>
            <w:tcW w:w="1480" w:type="dxa"/>
            <w:vAlign w:val="bottom"/>
            <w:tcBorders>
              <w:top w:val="single" w:sz="8" w:color="CCEEFF"/>
            </w:tcBorders>
            <w:shd w:val="clear" w:color="auto" w:fill="CCEEFF"/>
          </w:tcPr>
          <w:p>
            <w:pPr>
              <w:ind w:left="100"/>
              <w:spacing w:after="0" w:line="182" w:lineRule="exact"/>
              <w:rPr>
                <w:sz w:val="20"/>
                <w:szCs w:val="20"/>
                <w:color w:val="auto"/>
              </w:rPr>
            </w:pPr>
            <w:r>
              <w:rPr>
                <w:rFonts w:ascii="Arial" w:cs="Arial" w:eastAsia="Arial" w:hAnsi="Arial"/>
                <w:sz w:val="18"/>
                <w:szCs w:val="18"/>
                <w:color w:val="auto"/>
              </w:rPr>
              <w:t>from operating</w:t>
            </w:r>
          </w:p>
        </w:tc>
        <w:tc>
          <w:tcPr>
            <w:tcW w:w="65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6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634,559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40" w:type="dxa"/>
            <w:vAlign w:val="bottom"/>
          </w:tcPr>
          <w:p>
            <w:pPr>
              <w:ind w:left="260"/>
              <w:spacing w:after="0"/>
              <w:rPr>
                <w:sz w:val="20"/>
                <w:szCs w:val="20"/>
                <w:color w:val="auto"/>
              </w:rPr>
            </w:pPr>
            <w:r>
              <w:rPr>
                <w:rFonts w:ascii="Arial" w:cs="Arial" w:eastAsia="Arial" w:hAnsi="Arial"/>
                <w:sz w:val="18"/>
                <w:szCs w:val="18"/>
                <w:color w:val="auto"/>
                <w:w w:val="98"/>
              </w:rPr>
              <w:t>Adjustments to reconcile net income to net cash provided by operating activities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Provision for credit losses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40" w:type="dxa"/>
            <w:vAlign w:val="bottom"/>
          </w:tcPr>
          <w:p>
            <w:pPr>
              <w:ind w:left="980"/>
              <w:spacing w:after="0"/>
              <w:rPr>
                <w:sz w:val="20"/>
                <w:szCs w:val="20"/>
                <w:color w:val="auto"/>
              </w:rPr>
            </w:pPr>
            <w:r>
              <w:rPr>
                <w:rFonts w:ascii="Arial" w:cs="Arial" w:eastAsia="Arial" w:hAnsi="Arial"/>
                <w:sz w:val="18"/>
                <w:szCs w:val="18"/>
                <w:color w:val="auto"/>
              </w:rPr>
              <w:t>Depreciation and amortization of premises and equipment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53,514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Amortization of capitalized servicing rights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24,648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40" w:type="dxa"/>
            <w:vAlign w:val="bottom"/>
          </w:tcPr>
          <w:p>
            <w:pPr>
              <w:ind w:left="980"/>
              <w:spacing w:after="0"/>
              <w:rPr>
                <w:sz w:val="20"/>
                <w:szCs w:val="20"/>
                <w:color w:val="auto"/>
              </w:rPr>
            </w:pPr>
            <w:r>
              <w:rPr>
                <w:rFonts w:ascii="Arial" w:cs="Arial" w:eastAsia="Arial" w:hAnsi="Arial"/>
                <w:sz w:val="18"/>
                <w:szCs w:val="18"/>
                <w:color w:val="auto"/>
              </w:rPr>
              <w:t>Amortization of core deposit and other intangible assets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23,737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Provision for deferred income taxes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94,458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40" w:type="dxa"/>
            <w:vAlign w:val="bottom"/>
          </w:tcPr>
          <w:p>
            <w:pPr>
              <w:ind w:left="980"/>
              <w:spacing w:after="0"/>
              <w:rPr>
                <w:sz w:val="20"/>
                <w:szCs w:val="20"/>
                <w:color w:val="auto"/>
              </w:rPr>
            </w:pPr>
            <w:r>
              <w:rPr>
                <w:rFonts w:ascii="Arial" w:cs="Arial" w:eastAsia="Arial" w:hAnsi="Arial"/>
                <w:sz w:val="18"/>
                <w:szCs w:val="18"/>
                <w:color w:val="auto"/>
              </w:rPr>
              <w:t>Asset write-downs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7,737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gain on sales of assets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(10,477)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40" w:type="dxa"/>
            <w:vAlign w:val="bottom"/>
          </w:tcPr>
          <w:p>
            <w:pPr>
              <w:ind w:left="980"/>
              <w:spacing w:after="0"/>
              <w:rPr>
                <w:sz w:val="20"/>
                <w:szCs w:val="20"/>
                <w:color w:val="auto"/>
              </w:rPr>
            </w:pPr>
            <w:r>
              <w:rPr>
                <w:rFonts w:ascii="Arial" w:cs="Arial" w:eastAsia="Arial" w:hAnsi="Arial"/>
                <w:sz w:val="18"/>
                <w:szCs w:val="18"/>
                <w:color w:val="auto"/>
              </w:rPr>
              <w:t>Net change in accrued interest receivable, payable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2,358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change in other accrued income and expense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(32,180)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40" w:type="dxa"/>
            <w:vAlign w:val="bottom"/>
          </w:tcPr>
          <w:p>
            <w:pPr>
              <w:ind w:left="980"/>
              <w:spacing w:after="0"/>
              <w:rPr>
                <w:sz w:val="20"/>
                <w:szCs w:val="20"/>
                <w:color w:val="auto"/>
              </w:rPr>
            </w:pPr>
            <w:r>
              <w:rPr>
                <w:rFonts w:ascii="Arial" w:cs="Arial" w:eastAsia="Arial" w:hAnsi="Arial"/>
                <w:sz w:val="18"/>
                <w:szCs w:val="18"/>
                <w:color w:val="auto"/>
              </w:rPr>
              <w:t>Net change in loans originated for sale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(188,771)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(77,677)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change in trading account assets and liabilities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(40,552)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540" w:type="dxa"/>
            <w:vAlign w:val="bottom"/>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650,031</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Cash flows from investing</w:t>
            </w:r>
          </w:p>
        </w:tc>
        <w:tc>
          <w:tcPr>
            <w:tcW w:w="6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6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sales of investment securities</w:t>
            </w: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40" w:type="dxa"/>
            <w:vAlign w:val="bottom"/>
          </w:tcPr>
          <w:p>
            <w:pPr>
              <w:ind w:left="620"/>
              <w:spacing w:after="0"/>
              <w:rPr>
                <w:sz w:val="20"/>
                <w:szCs w:val="20"/>
                <w:color w:val="auto"/>
              </w:rPr>
            </w:pPr>
            <w:r>
              <w:rPr>
                <w:rFonts w:ascii="Arial" w:cs="Arial" w:eastAsia="Arial" w:hAnsi="Arial"/>
                <w:sz w:val="18"/>
                <w:szCs w:val="18"/>
                <w:color w:val="auto"/>
              </w:rPr>
              <w:t>Available for sale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4,970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85,389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40" w:type="dxa"/>
            <w:vAlign w:val="bottom"/>
          </w:tcPr>
          <w:p>
            <w:pPr>
              <w:ind w:left="260"/>
              <w:spacing w:after="0"/>
              <w:rPr>
                <w:sz w:val="20"/>
                <w:szCs w:val="20"/>
                <w:color w:val="auto"/>
              </w:rPr>
            </w:pPr>
            <w:r>
              <w:rPr>
                <w:rFonts w:ascii="Arial" w:cs="Arial" w:eastAsia="Arial" w:hAnsi="Arial"/>
                <w:sz w:val="18"/>
                <w:szCs w:val="18"/>
                <w:color w:val="auto"/>
              </w:rPr>
              <w:t>Proceeds from maturities of investment securities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Available for sale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1,067,100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40" w:type="dxa"/>
            <w:vAlign w:val="bottom"/>
          </w:tcPr>
          <w:p>
            <w:pPr>
              <w:ind w:left="620"/>
              <w:spacing w:after="0"/>
              <w:rPr>
                <w:sz w:val="20"/>
                <w:szCs w:val="20"/>
                <w:color w:val="auto"/>
              </w:rPr>
            </w:pPr>
            <w:r>
              <w:rPr>
                <w:rFonts w:ascii="Arial" w:cs="Arial" w:eastAsia="Arial" w:hAnsi="Arial"/>
                <w:sz w:val="18"/>
                <w:szCs w:val="18"/>
                <w:color w:val="auto"/>
              </w:rPr>
              <w:t>Held to maturity</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291,917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Purchases of investment securities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40" w:type="dxa"/>
            <w:vAlign w:val="bottom"/>
          </w:tcPr>
          <w:p>
            <w:pPr>
              <w:ind w:left="620"/>
              <w:spacing w:after="0"/>
              <w:rPr>
                <w:sz w:val="20"/>
                <w:szCs w:val="20"/>
                <w:color w:val="auto"/>
              </w:rPr>
            </w:pPr>
            <w:r>
              <w:rPr>
                <w:rFonts w:ascii="Arial" w:cs="Arial" w:eastAsia="Arial" w:hAnsi="Arial"/>
                <w:sz w:val="18"/>
                <w:szCs w:val="18"/>
                <w:color w:val="auto"/>
              </w:rPr>
              <w:t>Available for sale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(518,203)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(3,013,384)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Held to maturity</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(10,456)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40" w:type="dxa"/>
            <w:vAlign w:val="bottom"/>
          </w:tcPr>
          <w:p>
            <w:pPr>
              <w:ind w:left="62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(1,019)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increase in loans and leases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(930,426)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(1,465,261)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40" w:type="dxa"/>
            <w:vAlign w:val="bottom"/>
          </w:tcPr>
          <w:p>
            <w:pPr>
              <w:ind w:left="260"/>
              <w:spacing w:after="0"/>
              <w:rPr>
                <w:sz w:val="20"/>
                <w:szCs w:val="20"/>
                <w:color w:val="auto"/>
              </w:rPr>
            </w:pPr>
            <w:r>
              <w:rPr>
                <w:rFonts w:ascii="Arial" w:cs="Arial" w:eastAsia="Arial" w:hAnsi="Arial"/>
                <w:sz w:val="18"/>
                <w:szCs w:val="18"/>
                <w:color w:val="auto"/>
              </w:rPr>
              <w:t>Net (increase) decrease in interest-bearing deposits at banks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(880,489)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2,425,015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Capital expenditures, net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(36,619)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40" w:type="dxa"/>
            <w:vAlign w:val="bottom"/>
          </w:tcPr>
          <w:p>
            <w:pPr>
              <w:ind w:left="260"/>
              <w:spacing w:after="0"/>
              <w:rPr>
                <w:sz w:val="20"/>
                <w:szCs w:val="20"/>
                <w:color w:val="auto"/>
              </w:rPr>
            </w:pPr>
            <w:r>
              <w:rPr>
                <w:rFonts w:ascii="Arial" w:cs="Arial" w:eastAsia="Arial" w:hAnsi="Arial"/>
                <w:sz w:val="18"/>
                <w:szCs w:val="18"/>
                <w:color w:val="auto"/>
              </w:rPr>
              <w:t>Net decrease in loan servicing advances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119,190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317,276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net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(98,452)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540" w:type="dxa"/>
            <w:vAlign w:val="bottom"/>
          </w:tcPr>
          <w:p>
            <w:pPr>
              <w:ind w:left="620"/>
              <w:spacing w:after="0"/>
              <w:rPr>
                <w:sz w:val="20"/>
                <w:szCs w:val="20"/>
                <w:color w:val="auto"/>
              </w:rPr>
            </w:pPr>
            <w:r>
              <w:rPr>
                <w:rFonts w:ascii="Arial" w:cs="Arial" w:eastAsia="Arial" w:hAnsi="Arial"/>
                <w:sz w:val="18"/>
                <w:szCs w:val="18"/>
                <w:color w:val="auto"/>
              </w:rPr>
              <w:t>Net cash used by investing activities</w:t>
            </w:r>
          </w:p>
        </w:tc>
        <w:tc>
          <w:tcPr>
            <w:tcW w:w="5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(907,098)</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(554,581)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Cash flows from financing</w:t>
            </w:r>
          </w:p>
        </w:tc>
        <w:tc>
          <w:tcPr>
            <w:tcW w:w="6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6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increase (decrease) in deposits</w:t>
            </w: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2,705,332</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40" w:type="dxa"/>
            <w:vAlign w:val="bottom"/>
          </w:tcPr>
          <w:p>
            <w:pPr>
              <w:ind w:left="260"/>
              <w:spacing w:after="0"/>
              <w:rPr>
                <w:sz w:val="20"/>
                <w:szCs w:val="20"/>
                <w:color w:val="auto"/>
              </w:rPr>
            </w:pPr>
            <w:r>
              <w:rPr>
                <w:rFonts w:ascii="Arial" w:cs="Arial" w:eastAsia="Arial" w:hAnsi="Arial"/>
                <w:sz w:val="18"/>
                <w:szCs w:val="18"/>
                <w:color w:val="auto"/>
              </w:rPr>
              <w:t>Net decrease in short-term borrowings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(1,693,603)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long-term borrowings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40" w:type="dxa"/>
            <w:vAlign w:val="bottom"/>
          </w:tcPr>
          <w:p>
            <w:pPr>
              <w:ind w:left="260"/>
              <w:spacing w:after="0"/>
              <w:rPr>
                <w:sz w:val="20"/>
                <w:szCs w:val="20"/>
                <w:color w:val="auto"/>
              </w:rPr>
            </w:pPr>
            <w:r>
              <w:rPr>
                <w:rFonts w:ascii="Arial" w:cs="Arial" w:eastAsia="Arial" w:hAnsi="Arial"/>
                <w:sz w:val="18"/>
                <w:szCs w:val="18"/>
                <w:color w:val="auto"/>
              </w:rPr>
              <w:t>Payments on long-term borrowings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(322,591)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Purchases of treasury stock</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(254,000)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40" w:type="dxa"/>
            <w:vAlign w:val="bottom"/>
          </w:tcPr>
          <w:p>
            <w:pPr>
              <w:ind w:left="260"/>
              <w:spacing w:after="0"/>
              <w:rPr>
                <w:sz w:val="20"/>
                <w:szCs w:val="20"/>
                <w:color w:val="auto"/>
              </w:rPr>
            </w:pPr>
            <w:r>
              <w:rPr>
                <w:rFonts w:ascii="Arial" w:cs="Arial" w:eastAsia="Arial" w:hAnsi="Arial"/>
                <w:sz w:val="18"/>
                <w:szCs w:val="18"/>
                <w:color w:val="auto"/>
              </w:rPr>
              <w:t>Dividends paid - common</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(223,179)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(187,278)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Dividends paid - preferred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(40,635)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540" w:type="dxa"/>
            <w:vAlign w:val="bottom"/>
          </w:tcPr>
          <w:p>
            <w:pPr>
              <w:ind w:left="260"/>
              <w:spacing w:after="0"/>
              <w:rPr>
                <w:sz w:val="20"/>
                <w:szCs w:val="20"/>
                <w:color w:val="auto"/>
              </w:rPr>
            </w:pPr>
            <w:r>
              <w:rPr>
                <w:rFonts w:ascii="Arial" w:cs="Arial" w:eastAsia="Arial" w:hAnsi="Arial"/>
                <w:sz w:val="18"/>
                <w:szCs w:val="18"/>
                <w:color w:val="auto"/>
              </w:rPr>
              <w:t>Other, net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3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provided (used) by financing activities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173,469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540" w:type="dxa"/>
            <w:vAlign w:val="bottom"/>
          </w:tcPr>
          <w:p>
            <w:pPr>
              <w:ind w:left="260"/>
              <w:spacing w:after="0"/>
              <w:rPr>
                <w:sz w:val="20"/>
                <w:szCs w:val="20"/>
                <w:color w:val="auto"/>
              </w:rPr>
            </w:pPr>
            <w:r>
              <w:rPr>
                <w:rFonts w:ascii="Arial" w:cs="Arial" w:eastAsia="Arial" w:hAnsi="Arial"/>
                <w:sz w:val="18"/>
                <w:szCs w:val="18"/>
                <w:color w:val="auto"/>
              </w:rPr>
              <w:t>Net decrease in cash and cash equivalents</w:t>
            </w: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(83,598)</w:t>
            </w:r>
          </w:p>
        </w:tc>
        <w:tc>
          <w:tcPr>
            <w:tcW w:w="3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 at beginning of period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1,368,040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540" w:type="dxa"/>
            <w:vAlign w:val="bottom"/>
          </w:tcPr>
          <w:p>
            <w:pPr>
              <w:ind w:left="260"/>
              <w:spacing w:after="0"/>
              <w:rPr>
                <w:sz w:val="20"/>
                <w:szCs w:val="20"/>
                <w:color w:val="auto"/>
              </w:rPr>
            </w:pPr>
            <w:r>
              <w:rPr>
                <w:rFonts w:ascii="Arial" w:cs="Arial" w:eastAsia="Arial" w:hAnsi="Arial"/>
                <w:sz w:val="18"/>
                <w:szCs w:val="18"/>
                <w:color w:val="auto"/>
              </w:rPr>
              <w:t>Cash and cash equivalents at end of period</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1,284,442</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Supplemental disclosure of</w:t>
            </w:r>
          </w:p>
        </w:tc>
        <w:tc>
          <w:tcPr>
            <w:tcW w:w="6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flow information</w:t>
            </w:r>
          </w:p>
        </w:tc>
        <w:tc>
          <w:tcPr>
            <w:tcW w:w="6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received during the period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1,947,027</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40" w:type="dxa"/>
            <w:vAlign w:val="bottom"/>
          </w:tcPr>
          <w:p>
            <w:pPr>
              <w:ind w:left="260"/>
              <w:spacing w:after="0"/>
              <w:rPr>
                <w:sz w:val="20"/>
                <w:szCs w:val="20"/>
                <w:color w:val="auto"/>
              </w:rPr>
            </w:pPr>
            <w:r>
              <w:rPr>
                <w:rFonts w:ascii="Arial" w:cs="Arial" w:eastAsia="Arial" w:hAnsi="Arial"/>
                <w:sz w:val="18"/>
                <w:szCs w:val="18"/>
                <w:color w:val="auto"/>
              </w:rPr>
              <w:t>Interest paid during the period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257,222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149,255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taxes paid during the period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105,361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225,107</w:t>
            </w:r>
          </w:p>
        </w:tc>
        <w:tc>
          <w:tcPr>
            <w:tcW w:w="0" w:type="dxa"/>
            <w:vAlign w:val="bottom"/>
          </w:tcPr>
          <w:p>
            <w:pPr>
              <w:spacing w:after="0"/>
              <w:rPr>
                <w:sz w:val="1"/>
                <w:szCs w:val="1"/>
                <w:color w:val="auto"/>
              </w:rPr>
            </w:pPr>
          </w:p>
        </w:tc>
      </w:tr>
      <w:tr>
        <w:trPr>
          <w:trHeight w:val="20"/>
        </w:trPr>
        <w:tc>
          <w:tcPr>
            <w:tcW w:w="2240" w:type="dxa"/>
            <w:vAlign w:val="bottom"/>
            <w:gridSpan w:val="3"/>
            <w:vMerge w:val="restart"/>
          </w:tcPr>
          <w:p>
            <w:pPr>
              <w:spacing w:after="0"/>
              <w:rPr>
                <w:sz w:val="20"/>
                <w:szCs w:val="20"/>
                <w:color w:val="auto"/>
              </w:rPr>
            </w:pPr>
            <w:r>
              <w:rPr>
                <w:rFonts w:ascii="Arial" w:cs="Arial" w:eastAsia="Arial" w:hAnsi="Arial"/>
                <w:sz w:val="18"/>
                <w:szCs w:val="18"/>
                <w:color w:val="auto"/>
              </w:rPr>
              <w:t>Supplemental schedule of</w:t>
            </w:r>
          </w:p>
        </w:tc>
        <w:tc>
          <w:tcPr>
            <w:tcW w:w="6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gridSpan w:val="3"/>
            <w:vMerge w:val="continue"/>
          </w:tcPr>
          <w:p>
            <w:pPr>
              <w:spacing w:after="0"/>
              <w:rPr>
                <w:sz w:val="17"/>
                <w:szCs w:val="17"/>
                <w:color w:val="auto"/>
              </w:rPr>
            </w:pPr>
          </w:p>
        </w:tc>
        <w:tc>
          <w:tcPr>
            <w:tcW w:w="6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ind w:left="160"/>
              <w:spacing w:after="0"/>
              <w:rPr>
                <w:sz w:val="20"/>
                <w:szCs w:val="20"/>
                <w:color w:val="auto"/>
              </w:rPr>
            </w:pPr>
            <w:r>
              <w:rPr>
                <w:rFonts w:ascii="Arial" w:cs="Arial" w:eastAsia="Arial" w:hAnsi="Arial"/>
                <w:sz w:val="18"/>
                <w:szCs w:val="18"/>
                <w:color w:val="auto"/>
              </w:rPr>
              <w:t>noncash investing and</w:t>
            </w:r>
          </w:p>
        </w:tc>
        <w:tc>
          <w:tcPr>
            <w:tcW w:w="6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gridSpan w:val="2"/>
          </w:tcPr>
          <w:p>
            <w:pPr>
              <w:ind w:left="160"/>
              <w:spacing w:after="0"/>
              <w:rPr>
                <w:sz w:val="20"/>
                <w:szCs w:val="20"/>
                <w:color w:val="auto"/>
              </w:rPr>
            </w:pPr>
            <w:r>
              <w:rPr>
                <w:rFonts w:ascii="Arial" w:cs="Arial" w:eastAsia="Arial" w:hAnsi="Arial"/>
                <w:sz w:val="18"/>
                <w:szCs w:val="18"/>
                <w:color w:val="auto"/>
              </w:rPr>
              <w:t>financing activities</w:t>
            </w:r>
          </w:p>
        </w:tc>
        <w:tc>
          <w:tcPr>
            <w:tcW w:w="6540" w:type="dxa"/>
            <w:vAlign w:val="bottom"/>
          </w:tcPr>
          <w:p>
            <w:pPr>
              <w:ind w:left="260"/>
              <w:spacing w:after="0"/>
              <w:rPr>
                <w:sz w:val="20"/>
                <w:szCs w:val="20"/>
                <w:color w:val="auto"/>
              </w:rPr>
            </w:pPr>
            <w:r>
              <w:rPr>
                <w:rFonts w:ascii="Arial" w:cs="Arial" w:eastAsia="Arial" w:hAnsi="Arial"/>
                <w:sz w:val="18"/>
                <w:szCs w:val="18"/>
                <w:color w:val="auto"/>
              </w:rPr>
              <w:t>Real estate acquired in settlement of loans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66,286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Securitization of residential mortgage loans allocated to</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40" w:type="dxa"/>
            <w:vAlign w:val="bottom"/>
          </w:tcPr>
          <w:p>
            <w:pPr>
              <w:ind w:left="620"/>
              <w:spacing w:after="0"/>
              <w:rPr>
                <w:sz w:val="20"/>
                <w:szCs w:val="20"/>
                <w:color w:val="auto"/>
              </w:rPr>
            </w:pPr>
            <w:r>
              <w:rPr>
                <w:rFonts w:ascii="Arial" w:cs="Arial" w:eastAsia="Arial" w:hAnsi="Arial"/>
                <w:sz w:val="18"/>
                <w:szCs w:val="18"/>
                <w:color w:val="auto"/>
              </w:rPr>
              <w:t>Available-for-sale investment securities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13,923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5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Capitalized servicing rights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540" w:type="dxa"/>
            <w:vAlign w:val="bottom"/>
          </w:tcPr>
          <w:p>
            <w:pPr>
              <w:ind w:left="336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 w:name="page7"/>
    <w:bookmarkEnd w:id="6"/>
    <w:p>
      <w:pPr>
        <w:ind w:left="37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SHAREHOLDERS’ EQUITY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Accumulated</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other</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Common</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Additional</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comprehensive</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8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Preferred</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Common</w:t>
            </w:r>
          </w:p>
        </w:tc>
        <w:tc>
          <w:tcPr>
            <w:tcW w:w="16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paid-in</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Retained</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income</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Treasury</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color w:val="auto"/>
              </w:rPr>
              <w:t>stock</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stock</w:t>
            </w:r>
          </w:p>
        </w:tc>
        <w:tc>
          <w:tcPr>
            <w:tcW w:w="16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issuable</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capital</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earnings</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(loss), net</w:t>
            </w:r>
          </w:p>
        </w:tc>
        <w:tc>
          <w:tcPr>
            <w:tcW w:w="900" w:type="dxa"/>
            <w:vAlign w:val="bottom"/>
            <w:gridSpan w:val="2"/>
          </w:tcPr>
          <w:p>
            <w:pPr>
              <w:ind w:left="200"/>
              <w:spacing w:after="0"/>
              <w:rPr>
                <w:sz w:val="20"/>
                <w:szCs w:val="20"/>
                <w:color w:val="auto"/>
              </w:rPr>
            </w:pPr>
            <w:r>
              <w:rPr>
                <w:rFonts w:ascii="Arial" w:cs="Arial" w:eastAsia="Arial" w:hAnsi="Arial"/>
                <w:sz w:val="14"/>
                <w:szCs w:val="14"/>
                <w:color w:val="auto"/>
              </w:rPr>
              <w:t>stock</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2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Balance - January 1, 2015</w:t>
            </w:r>
          </w:p>
        </w:tc>
        <w:tc>
          <w:tcPr>
            <w:tcW w:w="1120" w:type="dxa"/>
            <w:vAlign w:val="bottom"/>
            <w:gridSpan w:val="3"/>
          </w:tcPr>
          <w:p>
            <w:pPr>
              <w:ind w:left="80"/>
              <w:spacing w:after="0"/>
              <w:rPr>
                <w:sz w:val="20"/>
                <w:szCs w:val="20"/>
                <w:color w:val="auto"/>
              </w:rPr>
            </w:pPr>
            <w:r>
              <w:rPr>
                <w:rFonts w:ascii="Arial" w:cs="Arial" w:eastAsia="Arial" w:hAnsi="Arial"/>
                <w:sz w:val="18"/>
                <w:szCs w:val="18"/>
                <w:color w:val="auto"/>
              </w:rPr>
              <w:t>$1,231,500</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66,157</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2,608</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3,409,506</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7,807,119</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(180,994)</w:t>
            </w: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12,335,896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528,301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(36,508)</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8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(40,635)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(40,635)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Exercise of 2,315 Series A stock warrants into 904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of common stock</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Compensation expense, net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20,966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340"/>
              <w:spacing w:after="0"/>
              <w:rPr>
                <w:sz w:val="20"/>
                <w:szCs w:val="20"/>
                <w:color w:val="auto"/>
              </w:rPr>
            </w:pPr>
            <w:r>
              <w:rPr>
                <w:rFonts w:ascii="Arial" w:cs="Arial" w:eastAsia="Arial" w:hAnsi="Arial"/>
                <w:sz w:val="18"/>
                <w:szCs w:val="18"/>
                <w:color w:val="auto"/>
              </w:rPr>
              <w:t>Exercises of stock options, net</w:t>
            </w:r>
          </w:p>
        </w:tc>
        <w:tc>
          <w:tcPr>
            <w:tcW w:w="8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34,937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purchase plan</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10,301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340"/>
              <w:spacing w:after="0"/>
              <w:rPr>
                <w:sz w:val="20"/>
                <w:szCs w:val="20"/>
                <w:color w:val="auto"/>
              </w:rPr>
            </w:pPr>
            <w:r>
              <w:rPr>
                <w:rFonts w:ascii="Arial" w:cs="Arial" w:eastAsia="Arial" w:hAnsi="Arial"/>
                <w:sz w:val="18"/>
                <w:szCs w:val="18"/>
                <w:color w:val="auto"/>
              </w:rPr>
              <w:t>Directors’ stock plan</w:t>
            </w:r>
          </w:p>
        </w:tc>
        <w:tc>
          <w:tcPr>
            <w:tcW w:w="8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827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Deferred compensation plans, net, including</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dividend equivalents</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801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Common stock cash dividends - $1.40 per share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(187,209)</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(187,209)</w:t>
            </w:r>
          </w:p>
        </w:tc>
        <w:tc>
          <w:tcPr>
            <w:tcW w:w="0" w:type="dxa"/>
            <w:vAlign w:val="bottom"/>
          </w:tcPr>
          <w:p>
            <w:pPr>
              <w:spacing w:after="0"/>
              <w:rPr>
                <w:sz w:val="1"/>
                <w:szCs w:val="1"/>
                <w:color w:val="auto"/>
              </w:rPr>
            </w:pPr>
          </w:p>
        </w:tc>
      </w:tr>
      <w:tr>
        <w:trPr>
          <w:trHeight w:val="223"/>
        </w:trPr>
        <w:tc>
          <w:tcPr>
            <w:tcW w:w="3880" w:type="dxa"/>
            <w:vAlign w:val="bottom"/>
            <w:gridSpan w:val="3"/>
          </w:tcPr>
          <w:p>
            <w:pPr>
              <w:spacing w:after="0"/>
              <w:rPr>
                <w:sz w:val="20"/>
                <w:szCs w:val="20"/>
                <w:color w:val="auto"/>
              </w:rPr>
            </w:pPr>
            <w:r>
              <w:rPr>
                <w:rFonts w:ascii="Arial" w:cs="Arial" w:eastAsia="Arial" w:hAnsi="Arial"/>
                <w:sz w:val="18"/>
                <w:szCs w:val="18"/>
                <w:color w:val="auto"/>
              </w:rPr>
              <w:t>Balance - June 30, 2015</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1,231,500</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66,531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3,477,611</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8,107,525</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(217,502)</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12,667,997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Balance - January 1, 2016</w:t>
            </w:r>
          </w:p>
        </w:tc>
        <w:tc>
          <w:tcPr>
            <w:tcW w:w="1120" w:type="dxa"/>
            <w:vAlign w:val="bottom"/>
            <w:gridSpan w:val="3"/>
          </w:tcPr>
          <w:p>
            <w:pPr>
              <w:ind w:left="80"/>
              <w:spacing w:after="0"/>
              <w:rPr>
                <w:sz w:val="20"/>
                <w:szCs w:val="20"/>
                <w:color w:val="auto"/>
              </w:rPr>
            </w:pPr>
            <w:r>
              <w:rPr>
                <w:rFonts w:ascii="Arial" w:cs="Arial" w:eastAsia="Arial" w:hAnsi="Arial"/>
                <w:sz w:val="18"/>
                <w:szCs w:val="18"/>
                <w:color w:val="auto"/>
              </w:rPr>
              <w:t>$1,231,500</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79,782</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2,364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6,680,768</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8,430,502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(251,627)</w:t>
            </w: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16,173,289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634,559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150,606</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8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(40,635)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(40,635)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Exercise of 5,320 Series A stock warrants into 1,983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of common stock</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223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Purchases of treasury stock</w:t>
            </w:r>
          </w:p>
        </w:tc>
        <w:tc>
          <w:tcPr>
            <w:tcW w:w="8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(254,000)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plans: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340"/>
              <w:spacing w:after="0"/>
              <w:rPr>
                <w:sz w:val="20"/>
                <w:szCs w:val="20"/>
                <w:color w:val="auto"/>
              </w:rPr>
            </w:pPr>
            <w:r>
              <w:rPr>
                <w:rFonts w:ascii="Arial" w:cs="Arial" w:eastAsia="Arial" w:hAnsi="Arial"/>
                <w:sz w:val="18"/>
                <w:szCs w:val="18"/>
                <w:color w:val="auto"/>
              </w:rPr>
              <w:t>Compensation expense, net</w:t>
            </w:r>
          </w:p>
        </w:tc>
        <w:tc>
          <w:tcPr>
            <w:tcW w:w="8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6,746</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5,880</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Exercises of stock options, net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1,642</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340"/>
              <w:spacing w:after="0"/>
              <w:rPr>
                <w:sz w:val="20"/>
                <w:szCs w:val="20"/>
                <w:color w:val="auto"/>
              </w:rPr>
            </w:pPr>
            <w:r>
              <w:rPr>
                <w:rFonts w:ascii="Arial" w:cs="Arial" w:eastAsia="Arial" w:hAnsi="Arial"/>
                <w:sz w:val="18"/>
                <w:szCs w:val="18"/>
                <w:color w:val="auto"/>
              </w:rPr>
              <w:t>Stock purchase plan</w:t>
            </w:r>
          </w:p>
        </w:tc>
        <w:tc>
          <w:tcPr>
            <w:tcW w:w="8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275</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10,319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Directors’ stock plan</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551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9"/>
              </w:rPr>
              <w:t>Deferred compensation plans, net, including</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gridSpan w:val="2"/>
          </w:tcPr>
          <w:p>
            <w:pPr>
              <w:ind w:left="520"/>
              <w:spacing w:after="0"/>
              <w:rPr>
                <w:sz w:val="20"/>
                <w:szCs w:val="20"/>
                <w:color w:val="auto"/>
              </w:rPr>
            </w:pPr>
            <w:r>
              <w:rPr>
                <w:rFonts w:ascii="Arial" w:cs="Arial" w:eastAsia="Arial" w:hAnsi="Arial"/>
                <w:sz w:val="18"/>
                <w:szCs w:val="18"/>
                <w:color w:val="auto"/>
              </w:rPr>
              <w:t>dividend equivalents</w:t>
            </w:r>
          </w:p>
        </w:tc>
        <w:tc>
          <w:tcPr>
            <w:tcW w:w="8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(163)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9"/>
              </w:rPr>
              <w:t>Common stock cash dividends - $1.40 per share</w:t>
            </w:r>
          </w:p>
        </w:tc>
        <w:tc>
          <w:tcPr>
            <w:tcW w:w="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(223,074)</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(223,074)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June 30, 2016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1,231,500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79,979</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2,201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6,690,671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8,801,305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(101,021)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(233,121)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16,471,514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2"/>
          </w:tcPr>
          <w:p>
            <w:pPr>
              <w:jc w:val="right"/>
              <w:ind w:right="372"/>
              <w:spacing w:after="0"/>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w:t>
      </w:r>
    </w:p>
    <w:p>
      <w:pPr>
        <w:spacing w:after="0" w:line="12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2015 (“2015 Annual Report”). In the opinion of management, all adjustments necessary for a fair presentation have been made and were all of a normal recurring nature.</w:t>
      </w:r>
    </w:p>
    <w:p>
      <w:pPr>
        <w:spacing w:after="0" w:line="33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November 1, 2015, M&amp;T completed the acquisition of Hudson City Bancorp, Inc. (“Hudson City”), headquartered in Paramus, New Jersey. On that date, Hudson City Savings Bank, the banking subsidiary of Hudson City, was merged into M&amp;T Bank, a wholly owned banking subsidiary of M&amp;T. Hudson City Savings Bank operated 135 banking offices in New Jersey, Connecticut and New York at the date of acquisition. The results of operations acquired in the Hudson City transaction have been included in the Company’s financial results since November 1, 2015. After application of the election, allocation and proration procedures contained in the merger agreement with Hudson City, M&amp;T paid $2.1 billion in cash and issued 25,953,950 shares of M&amp;T common stock in exchange for Hudson City shares outstanding at the time of the acquisition. The purchase price was approximately $5.2 billion based on the cash paid to Hudson City shareholders, the fair value of M&amp;T stock exchanged and the estimated fair value of Hudson City stock awards converted into M&amp;T stock awards. The acquisition of Hudson City expanded the Company’s presence in New Jersey, Connecticut and New York, and management expects that the Company will benefit from greater geographic diversity and the advantages of scale associated with a larger company.</w:t>
      </w:r>
    </w:p>
    <w:p>
      <w:pPr>
        <w:spacing w:after="0" w:line="167"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The Hudson City transaction has been accounted for using the acquisition method of accounting and, accordingly, assets acquired, liabilities assumed and consideration exchanged were recorded at estimated fair value on the acquisition date. The consideration paid for Hudson City’s common equity and the amounts of identifiable assets acquired and liabilities assumed as of the acquisition date were as follows:</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Cash and due from banks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 deposits at banks</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7,568,934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Investment securities</w:t>
            </w: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7,929,014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19,015,013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Goodwill</w:t>
            </w: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1,079,787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Core deposit intangible</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3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identifiable assets</w:t>
            </w:r>
          </w:p>
        </w:tc>
        <w:tc>
          <w:tcPr>
            <w:tcW w:w="3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36,699,320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17,879,589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Borrowings</w:t>
            </w: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13,211,598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3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3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31,496,212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5,203,108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420" w:type="dxa"/>
            <w:vAlign w:val="bottom"/>
            <w:gridSpan w:val="2"/>
          </w:tcPr>
          <w:p>
            <w:pPr>
              <w:spacing w:after="0"/>
              <w:rPr>
                <w:sz w:val="20"/>
                <w:szCs w:val="20"/>
                <w:color w:val="auto"/>
              </w:rPr>
            </w:pPr>
            <w:r>
              <w:rPr>
                <w:rFonts w:ascii="Arial" w:cs="Arial" w:eastAsia="Arial" w:hAnsi="Arial"/>
                <w:sz w:val="18"/>
                <w:szCs w:val="18"/>
                <w:color w:val="auto"/>
              </w:rPr>
              <w:t>Cash paid</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2,064,284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8"/>
              </w:rPr>
              <w:t>Common stock issued (25,953,950 shares)</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3,110,581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Common stock awards converted</w:t>
            </w:r>
          </w:p>
        </w:tc>
        <w:tc>
          <w:tcPr>
            <w:tcW w:w="3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consideration</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5,203,108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340" w:type="dxa"/>
            <w:vAlign w:val="bottom"/>
            <w:vMerge w:val="restart"/>
          </w:tcPr>
          <w:p>
            <w:pPr>
              <w:jc w:val="right"/>
              <w:ind w:right="2690"/>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early November 2015, the Company sold $5.8 billion of investment securities obtained in the acquisition and repaid $10.6 billion of borrowings assumed in the transaction. In connection with the acquisition, the Company recorded approximately $1.1 billion of goodwill and $132 million of core deposit intangible. The core deposit intangible asset is being amortized over a period of 7 years using an accelerated method.</w:t>
      </w:r>
    </w:p>
    <w:p>
      <w:pPr>
        <w:spacing w:after="0" w:line="16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following table presents certain pro forma information as if Hudson City had been included in the Company’s results of operations in the three-month and six-month periods ended June 30, 2015. These results combine the historical results of Hudson City into the Company’s consolidated statement of income and, while certain adjustments were made for the estimated impact of certain fair valuation adjustments and other acquisition-related activity, they are not indicative of what would have occurred had the acquisition taken place as indicated. In particular, no adjustments have been made to eliminate the impact of gains on securities transactions of $67 million during the three months ended June 30, 2015 and $74 million during the six months ended June 30, 2015 that may not have been recognized had the investment securities been recorded at fair value. Additionally, the Company expects to achieve operating cost savings and other business synergies as a result of the acquisition which are not reflected in the pro forma amounts that follow.</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Pr>
          <w:p>
            <w:pPr>
              <w:jc w:val="center"/>
              <w:ind w:right="168"/>
              <w:spacing w:after="0"/>
              <w:rPr>
                <w:sz w:val="20"/>
                <w:szCs w:val="20"/>
                <w:color w:val="auto"/>
              </w:rPr>
            </w:pPr>
            <w:r>
              <w:rPr>
                <w:rFonts w:ascii="Arial" w:cs="Arial" w:eastAsia="Arial" w:hAnsi="Arial"/>
                <w:sz w:val="14"/>
                <w:szCs w:val="14"/>
                <w:color w:val="auto"/>
                <w:w w:val="94"/>
              </w:rPr>
              <w:t>Pro forma</w:t>
            </w:r>
          </w:p>
        </w:tc>
        <w:tc>
          <w:tcPr>
            <w:tcW w:w="1080" w:type="dxa"/>
            <w:vAlign w:val="bottom"/>
            <w:gridSpan w:val="2"/>
          </w:tcPr>
          <w:p>
            <w:pPr>
              <w:jc w:val="center"/>
              <w:ind w:left="23"/>
              <w:spacing w:after="0"/>
              <w:rPr>
                <w:sz w:val="20"/>
                <w:szCs w:val="20"/>
                <w:color w:val="auto"/>
              </w:rPr>
            </w:pPr>
            <w:r>
              <w:rPr>
                <w:rFonts w:ascii="Arial" w:cs="Arial" w:eastAsia="Arial" w:hAnsi="Arial"/>
                <w:sz w:val="14"/>
                <w:szCs w:val="14"/>
                <w:color w:val="auto"/>
                <w:w w:val="94"/>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6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2"/>
              </w:rPr>
              <w:t>Three months</w:t>
            </w:r>
          </w:p>
        </w:tc>
        <w:tc>
          <w:tcPr>
            <w:tcW w:w="1080" w:type="dxa"/>
            <w:vAlign w:val="bottom"/>
            <w:gridSpan w:val="2"/>
          </w:tcPr>
          <w:p>
            <w:pPr>
              <w:jc w:val="center"/>
              <w:ind w:left="3"/>
              <w:spacing w:after="0" w:line="149" w:lineRule="exact"/>
              <w:rPr>
                <w:sz w:val="20"/>
                <w:szCs w:val="20"/>
                <w:color w:val="auto"/>
              </w:rPr>
            </w:pPr>
            <w:r>
              <w:rPr>
                <w:rFonts w:ascii="Arial" w:cs="Arial" w:eastAsia="Arial" w:hAnsi="Arial"/>
                <w:sz w:val="14"/>
                <w:szCs w:val="14"/>
                <w:color w:val="auto"/>
                <w:w w:val="92"/>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6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87"/>
              </w:rPr>
              <w:t>ended</w:t>
            </w:r>
          </w:p>
        </w:tc>
        <w:tc>
          <w:tcPr>
            <w:tcW w:w="1080" w:type="dxa"/>
            <w:vAlign w:val="bottom"/>
            <w:gridSpan w:val="2"/>
          </w:tcPr>
          <w:p>
            <w:pPr>
              <w:jc w:val="center"/>
              <w:ind w:left="23"/>
              <w:spacing w:after="0" w:line="149" w:lineRule="exact"/>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6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89"/>
              </w:rPr>
              <w:t>June 30,</w:t>
            </w:r>
          </w:p>
        </w:tc>
        <w:tc>
          <w:tcPr>
            <w:tcW w:w="1080" w:type="dxa"/>
            <w:vAlign w:val="bottom"/>
            <w:gridSpan w:val="2"/>
          </w:tcPr>
          <w:p>
            <w:pPr>
              <w:jc w:val="center"/>
              <w:ind w:left="3"/>
              <w:spacing w:after="0" w:line="149"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700" w:type="dxa"/>
            <w:vAlign w:val="bottom"/>
            <w:gridSpan w:val="2"/>
          </w:tcPr>
          <w:p>
            <w:pPr>
              <w:jc w:val="center"/>
              <w:ind w:left="2316"/>
              <w:spacing w:after="0"/>
              <w:rPr>
                <w:sz w:val="20"/>
                <w:szCs w:val="20"/>
                <w:color w:val="auto"/>
              </w:rPr>
            </w:pPr>
            <w:r>
              <w:rPr>
                <w:rFonts w:ascii="Arial" w:cs="Arial" w:eastAsia="Arial" w:hAnsi="Arial"/>
                <w:sz w:val="14"/>
                <w:szCs w:val="14"/>
                <w:color w:val="auto"/>
                <w:w w:val="96"/>
              </w:rPr>
              <w:t>2015</w:t>
            </w:r>
          </w:p>
        </w:tc>
        <w:tc>
          <w:tcPr>
            <w:tcW w:w="980" w:type="dxa"/>
            <w:vAlign w:val="bottom"/>
          </w:tcPr>
          <w:p>
            <w:pPr>
              <w:jc w:val="center"/>
              <w:ind w:left="103"/>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040" w:type="dxa"/>
            <w:vAlign w:val="bottom"/>
            <w:tcBorders>
              <w:top w:val="single" w:sz="8" w:color="auto"/>
            </w:tcBorders>
            <w:gridSpan w:val="2"/>
          </w:tcPr>
          <w:p>
            <w:pPr>
              <w:jc w:val="right"/>
              <w:ind w:right="543"/>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8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revenues(a)</w:t>
            </w:r>
          </w:p>
        </w:tc>
        <w:tc>
          <w:tcPr>
            <w:tcW w:w="37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$1,370,594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income</w:t>
            </w:r>
          </w:p>
        </w:tc>
        <w:tc>
          <w:tcPr>
            <w:tcW w:w="3700" w:type="dxa"/>
            <w:vAlign w:val="bottom"/>
            <w:gridSpan w:val="2"/>
          </w:tcPr>
          <w:p>
            <w:pPr>
              <w:jc w:val="right"/>
              <w:ind w:right="168"/>
              <w:spacing w:after="0"/>
              <w:rPr>
                <w:sz w:val="20"/>
                <w:szCs w:val="20"/>
                <w:color w:val="auto"/>
              </w:rPr>
            </w:pPr>
            <w:r>
              <w:rPr>
                <w:rFonts w:ascii="Arial" w:cs="Arial" w:eastAsia="Arial" w:hAnsi="Arial"/>
                <w:sz w:val="18"/>
                <w:szCs w:val="18"/>
                <w:color w:val="auto"/>
              </w:rPr>
              <w:t>357,654</w:t>
            </w:r>
          </w:p>
        </w:tc>
        <w:tc>
          <w:tcPr>
            <w:tcW w:w="980" w:type="dxa"/>
            <w:vAlign w:val="bottom"/>
          </w:tcPr>
          <w:p>
            <w:pPr>
              <w:jc w:val="right"/>
              <w:spacing w:after="0"/>
              <w:rPr>
                <w:sz w:val="20"/>
                <w:szCs w:val="20"/>
                <w:color w:val="auto"/>
              </w:rPr>
            </w:pPr>
            <w:r>
              <w:rPr>
                <w:rFonts w:ascii="Arial" w:cs="Arial" w:eastAsia="Arial" w:hAnsi="Arial"/>
                <w:sz w:val="18"/>
                <w:szCs w:val="18"/>
                <w:color w:val="auto"/>
              </w:rPr>
              <w:t>642,891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interest income plus other income.</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the Hudson City acquisition, the Company incurred merger-related expenses related to systems conversions and other costs of integrating and conforming acquired operations with and into the Company. Those expenses consisted largely of professional services and other temporary help fees associated with preparing for systems conversions and/or integration of operations; costs related to termination of existing contractual arrangements for various services; initial marketing and promotion expenses designed to introduce M&amp;T Bank to its new customers; severance (for former Hudson City employees); travel costs; and other costs of completing the transaction and commencing operations in new markets and offices. The Company does not expect additional merger-related expenses in 2016.</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merger-related expenses included in the consolidated statement of income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960" w:type="dxa"/>
            <w:vAlign w:val="bottom"/>
            <w:gridSpan w:val="3"/>
          </w:tcPr>
          <w:p>
            <w:pPr>
              <w:jc w:val="center"/>
              <w:ind w:left="2076"/>
              <w:spacing w:after="0"/>
              <w:rPr>
                <w:sz w:val="20"/>
                <w:szCs w:val="20"/>
                <w:color w:val="auto"/>
              </w:rPr>
            </w:pPr>
            <w:r>
              <w:rPr>
                <w:rFonts w:ascii="Arial" w:cs="Arial" w:eastAsia="Arial" w:hAnsi="Arial"/>
                <w:sz w:val="14"/>
                <w:szCs w:val="14"/>
                <w:color w:val="auto"/>
                <w:w w:val="92"/>
              </w:rPr>
              <w:t>Three months</w:t>
            </w:r>
          </w:p>
        </w:tc>
        <w:tc>
          <w:tcPr>
            <w:tcW w:w="1340" w:type="dxa"/>
            <w:vAlign w:val="bottom"/>
            <w:gridSpan w:val="3"/>
          </w:tcPr>
          <w:p>
            <w:pPr>
              <w:jc w:val="center"/>
              <w:ind w:left="376"/>
              <w:spacing w:after="0"/>
              <w:rPr>
                <w:sz w:val="20"/>
                <w:szCs w:val="20"/>
                <w:color w:val="auto"/>
              </w:rPr>
            </w:pPr>
            <w:r>
              <w:rPr>
                <w:rFonts w:ascii="Arial" w:cs="Arial" w:eastAsia="Arial" w:hAnsi="Arial"/>
                <w:sz w:val="14"/>
                <w:szCs w:val="14"/>
                <w:color w:val="auto"/>
                <w:w w:val="92"/>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58"/>
              <w:spacing w:after="0" w:line="149" w:lineRule="exact"/>
              <w:rPr>
                <w:sz w:val="20"/>
                <w:szCs w:val="20"/>
                <w:color w:val="auto"/>
              </w:rPr>
            </w:pPr>
            <w:r>
              <w:rPr>
                <w:rFonts w:ascii="Arial" w:cs="Arial" w:eastAsia="Arial" w:hAnsi="Arial"/>
                <w:sz w:val="14"/>
                <w:szCs w:val="14"/>
                <w:color w:val="auto"/>
                <w:w w:val="87"/>
              </w:rPr>
              <w:t>ended</w:t>
            </w:r>
          </w:p>
        </w:tc>
        <w:tc>
          <w:tcPr>
            <w:tcW w:w="5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8"/>
              <w:spacing w:after="0" w:line="149" w:lineRule="exact"/>
              <w:rPr>
                <w:sz w:val="20"/>
                <w:szCs w:val="20"/>
                <w:color w:val="auto"/>
              </w:rPr>
            </w:pPr>
            <w:r>
              <w:rPr>
                <w:rFonts w:ascii="Arial" w:cs="Arial" w:eastAsia="Arial" w:hAnsi="Arial"/>
                <w:sz w:val="14"/>
                <w:szCs w:val="14"/>
                <w:color w:val="auto"/>
                <w:w w:val="89"/>
              </w:rPr>
              <w:t>June 30,</w:t>
            </w:r>
          </w:p>
        </w:tc>
        <w:tc>
          <w:tcPr>
            <w:tcW w:w="58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color w:val="auto"/>
                <w:w w:val="96"/>
              </w:rPr>
              <w:t>2016</w:t>
            </w:r>
          </w:p>
        </w:tc>
        <w:tc>
          <w:tcPr>
            <w:tcW w:w="1240" w:type="dxa"/>
            <w:vAlign w:val="bottom"/>
            <w:tcBorders>
              <w:bottom w:val="single" w:sz="8" w:color="auto"/>
            </w:tcBorders>
            <w:gridSpan w:val="2"/>
          </w:tcPr>
          <w:p>
            <w:pPr>
              <w:jc w:val="center"/>
              <w:ind w:left="476"/>
              <w:spacing w:after="0"/>
              <w:rPr>
                <w:sz w:val="20"/>
                <w:szCs w:val="20"/>
                <w:color w:val="auto"/>
              </w:rPr>
            </w:pPr>
            <w:r>
              <w:rPr>
                <w:rFonts w:ascii="Arial" w:cs="Arial" w:eastAsia="Arial" w:hAnsi="Arial"/>
                <w:sz w:val="14"/>
                <w:szCs w:val="14"/>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3"/>
          </w:tcPr>
          <w:p>
            <w:pPr>
              <w:jc w:val="right"/>
              <w:ind w:right="542"/>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3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2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11,649</w:t>
            </w:r>
          </w:p>
        </w:tc>
        <w:tc>
          <w:tcPr>
            <w:tcW w:w="5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merger-related expenses during the three-month and six-month periods ended June 30, 2015.</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Gross</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Amortized</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unrealized</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4"/>
                <w:szCs w:val="14"/>
                <w:color w:val="auto"/>
              </w:rPr>
              <w:t>cost</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gains</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397,825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5,158</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131</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10,944,676</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323,828</w:t>
            </w:r>
          </w:p>
        </w:tc>
        <w:tc>
          <w:tcPr>
            <w:tcW w:w="4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11,267,278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28,255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17,466</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135,170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21,670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 securities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67,687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20,448</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87,974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11,578,829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365,681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25,536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11,918,974</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84,614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712</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2,315,012</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88,526</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2,403,188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168,784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927</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40,737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128,974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6,011</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2,574,421</w:t>
            </w: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90,165</w:t>
            </w: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41,327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2,623,259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469,689</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469,689</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14,622,939</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455,846</w:t>
            </w: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66,863</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15,011,922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299,890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294</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5,924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146</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11,592,959</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142,370</w:t>
            </w:r>
          </w:p>
        </w:tc>
        <w:tc>
          <w:tcPr>
            <w:tcW w:w="4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48,701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11,686,628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28,438</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20,143</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137,556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 securities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73,795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10,230</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83,671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12,138,636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174,699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70,664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12,242,671</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118,431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2,553,612</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50,936</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7,817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2,596,731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181,091</w:t>
            </w:r>
          </w:p>
        </w:tc>
        <w:tc>
          <w:tcPr>
            <w:tcW w:w="640" w:type="dxa"/>
            <w:vAlign w:val="bottom"/>
          </w:tcPr>
          <w:p>
            <w:pPr>
              <w:jc w:val="right"/>
              <w:spacing w:after="0"/>
              <w:rPr>
                <w:sz w:val="20"/>
                <w:szCs w:val="20"/>
                <w:color w:val="auto"/>
              </w:rPr>
            </w:pPr>
            <w:r>
              <w:rPr>
                <w:rFonts w:ascii="Arial" w:cs="Arial" w:eastAsia="Arial" w:hAnsi="Arial"/>
                <w:sz w:val="18"/>
                <w:szCs w:val="18"/>
                <w:color w:val="auto"/>
              </w:rPr>
              <w:t>2,104</w:t>
            </w:r>
          </w:p>
        </w:tc>
        <w:tc>
          <w:tcPr>
            <w:tcW w:w="4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41,367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6,575</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2,859,709</w:t>
            </w: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54,043</w:t>
            </w: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49,605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2,864,147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554,059</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554,059</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15,552,404</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228,742</w:t>
            </w: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120,269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15,660,877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60" w:type="dxa"/>
            <w:vAlign w:val="bottom"/>
            <w:vMerge w:val="restart"/>
          </w:tcPr>
          <w:p>
            <w:pPr>
              <w:jc w:val="right"/>
              <w:ind w:right="6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74" w:right="6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were no significant gross realized gains or losses from sales of investment securities for the three-month and six-month periods ended June 30, 2016 and 2015,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2016, the amortized cost and estimated fair value of debt securities by contractual maturity were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color w:val="auto"/>
                <w:w w:val="94"/>
              </w:rPr>
              <w:t>Amortized cost</w:t>
            </w:r>
          </w:p>
        </w:tc>
        <w:tc>
          <w:tcPr>
            <w:tcW w:w="44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3"/>
          </w:tcPr>
          <w:p>
            <w:pPr>
              <w:jc w:val="right"/>
              <w:ind w:right="616"/>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7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740" w:type="dxa"/>
            <w:vAlign w:val="bottom"/>
            <w:gridSpan w:val="2"/>
          </w:tcPr>
          <w:p>
            <w:pPr>
              <w:ind w:left="26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6,147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157,524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566,408</w:t>
            </w:r>
          </w:p>
        </w:tc>
        <w:tc>
          <w:tcPr>
            <w:tcW w:w="4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10,944,734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11,267,335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11,511,142</w:t>
            </w:r>
          </w:p>
        </w:tc>
        <w:tc>
          <w:tcPr>
            <w:tcW w:w="4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11,831,000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740" w:type="dxa"/>
            <w:vAlign w:val="bottom"/>
            <w:gridSpan w:val="2"/>
          </w:tcPr>
          <w:p>
            <w:pPr>
              <w:ind w:left="26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28,259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90,625</w:t>
            </w:r>
          </w:p>
        </w:tc>
        <w:tc>
          <w:tcPr>
            <w:tcW w:w="4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2,483,796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2,532,162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2,574,421</w:t>
            </w:r>
          </w:p>
        </w:tc>
        <w:tc>
          <w:tcPr>
            <w:tcW w:w="4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60" w:type="dxa"/>
            <w:vAlign w:val="bottom"/>
            <w:vMerge w:val="restart"/>
          </w:tcPr>
          <w:p>
            <w:pPr>
              <w:jc w:val="right"/>
              <w:ind w:right="1820"/>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274"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summary of investment securities that as of June 30, 2016 and December 31, 2015 had been in a continuous unrealized loss position for less than twelve months and those that had been in a continuous unrealized loss position for twelve months or longer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660"/>
              <w:spacing w:after="0"/>
              <w:rPr>
                <w:sz w:val="20"/>
                <w:szCs w:val="20"/>
                <w:color w:val="auto"/>
              </w:rPr>
            </w:pPr>
            <w:r>
              <w:rPr>
                <w:rFonts w:ascii="Arial" w:cs="Arial" w:eastAsia="Arial" w:hAnsi="Arial"/>
                <w:sz w:val="14"/>
                <w:szCs w:val="14"/>
                <w:color w:val="auto"/>
              </w:rPr>
              <w:t>Less than 12 months</w:t>
            </w:r>
          </w:p>
        </w:tc>
        <w:tc>
          <w:tcPr>
            <w:tcW w:w="1780" w:type="dxa"/>
            <w:vAlign w:val="bottom"/>
            <w:gridSpan w:val="4"/>
          </w:tcPr>
          <w:p>
            <w:pPr>
              <w:jc w:val="right"/>
              <w:ind w:right="32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680"/>
              <w:spacing w:after="0" w:line="123" w:lineRule="exact"/>
              <w:rPr>
                <w:sz w:val="20"/>
                <w:szCs w:val="20"/>
                <w:color w:val="auto"/>
              </w:rPr>
            </w:pPr>
            <w:r>
              <w:rPr>
                <w:rFonts w:ascii="Arial" w:cs="Arial" w:eastAsia="Arial" w:hAnsi="Arial"/>
                <w:sz w:val="14"/>
                <w:szCs w:val="14"/>
                <w:color w:val="auto"/>
              </w:rPr>
              <w:t>Fair</w:t>
            </w: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Unrealized</w:t>
            </w:r>
          </w:p>
        </w:tc>
        <w:tc>
          <w:tcPr>
            <w:tcW w:w="40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600"/>
              <w:spacing w:after="0" w:line="123" w:lineRule="exact"/>
              <w:rPr>
                <w:sz w:val="20"/>
                <w:szCs w:val="20"/>
                <w:color w:val="auto"/>
              </w:rPr>
            </w:pPr>
            <w:r>
              <w:rPr>
                <w:rFonts w:ascii="Arial" w:cs="Arial" w:eastAsia="Arial" w:hAnsi="Arial"/>
                <w:sz w:val="14"/>
                <w:szCs w:val="14"/>
                <w:color w:val="auto"/>
              </w:rPr>
              <w:t>Fair</w:t>
            </w: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color w:val="auto"/>
              </w:rPr>
              <w:t>value</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losses</w:t>
            </w:r>
          </w:p>
        </w:tc>
        <w:tc>
          <w:tcPr>
            <w:tcW w:w="1040" w:type="dxa"/>
            <w:vAlign w:val="bottom"/>
            <w:gridSpan w:val="2"/>
          </w:tcPr>
          <w:p>
            <w:pPr>
              <w:jc w:val="right"/>
              <w:ind w:right="560"/>
              <w:spacing w:after="0"/>
              <w:rPr>
                <w:sz w:val="20"/>
                <w:szCs w:val="20"/>
                <w:color w:val="auto"/>
              </w:rPr>
            </w:pPr>
            <w:r>
              <w:rPr>
                <w:rFonts w:ascii="Arial" w:cs="Arial" w:eastAsia="Arial" w:hAnsi="Arial"/>
                <w:sz w:val="14"/>
                <w:szCs w:val="14"/>
                <w:color w:val="auto"/>
              </w:rPr>
              <w:t>value</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jc w:val="right"/>
              <w:ind w:right="92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7,831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1,703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245,977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(1,123)</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7,590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2,883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(1,078)</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4,285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11,275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91,997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 securities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267,966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105,755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(22,912)</w:t>
            </w:r>
          </w:p>
        </w:tc>
        <w:tc>
          <w:tcPr>
            <w:tcW w:w="0" w:type="dxa"/>
            <w:vAlign w:val="bottom"/>
          </w:tcPr>
          <w:p>
            <w:pPr>
              <w:spacing w:after="0"/>
              <w:rPr>
                <w:sz w:val="1"/>
                <w:szCs w:val="1"/>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15,813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12,057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125,116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17,436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(3,075)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94,454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(37,662)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33,249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231,627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(38,163)</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301,215</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(5,788)</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337,382</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(61,075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147,508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865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1,335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4,061,899</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(48,534)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7,216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5,711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2,063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12,935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(462)</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93,344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 securities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18,073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153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4,246,991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(49,727)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104,154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(20,937)</w:t>
            </w:r>
          </w:p>
        </w:tc>
        <w:tc>
          <w:tcPr>
            <w:tcW w:w="0" w:type="dxa"/>
            <w:vAlign w:val="bottom"/>
          </w:tcPr>
          <w:p>
            <w:pPr>
              <w:spacing w:after="0"/>
              <w:rPr>
                <w:sz w:val="1"/>
                <w:szCs w:val="1"/>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42,913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5,853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459,983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(1,801)</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228,867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112,155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(41,367)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502,896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(2,136)</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346,875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(47,469)</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4,749,887</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(51,863</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451,029</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(68,406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20" w:type="dxa"/>
            <w:vAlign w:val="bottom"/>
            <w:vMerge w:val="restart"/>
          </w:tcPr>
          <w:p>
            <w:pPr>
              <w:jc w:val="right"/>
              <w:ind w:right="97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274" w:right="5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owned 428 individual investment securities with aggregate gross unrealized losses of $67 million at June 30, 2016. Based on a review of each of the securities in the investment securities portfolio at June 30, 2016, the Company concluded that it expected to recover the amortized cost basis of its investment. As of June 30, 2016, the Company does not intend to sell nor is it anticipated that it would be required to sell any of its impaired investment securities at a loss. At June 30, 2016, the Company has not identified events or changes in circumstances which may have a significant adverse effect on the fair value of the $470 million of cost method investment securities.</w:t>
      </w:r>
    </w:p>
    <w:p>
      <w:pPr>
        <w:spacing w:after="0" w:line="33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outstanding principal balance and the carrying amount of loans acquired at a discount that were recorded at fair value at the acquisition date that is included in the consolidated balance sheet were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20" w:type="dxa"/>
            <w:vAlign w:val="bottom"/>
          </w:tcPr>
          <w:p>
            <w:pPr>
              <w:jc w:val="right"/>
              <w:ind w:right="102"/>
              <w:spacing w:after="0"/>
              <w:rPr>
                <w:sz w:val="20"/>
                <w:szCs w:val="20"/>
                <w:color w:val="auto"/>
              </w:rPr>
            </w:pPr>
            <w:r>
              <w:rPr>
                <w:rFonts w:ascii="Arial" w:cs="Arial" w:eastAsia="Arial" w:hAnsi="Arial"/>
                <w:sz w:val="14"/>
                <w:szCs w:val="14"/>
                <w:color w:val="auto"/>
              </w:rPr>
              <w:t>June 30,</w:t>
            </w:r>
          </w:p>
        </w:tc>
        <w:tc>
          <w:tcPr>
            <w:tcW w:w="1340" w:type="dxa"/>
            <w:vAlign w:val="bottom"/>
            <w:gridSpan w:val="3"/>
          </w:tcPr>
          <w:p>
            <w:pPr>
              <w:ind w:left="4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620" w:type="dxa"/>
            <w:vAlign w:val="bottom"/>
            <w:gridSpan w:val="2"/>
          </w:tcPr>
          <w:p>
            <w:pPr>
              <w:jc w:val="right"/>
              <w:ind w:right="202"/>
              <w:spacing w:after="0"/>
              <w:rPr>
                <w:sz w:val="20"/>
                <w:szCs w:val="20"/>
                <w:color w:val="auto"/>
              </w:rPr>
            </w:pPr>
            <w:r>
              <w:rPr>
                <w:rFonts w:ascii="Arial" w:cs="Arial" w:eastAsia="Arial" w:hAnsi="Arial"/>
                <w:sz w:val="14"/>
                <w:szCs w:val="14"/>
                <w:color w:val="auto"/>
              </w:rPr>
              <w:t>2016</w:t>
            </w:r>
          </w:p>
        </w:tc>
        <w:tc>
          <w:tcPr>
            <w:tcW w:w="1240" w:type="dxa"/>
            <w:vAlign w:val="bottom"/>
            <w:gridSpan w:val="2"/>
          </w:tcPr>
          <w:p>
            <w:pPr>
              <w:jc w:val="right"/>
              <w:ind w:right="170"/>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60" w:type="dxa"/>
            <w:vAlign w:val="bottom"/>
            <w:tcBorders>
              <w:top w:val="single" w:sz="8" w:color="auto"/>
            </w:tcBorders>
            <w:gridSpan w:val="3"/>
          </w:tcPr>
          <w:p>
            <w:pPr>
              <w:jc w:val="right"/>
              <w:ind w:right="53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$2,735,024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3,122,935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Carrying amount:</w:t>
            </w:r>
          </w:p>
        </w:tc>
        <w:tc>
          <w:tcPr>
            <w:tcW w:w="1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financial, leasing, etc.</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68,648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548,485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644,284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903,891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8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650,456</w:t>
            </w: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2,171,480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2,465,067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Purchased impaired loans included in the table above totaled $662 million at June 30, 2016 and $768 million at December 31, 2015, representing less than 1% of the Company’s assets as of each date. A summary of changes in the accretable yield for loans acquired at a discount for the three months and six months ended June 30, 2016 and 2015 follows: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330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2016</w:t>
            </w:r>
          </w:p>
        </w:tc>
        <w:tc>
          <w:tcPr>
            <w:tcW w:w="1780" w:type="dxa"/>
            <w:vAlign w:val="bottom"/>
            <w:gridSpan w:val="5"/>
          </w:tcPr>
          <w:p>
            <w:pPr>
              <w:jc w:val="right"/>
              <w:ind w:right="100"/>
              <w:spacing w:after="0"/>
              <w:rPr>
                <w:sz w:val="20"/>
                <w:szCs w:val="20"/>
                <w:color w:val="auto"/>
              </w:rPr>
            </w:pPr>
            <w:r>
              <w:rPr>
                <w:rFonts w:ascii="Arial" w:cs="Arial" w:eastAsia="Arial" w:hAnsi="Arial"/>
                <w:sz w:val="14"/>
                <w:szCs w:val="14"/>
                <w:color w:val="auto"/>
                <w:w w:val="90"/>
              </w:rPr>
              <w:t>Three months ended June 30</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89"/>
              </w:rPr>
              <w:t>2015</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33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400"/>
              <w:spacing w:after="0" w:line="123" w:lineRule="exact"/>
              <w:rPr>
                <w:sz w:val="20"/>
                <w:szCs w:val="20"/>
                <w:color w:val="auto"/>
              </w:rPr>
            </w:pPr>
            <w:r>
              <w:rPr>
                <w:rFonts w:ascii="Arial" w:cs="Arial" w:eastAsia="Arial" w:hAnsi="Arial"/>
                <w:sz w:val="14"/>
                <w:szCs w:val="14"/>
                <w:color w:val="auto"/>
                <w:w w:val="92"/>
              </w:rPr>
              <w:t>Purchased</w:t>
            </w: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84"/>
              <w:spacing w:after="0" w:line="123" w:lineRule="exact"/>
              <w:rPr>
                <w:sz w:val="20"/>
                <w:szCs w:val="20"/>
                <w:color w:val="auto"/>
              </w:rPr>
            </w:pPr>
            <w:r>
              <w:rPr>
                <w:rFonts w:ascii="Arial" w:cs="Arial" w:eastAsia="Arial" w:hAnsi="Arial"/>
                <w:sz w:val="14"/>
                <w:szCs w:val="14"/>
                <w:color w:val="auto"/>
              </w:rPr>
              <w:t>Other</w:t>
            </w:r>
          </w:p>
        </w:tc>
        <w:tc>
          <w:tcPr>
            <w:tcW w:w="400" w:type="dxa"/>
            <w:vAlign w:val="bottom"/>
          </w:tcPr>
          <w:p>
            <w:pPr>
              <w:spacing w:after="0"/>
              <w:rPr>
                <w:sz w:val="10"/>
                <w:szCs w:val="10"/>
                <w:color w:val="auto"/>
              </w:rPr>
            </w:pPr>
          </w:p>
        </w:tc>
        <w:tc>
          <w:tcPr>
            <w:tcW w:w="680" w:type="dxa"/>
            <w:vAlign w:val="bottom"/>
            <w:tcBorders>
              <w:top w:val="single" w:sz="8" w:color="auto"/>
            </w:tcBorders>
            <w:gridSpan w:val="2"/>
          </w:tcPr>
          <w:p>
            <w:pPr>
              <w:jc w:val="right"/>
              <w:ind w:right="80"/>
              <w:spacing w:after="0" w:line="123" w:lineRule="exact"/>
              <w:rPr>
                <w:sz w:val="20"/>
                <w:szCs w:val="20"/>
                <w:color w:val="auto"/>
              </w:rPr>
            </w:pPr>
            <w:r>
              <w:rPr>
                <w:rFonts w:ascii="Arial" w:cs="Arial" w:eastAsia="Arial" w:hAnsi="Arial"/>
                <w:sz w:val="14"/>
                <w:szCs w:val="14"/>
                <w:color w:val="auto"/>
                <w:w w:val="86"/>
              </w:rPr>
              <w:t>Purchased</w:t>
            </w: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82"/>
              <w:spacing w:after="0" w:line="123"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color w:val="auto"/>
              </w:rPr>
              <w:t>impaired</w:t>
            </w:r>
          </w:p>
        </w:tc>
        <w:tc>
          <w:tcPr>
            <w:tcW w:w="6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acquired</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impaired</w:t>
            </w:r>
          </w:p>
        </w:tc>
        <w:tc>
          <w:tcPr>
            <w:tcW w:w="3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acquired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4"/>
          </w:tcPr>
          <w:p>
            <w:pPr>
              <w:jc w:val="right"/>
              <w:ind w:right="520"/>
              <w:spacing w:after="0"/>
              <w:rPr>
                <w:sz w:val="20"/>
                <w:szCs w:val="20"/>
                <w:color w:val="auto"/>
              </w:rPr>
            </w:pPr>
            <w:r>
              <w:rPr>
                <w:rFonts w:ascii="Arial" w:cs="Arial" w:eastAsia="Arial" w:hAnsi="Arial"/>
                <w:sz w:val="14"/>
                <w:szCs w:val="14"/>
                <w:color w:val="auto"/>
              </w:rPr>
              <w:t>(in thousands)</w:t>
            </w:r>
          </w:p>
        </w:tc>
        <w:tc>
          <w:tcPr>
            <w:tcW w:w="3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3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$171,185</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269,017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$71,422</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357,895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Interest income</w:t>
            </w:r>
          </w:p>
        </w:tc>
        <w:tc>
          <w:tcPr>
            <w:tcW w:w="3300" w:type="dxa"/>
            <w:vAlign w:val="bottom"/>
            <w:gridSpan w:val="3"/>
          </w:tcPr>
          <w:p>
            <w:pPr>
              <w:jc w:val="right"/>
              <w:ind w:right="300"/>
              <w:spacing w:after="0"/>
              <w:rPr>
                <w:sz w:val="20"/>
                <w:szCs w:val="20"/>
                <w:color w:val="auto"/>
              </w:rPr>
            </w:pPr>
            <w:r>
              <w:rPr>
                <w:rFonts w:ascii="Arial" w:cs="Arial" w:eastAsia="Arial" w:hAnsi="Arial"/>
                <w:sz w:val="18"/>
                <w:szCs w:val="18"/>
                <w:color w:val="auto"/>
              </w:rPr>
              <w:t>(14,060)</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(32,898)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(5,772)</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(40,024)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nonaccretable balance, net</w:t>
            </w:r>
          </w:p>
        </w:tc>
        <w:tc>
          <w:tcPr>
            <w:tcW w:w="3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4,898</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2,933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11,974</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26,840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(a)</w:t>
            </w:r>
          </w:p>
        </w:tc>
        <w:tc>
          <w:tcPr>
            <w:tcW w:w="2260" w:type="dxa"/>
            <w:vAlign w:val="bottom"/>
          </w:tcPr>
          <w:p>
            <w:pPr>
              <w:spacing w:after="0"/>
              <w:rPr>
                <w:sz w:val="19"/>
                <w:szCs w:val="19"/>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6,143</w:t>
            </w:r>
          </w:p>
        </w:tc>
        <w:tc>
          <w:tcPr>
            <w:tcW w:w="400" w:type="dxa"/>
            <w:vAlign w:val="bottom"/>
          </w:tcPr>
          <w:p>
            <w:pPr>
              <w:spacing w:after="0"/>
              <w:rPr>
                <w:sz w:val="19"/>
                <w:szCs w:val="19"/>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162,023</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245,195</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77,624</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344,989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60" w:type="dxa"/>
            <w:vAlign w:val="bottom"/>
            <w:vMerge w:val="restart"/>
          </w:tcPr>
          <w:p>
            <w:pPr>
              <w:jc w:val="right"/>
              <w:ind w:right="1113"/>
              <w:spacing w:after="0"/>
              <w:rPr>
                <w:sz w:val="20"/>
                <w:szCs w:val="20"/>
                <w:color w:val="auto"/>
              </w:rPr>
            </w:pPr>
            <w:r>
              <w:rPr>
                <w:rFonts w:ascii="Arial" w:cs="Arial" w:eastAsia="Arial" w:hAnsi="Arial"/>
                <w:sz w:val="18"/>
                <w:szCs w:val="18"/>
                <w:color w:val="auto"/>
              </w:rPr>
              <w:t>-13-</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6120" w:type="dxa"/>
            <w:vAlign w:val="bottom"/>
            <w:gridSpan w:val="3"/>
          </w:tcPr>
          <w:p>
            <w:pPr>
              <w:spacing w:after="0"/>
              <w:rPr>
                <w:sz w:val="20"/>
                <w:szCs w:val="20"/>
                <w:color w:val="auto"/>
              </w:rPr>
            </w:pPr>
            <w:r>
              <w:rPr>
                <w:rFonts w:ascii="Arial" w:cs="Arial" w:eastAsia="Arial" w:hAnsi="Arial"/>
                <w:sz w:val="18"/>
                <w:szCs w:val="18"/>
                <w:color w:val="auto"/>
              </w:rPr>
              <w:t>NOTES TO FINANCIAL STATEMENTS, CONTINUED</w:t>
            </w: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00" w:type="dxa"/>
            <w:vAlign w:val="bottom"/>
          </w:tcPr>
          <w:p>
            <w:pPr>
              <w:spacing w:after="0"/>
              <w:rPr>
                <w:sz w:val="20"/>
                <w:szCs w:val="20"/>
                <w:color w:val="auto"/>
              </w:rPr>
            </w:pPr>
            <w:r>
              <w:rPr>
                <w:rFonts w:ascii="Arial" w:cs="Arial" w:eastAsia="Arial" w:hAnsi="Arial"/>
                <w:sz w:val="18"/>
                <w:szCs w:val="18"/>
                <w:b w:val="1"/>
                <w:bCs w:val="1"/>
                <w:color w:val="auto"/>
              </w:rPr>
              <w:t>4.</w:t>
            </w:r>
          </w:p>
        </w:tc>
        <w:tc>
          <w:tcPr>
            <w:tcW w:w="5820" w:type="dxa"/>
            <w:vAlign w:val="bottom"/>
            <w:gridSpan w:val="2"/>
          </w:tcPr>
          <w:p>
            <w:pPr>
              <w:ind w:left="160"/>
              <w:spacing w:after="0"/>
              <w:rPr>
                <w:sz w:val="20"/>
                <w:szCs w:val="20"/>
                <w:color w:val="auto"/>
              </w:rPr>
            </w:pPr>
            <w:r>
              <w:rPr>
                <w:rFonts w:ascii="Arial" w:cs="Arial" w:eastAsia="Arial" w:hAnsi="Arial"/>
                <w:sz w:val="18"/>
                <w:szCs w:val="18"/>
                <w:b w:val="1"/>
                <w:bCs w:val="1"/>
                <w:color w:val="auto"/>
              </w:rPr>
              <w:t>Loans and leases and the allowance for credit losses, continued</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gridSpan w:val="4"/>
          </w:tcPr>
          <w:p>
            <w:pPr>
              <w:ind w:left="80"/>
              <w:spacing w:after="0"/>
              <w:rPr>
                <w:sz w:val="20"/>
                <w:szCs w:val="20"/>
                <w:color w:val="auto"/>
              </w:rPr>
            </w:pPr>
            <w:r>
              <w:rPr>
                <w:rFonts w:ascii="Arial" w:cs="Arial" w:eastAsia="Arial" w:hAnsi="Arial"/>
                <w:sz w:val="14"/>
                <w:szCs w:val="14"/>
                <w:color w:val="auto"/>
              </w:rPr>
              <w:t>Six months ended June 30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960" w:type="dxa"/>
            <w:vAlign w:val="bottom"/>
            <w:gridSpan w:val="3"/>
          </w:tcPr>
          <w:p>
            <w:pPr>
              <w:jc w:val="right"/>
              <w:ind w:right="80"/>
              <w:spacing w:after="0"/>
              <w:rPr>
                <w:sz w:val="20"/>
                <w:szCs w:val="20"/>
                <w:color w:val="auto"/>
              </w:rPr>
            </w:pPr>
            <w:r>
              <w:rPr>
                <w:rFonts w:ascii="Arial" w:cs="Arial" w:eastAsia="Arial" w:hAnsi="Arial"/>
                <w:sz w:val="14"/>
                <w:szCs w:val="14"/>
                <w:color w:val="auto"/>
              </w:rPr>
              <w:t>2016</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2015</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440"/>
              <w:spacing w:after="0" w:line="123" w:lineRule="exact"/>
              <w:rPr>
                <w:sz w:val="20"/>
                <w:szCs w:val="20"/>
                <w:color w:val="auto"/>
              </w:rPr>
            </w:pPr>
            <w:r>
              <w:rPr>
                <w:rFonts w:ascii="Arial" w:cs="Arial" w:eastAsia="Arial" w:hAnsi="Arial"/>
                <w:sz w:val="14"/>
                <w:szCs w:val="14"/>
                <w:color w:val="auto"/>
                <w:w w:val="92"/>
              </w:rPr>
              <w:t>Purchased</w:t>
            </w:r>
          </w:p>
        </w:tc>
        <w:tc>
          <w:tcPr>
            <w:tcW w:w="660" w:type="dxa"/>
            <w:vAlign w:val="bottom"/>
            <w:tcBorders>
              <w:top w:val="single" w:sz="8" w:color="auto"/>
            </w:tcBorders>
          </w:tcPr>
          <w:p>
            <w:pPr>
              <w:jc w:val="right"/>
              <w:ind w:right="78"/>
              <w:spacing w:after="0" w:line="123" w:lineRule="exact"/>
              <w:rPr>
                <w:sz w:val="20"/>
                <w:szCs w:val="20"/>
                <w:color w:val="auto"/>
              </w:rPr>
            </w:pPr>
            <w:r>
              <w:rPr>
                <w:rFonts w:ascii="Arial" w:cs="Arial" w:eastAsia="Arial" w:hAnsi="Arial"/>
                <w:sz w:val="14"/>
                <w:szCs w:val="14"/>
                <w:color w:val="auto"/>
              </w:rPr>
              <w:t>Other</w:t>
            </w:r>
          </w:p>
        </w:tc>
        <w:tc>
          <w:tcPr>
            <w:tcW w:w="40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440"/>
              <w:spacing w:after="0" w:line="123" w:lineRule="exact"/>
              <w:rPr>
                <w:sz w:val="20"/>
                <w:szCs w:val="20"/>
                <w:color w:val="auto"/>
              </w:rPr>
            </w:pPr>
            <w:r>
              <w:rPr>
                <w:rFonts w:ascii="Arial" w:cs="Arial" w:eastAsia="Arial" w:hAnsi="Arial"/>
                <w:sz w:val="14"/>
                <w:szCs w:val="14"/>
                <w:color w:val="auto"/>
                <w:w w:val="89"/>
              </w:rPr>
              <w:t>Purchased</w:t>
            </w:r>
          </w:p>
        </w:tc>
        <w:tc>
          <w:tcPr>
            <w:tcW w:w="660" w:type="dxa"/>
            <w:vAlign w:val="bottom"/>
            <w:tcBorders>
              <w:top w:val="single" w:sz="8" w:color="auto"/>
            </w:tcBorders>
          </w:tcPr>
          <w:p>
            <w:pPr>
              <w:jc w:val="right"/>
              <w:ind w:right="75"/>
              <w:spacing w:after="0" w:line="123"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impaired</w:t>
            </w: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acquired</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impaired</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acquired</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4"/>
          </w:tcPr>
          <w:p>
            <w:pPr>
              <w:ind w:left="440"/>
              <w:spacing w:after="0"/>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00" w:type="dxa"/>
            <w:vAlign w:val="bottom"/>
          </w:tcPr>
          <w:p>
            <w:pPr>
              <w:spacing w:after="0"/>
              <w:rPr>
                <w:sz w:val="6"/>
                <w:szCs w:val="6"/>
                <w:color w:val="auto"/>
              </w:rPr>
            </w:pPr>
          </w:p>
        </w:tc>
        <w:tc>
          <w:tcPr>
            <w:tcW w:w="160" w:type="dxa"/>
            <w:vAlign w:val="bottom"/>
            <w:vMerge w:val="restart"/>
          </w:tcPr>
          <w:p>
            <w:pPr>
              <w:spacing w:after="0"/>
              <w:rPr>
                <w:sz w:val="6"/>
                <w:szCs w:val="6"/>
                <w:color w:val="auto"/>
              </w:rPr>
            </w:pPr>
          </w:p>
        </w:tc>
        <w:tc>
          <w:tcPr>
            <w:tcW w:w="5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$184,618</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296,434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$ 76,518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397,379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Interest income</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(28,122)</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(70,760)</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(10,978)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(81,301)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nonaccretable balance, net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5,527</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12,084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27,023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(a)</w:t>
            </w:r>
          </w:p>
        </w:tc>
        <w:tc>
          <w:tcPr>
            <w:tcW w:w="880" w:type="dxa"/>
            <w:vAlign w:val="bottom"/>
          </w:tcPr>
          <w:p>
            <w:pPr>
              <w:spacing w:after="0"/>
              <w:rPr>
                <w:sz w:val="19"/>
                <w:szCs w:val="19"/>
                <w:color w:val="auto"/>
              </w:rPr>
            </w:pP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10,924</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162,023</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245,195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$ 77,624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344,989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 assumptions.</w:t>
      </w:r>
    </w:p>
    <w:p>
      <w:pPr>
        <w:spacing w:after="0" w:line="225"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A summary of current, past due and nonaccrual loans as of June 30, 2016 and December 31, 2015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Accruing</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loans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Accruing</w:t>
            </w:r>
          </w:p>
        </w:tc>
        <w:tc>
          <w:tcPr>
            <w:tcW w:w="14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acquired at</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0"/>
              </w:rPr>
              <w:t>loans past</w:t>
            </w:r>
          </w:p>
        </w:tc>
        <w:tc>
          <w:tcPr>
            <w:tcW w:w="14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a discount</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8"/>
              </w:rPr>
              <w:t>due 90</w:t>
            </w:r>
          </w:p>
        </w:tc>
        <w:tc>
          <w:tcPr>
            <w:tcW w:w="14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past due</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2"/>
              </w:rPr>
              <w:t>30-89 Days</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days or</w:t>
            </w:r>
          </w:p>
        </w:tc>
        <w:tc>
          <w:tcPr>
            <w:tcW w:w="14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90 days</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Purchased</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980" w:type="dxa"/>
            <w:vAlign w:val="bottom"/>
            <w:vMerge w:val="restart"/>
          </w:tcPr>
          <w:p>
            <w:pPr>
              <w:spacing w:after="0"/>
              <w:rPr>
                <w:sz w:val="20"/>
                <w:szCs w:val="20"/>
                <w:color w:val="auto"/>
              </w:rPr>
            </w:pPr>
            <w:r>
              <w:rPr>
                <w:rFonts w:ascii="Arial" w:cs="Arial" w:eastAsia="Arial" w:hAnsi="Arial"/>
                <w:sz w:val="14"/>
                <w:szCs w:val="14"/>
                <w:color w:val="auto"/>
              </w:rPr>
              <w:t>June 30, 2016</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Current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past due</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more(a)</w:t>
            </w:r>
          </w:p>
        </w:tc>
        <w:tc>
          <w:tcPr>
            <w:tcW w:w="14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or more(b)</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impaired(c)</w:t>
            </w:r>
          </w:p>
        </w:tc>
        <w:tc>
          <w:tcPr>
            <w:tcW w:w="880" w:type="dxa"/>
            <w:vAlign w:val="bottom"/>
            <w:gridSpan w:val="2"/>
          </w:tcPr>
          <w:p>
            <w:pPr>
              <w:spacing w:after="0"/>
              <w:rPr>
                <w:sz w:val="20"/>
                <w:szCs w:val="20"/>
                <w:color w:val="auto"/>
              </w:rPr>
            </w:pPr>
            <w:r>
              <w:rPr>
                <w:rFonts w:ascii="Arial" w:cs="Arial" w:eastAsia="Arial" w:hAnsi="Arial"/>
                <w:sz w:val="14"/>
                <w:szCs w:val="14"/>
                <w:color w:val="auto"/>
              </w:rPr>
              <w:t>Nonaccrual</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4980" w:type="dxa"/>
            <w:vAlign w:val="bottom"/>
            <w:vMerge w:val="continue"/>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color w:val="auto"/>
                <w:w w:val="92"/>
              </w:rPr>
              <w:t>(in thousands)</w:t>
            </w: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$21,157,606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63,069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6,665</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240,684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$21,469,242</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Real estate: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23,390,039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125,657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16,487</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13,935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36,111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172,670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23,754,899</w:t>
            </w: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Residential builder and developer</w:t>
            </w:r>
          </w:p>
        </w:tc>
        <w:tc>
          <w:tcPr>
            <w:tcW w:w="900" w:type="dxa"/>
            <w:vAlign w:val="bottom"/>
          </w:tcPr>
          <w:p>
            <w:pPr>
              <w:jc w:val="right"/>
              <w:spacing w:after="0"/>
              <w:rPr>
                <w:sz w:val="20"/>
                <w:szCs w:val="20"/>
                <w:color w:val="auto"/>
              </w:rPr>
            </w:pPr>
            <w:r>
              <w:rPr>
                <w:rFonts w:ascii="Arial" w:cs="Arial" w:eastAsia="Arial" w:hAnsi="Arial"/>
                <w:sz w:val="18"/>
                <w:szCs w:val="18"/>
                <w:color w:val="auto"/>
              </w:rPr>
              <w:t>1,819,984</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14,892</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4,847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19,972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24,263</w:t>
            </w:r>
          </w:p>
        </w:tc>
        <w:tc>
          <w:tcPr>
            <w:tcW w:w="900" w:type="dxa"/>
            <w:vAlign w:val="bottom"/>
          </w:tcPr>
          <w:p>
            <w:pPr>
              <w:jc w:val="right"/>
              <w:spacing w:after="0"/>
              <w:rPr>
                <w:sz w:val="20"/>
                <w:szCs w:val="20"/>
                <w:color w:val="auto"/>
              </w:rPr>
            </w:pPr>
            <w:r>
              <w:rPr>
                <w:rFonts w:ascii="Arial" w:cs="Arial" w:eastAsia="Arial" w:hAnsi="Arial"/>
                <w:sz w:val="18"/>
                <w:szCs w:val="18"/>
                <w:color w:val="auto"/>
              </w:rPr>
              <w:t>1,883,958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commercial construction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4,993,493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41,297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16,009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21,294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19,208,724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470,646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270,845</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13,087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433,192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202,949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20,599,443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Residential-limited documentation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3,584,715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112,743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154,320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79,028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Consumer:</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5,658,417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34,735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14,608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86,870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Automobile</w:t>
            </w:r>
          </w:p>
        </w:tc>
        <w:tc>
          <w:tcPr>
            <w:tcW w:w="900" w:type="dxa"/>
            <w:vAlign w:val="bottom"/>
          </w:tcPr>
          <w:p>
            <w:pPr>
              <w:jc w:val="right"/>
              <w:spacing w:after="0"/>
              <w:rPr>
                <w:sz w:val="20"/>
                <w:szCs w:val="20"/>
                <w:color w:val="auto"/>
              </w:rPr>
            </w:pPr>
            <w:r>
              <w:rPr>
                <w:rFonts w:ascii="Arial" w:cs="Arial" w:eastAsia="Arial" w:hAnsi="Arial"/>
                <w:sz w:val="18"/>
                <w:szCs w:val="18"/>
                <w:color w:val="auto"/>
              </w:rPr>
              <w:t>2,669,708</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39,139</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12,390</w:t>
            </w:r>
          </w:p>
        </w:tc>
        <w:tc>
          <w:tcPr>
            <w:tcW w:w="900" w:type="dxa"/>
            <w:vAlign w:val="bottom"/>
          </w:tcPr>
          <w:p>
            <w:pPr>
              <w:jc w:val="right"/>
              <w:spacing w:after="0"/>
              <w:rPr>
                <w:sz w:val="20"/>
                <w:szCs w:val="20"/>
                <w:color w:val="auto"/>
              </w:rPr>
            </w:pPr>
            <w:r>
              <w:rPr>
                <w:rFonts w:ascii="Arial" w:cs="Arial" w:eastAsia="Arial" w:hAnsi="Arial"/>
                <w:sz w:val="18"/>
                <w:szCs w:val="18"/>
                <w:color w:val="auto"/>
              </w:rPr>
              <w:t>2,721,238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3,232,679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26,501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4,452</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21,381</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85,715,365</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928,679</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298,449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68,591</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662,059</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848,855</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88,521,998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Accruing</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loans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Accruing</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acquired at</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loans past</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a discount</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due 90</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past due</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7"/>
              </w:rPr>
              <w:t>30-89 Days</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days or</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90 days</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Purchased</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860" w:type="dxa"/>
            <w:vAlign w:val="bottom"/>
            <w:vMerge w:val="restart"/>
          </w:tcPr>
          <w:p>
            <w:pPr>
              <w:spacing w:after="0"/>
              <w:rPr>
                <w:sz w:val="20"/>
                <w:szCs w:val="20"/>
                <w:color w:val="auto"/>
              </w:rPr>
            </w:pPr>
            <w:r>
              <w:rPr>
                <w:rFonts w:ascii="Arial" w:cs="Arial" w:eastAsia="Arial" w:hAnsi="Arial"/>
                <w:sz w:val="14"/>
                <w:szCs w:val="14"/>
                <w:color w:val="auto"/>
              </w:rPr>
              <w:t>December 31, 2015</w:t>
            </w:r>
          </w:p>
        </w:tc>
        <w:tc>
          <w:tcPr>
            <w:tcW w:w="1120" w:type="dxa"/>
            <w:vAlign w:val="bottom"/>
            <w:gridSpan w:val="3"/>
          </w:tcPr>
          <w:p>
            <w:pPr>
              <w:ind w:left="240"/>
              <w:spacing w:after="0"/>
              <w:rPr>
                <w:sz w:val="20"/>
                <w:szCs w:val="20"/>
                <w:color w:val="auto"/>
              </w:rPr>
            </w:pPr>
            <w:r>
              <w:rPr>
                <w:rFonts w:ascii="Arial" w:cs="Arial" w:eastAsia="Arial" w:hAnsi="Arial"/>
                <w:sz w:val="14"/>
                <w:szCs w:val="14"/>
                <w:color w:val="auto"/>
              </w:rPr>
              <w:t>Current</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past due</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more(a)</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or more(b)</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impaired(c)</w:t>
            </w:r>
          </w:p>
        </w:tc>
        <w:tc>
          <w:tcPr>
            <w:tcW w:w="880" w:type="dxa"/>
            <w:vAlign w:val="bottom"/>
            <w:gridSpan w:val="2"/>
          </w:tcPr>
          <w:p>
            <w:pPr>
              <w:spacing w:after="0"/>
              <w:rPr>
                <w:sz w:val="20"/>
                <w:szCs w:val="20"/>
                <w:color w:val="auto"/>
              </w:rPr>
            </w:pPr>
            <w:r>
              <w:rPr>
                <w:rFonts w:ascii="Arial" w:cs="Arial" w:eastAsia="Arial" w:hAnsi="Arial"/>
                <w:sz w:val="14"/>
                <w:szCs w:val="14"/>
                <w:color w:val="auto"/>
              </w:rPr>
              <w:t>Nonaccrual</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4860" w:type="dxa"/>
            <w:vAlign w:val="bottom"/>
            <w:vMerge w:val="continue"/>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$20,122,648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52,868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241,917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$20,422,338</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Real estate:</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(d)</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23,111,673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172,439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12,963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46,790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179,606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23,532,261</w:t>
            </w: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Residential builder and developer</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1,507,856</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7,969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5,760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6,925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28,734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28,429</w:t>
            </w:r>
          </w:p>
        </w:tc>
        <w:tc>
          <w:tcPr>
            <w:tcW w:w="900" w:type="dxa"/>
            <w:vAlign w:val="bottom"/>
          </w:tcPr>
          <w:p>
            <w:pPr>
              <w:jc w:val="right"/>
              <w:spacing w:after="0"/>
              <w:rPr>
                <w:sz w:val="20"/>
                <w:szCs w:val="20"/>
                <w:color w:val="auto"/>
              </w:rPr>
            </w:pPr>
            <w:r>
              <w:rPr>
                <w:rFonts w:ascii="Arial" w:cs="Arial" w:eastAsia="Arial" w:hAnsi="Arial"/>
                <w:sz w:val="18"/>
                <w:szCs w:val="18"/>
                <w:color w:val="auto"/>
              </w:rPr>
              <w:t>1,585,673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commercial construction (d)</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3,962,620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65,932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24,525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16,363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20,507,551</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560,312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284,451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16,079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488,599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153,281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22,010,273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Residential-limited documentation</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3,885,073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137,289</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175,518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Consumer:</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5,805,222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45,604</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15,222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84,467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Automobile</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2,446,473</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56,181</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16,597</w:t>
            </w:r>
          </w:p>
        </w:tc>
        <w:tc>
          <w:tcPr>
            <w:tcW w:w="900" w:type="dxa"/>
            <w:vAlign w:val="bottom"/>
          </w:tcPr>
          <w:p>
            <w:pPr>
              <w:jc w:val="right"/>
              <w:spacing w:after="0"/>
              <w:rPr>
                <w:sz w:val="20"/>
                <w:szCs w:val="20"/>
                <w:color w:val="auto"/>
              </w:rPr>
            </w:pPr>
            <w:r>
              <w:rPr>
                <w:rFonts w:ascii="Arial" w:cs="Arial" w:eastAsia="Arial" w:hAnsi="Arial"/>
                <w:sz w:val="18"/>
                <w:szCs w:val="18"/>
                <w:color w:val="auto"/>
              </w:rPr>
              <w:t>2,519,257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3,051,435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36,702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18,757</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84,400,551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1,135,296</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317,441</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68,473</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768,329</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799,409</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87,489,499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w:t>
      </w:r>
    </w:p>
    <w:p>
      <w:pPr>
        <w:spacing w:after="0" w:line="23" w:lineRule="exact"/>
        <w:rPr>
          <w:rFonts w:ascii="Arial" w:cs="Arial" w:eastAsia="Arial" w:hAnsi="Arial"/>
          <w:sz w:val="18"/>
          <w:szCs w:val="18"/>
          <w:i w:val="1"/>
          <w:iCs w:val="1"/>
          <w:color w:val="auto"/>
        </w:rPr>
      </w:pPr>
    </w:p>
    <w:p>
      <w:pPr>
        <w:ind w:left="460" w:right="360" w:hanging="452"/>
        <w:spacing w:after="0" w:line="250" w:lineRule="auto"/>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9" w:lineRule="exact"/>
        <w:rPr>
          <w:rFonts w:ascii="Arial" w:cs="Arial" w:eastAsia="Arial" w:hAnsi="Arial"/>
          <w:sz w:val="18"/>
          <w:szCs w:val="18"/>
          <w:i w:val="1"/>
          <w:iCs w:val="1"/>
          <w:color w:val="auto"/>
        </w:rPr>
      </w:pPr>
    </w:p>
    <w:p>
      <w:pPr>
        <w:ind w:left="460" w:right="380" w:hanging="452"/>
        <w:spacing w:after="0" w:line="261" w:lineRule="auto"/>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 expanded its definition of construction loans in 2016 and, as a result, re-characterized certain commercial real estate loans as other commercial construction loans. The December 31, 2015 balances reflect such changes.</w:t>
      </w:r>
    </w:p>
    <w:p>
      <w:pPr>
        <w:spacing w:after="0" w:line="184" w:lineRule="exact"/>
        <w:rPr>
          <w:sz w:val="20"/>
          <w:szCs w:val="20"/>
          <w:color w:val="auto"/>
        </w:rPr>
      </w:pPr>
    </w:p>
    <w:p>
      <w:pPr>
        <w:ind w:right="1020" w:firstLine="456"/>
        <w:spacing w:after="0" w:line="308" w:lineRule="auto"/>
        <w:rPr>
          <w:sz w:val="20"/>
          <w:szCs w:val="20"/>
          <w:color w:val="auto"/>
        </w:rPr>
      </w:pPr>
      <w:r>
        <w:rPr>
          <w:rFonts w:ascii="Arial" w:cs="Arial" w:eastAsia="Arial" w:hAnsi="Arial"/>
          <w:sz w:val="17"/>
          <w:szCs w:val="17"/>
          <w:color w:val="auto"/>
        </w:rPr>
        <w:t>One-to-four family residential mortgage loans held for sale were $374 million and $353 million at June 30, 2016 and December 31, 2015, respectively. Commercial mortgage loans held for sale were $228 million at June 30, 2016 and $39 million at December 31, 2015.</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three months ended June 30, 2016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Commercial,</w:t>
            </w:r>
          </w:p>
        </w:tc>
        <w:tc>
          <w:tcPr>
            <w:tcW w:w="1980" w:type="dxa"/>
            <w:vAlign w:val="bottom"/>
            <w:gridSpan w:val="4"/>
            <w:vMerge w:val="restart"/>
          </w:tcPr>
          <w:p>
            <w:pPr>
              <w:jc w:val="right"/>
              <w:ind w:right="820"/>
              <w:spacing w:after="0"/>
              <w:rPr>
                <w:sz w:val="20"/>
                <w:szCs w:val="20"/>
                <w:color w:val="auto"/>
              </w:rPr>
            </w:pPr>
            <w:r>
              <w:rPr>
                <w:rFonts w:ascii="Arial" w:cs="Arial" w:eastAsia="Arial" w:hAnsi="Arial"/>
                <w:sz w:val="14"/>
                <w:szCs w:val="14"/>
                <w:color w:val="auto"/>
              </w:rPr>
              <w:t>Real Estate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37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0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96"/>
              </w:rPr>
              <w:t>Financial,</w:t>
            </w:r>
          </w:p>
        </w:tc>
        <w:tc>
          <w:tcPr>
            <w:tcW w:w="1980" w:type="dxa"/>
            <w:vAlign w:val="bottom"/>
            <w:gridSpan w:val="4"/>
            <w:vMerge w:val="continue"/>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Leasing, etc.</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Commercial</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w w:val="92"/>
              </w:rPr>
              <w:t>Residential</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Unallocated</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4"/>
          </w:tcPr>
          <w:p>
            <w:pPr>
              <w:jc w:val="right"/>
              <w:ind w:right="74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7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$ 323,866</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331,985</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68,371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160,819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$962,752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960" w:type="dxa"/>
            <w:vAlign w:val="bottom"/>
            <w:gridSpan w:val="3"/>
          </w:tcPr>
          <w:p>
            <w:pPr>
              <w:jc w:val="right"/>
              <w:ind w:right="260"/>
              <w:spacing w:after="0"/>
              <w:rPr>
                <w:sz w:val="20"/>
                <w:szCs w:val="20"/>
                <w:color w:val="auto"/>
              </w:rPr>
            </w:pPr>
            <w:r>
              <w:rPr>
                <w:rFonts w:ascii="Arial" w:cs="Arial" w:eastAsia="Arial" w:hAnsi="Arial"/>
                <w:sz w:val="18"/>
                <w:szCs w:val="18"/>
                <w:color w:val="auto"/>
              </w:rPr>
              <w:t>(10,919)</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15,823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4,404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22,681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2960" w:type="dxa"/>
            <w:vAlign w:val="bottom"/>
            <w:gridSpan w:val="3"/>
          </w:tcPr>
          <w:p>
            <w:pPr>
              <w:jc w:val="right"/>
              <w:ind w:right="260"/>
              <w:spacing w:after="0"/>
              <w:rPr>
                <w:sz w:val="20"/>
                <w:szCs w:val="20"/>
                <w:color w:val="auto"/>
              </w:rPr>
            </w:pPr>
            <w:r>
              <w:rPr>
                <w:rFonts w:ascii="Arial" w:cs="Arial" w:eastAsia="Arial" w:hAnsi="Arial"/>
                <w:sz w:val="18"/>
                <w:szCs w:val="18"/>
                <w:color w:val="auto"/>
              </w:rPr>
              <w:t>(7,487)</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(733)</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(5,090)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(33,560)</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(46,870)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2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10,619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7,421</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22,614</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9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(26,139)</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$ 316,079</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349,674</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69,660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157,361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77,722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970,496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40" w:type="dxa"/>
            <w:vAlign w:val="bottom"/>
            <w:gridSpan w:val="2"/>
          </w:tcPr>
          <w:p>
            <w:pPr>
              <w:jc w:val="right"/>
              <w:ind w:right="424"/>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Changes in the allowance for credit losses for the three months ended June 30, 2015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Commercial,</w:t>
            </w:r>
          </w:p>
        </w:tc>
        <w:tc>
          <w:tcPr>
            <w:tcW w:w="1980" w:type="dxa"/>
            <w:vAlign w:val="bottom"/>
            <w:gridSpan w:val="4"/>
            <w:vMerge w:val="restart"/>
          </w:tcPr>
          <w:p>
            <w:pPr>
              <w:jc w:val="right"/>
              <w:ind w:right="820"/>
              <w:spacing w:after="0"/>
              <w:rPr>
                <w:sz w:val="20"/>
                <w:szCs w:val="20"/>
                <w:color w:val="auto"/>
              </w:rPr>
            </w:pPr>
            <w:r>
              <w:rPr>
                <w:rFonts w:ascii="Arial" w:cs="Arial" w:eastAsia="Arial" w:hAnsi="Arial"/>
                <w:sz w:val="14"/>
                <w:szCs w:val="14"/>
                <w:color w:val="auto"/>
              </w:rPr>
              <w:t>Real Estate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5600" w:type="dxa"/>
            <w:vAlign w:val="bottom"/>
          </w:tcPr>
          <w:p>
            <w:pPr>
              <w:spacing w:after="0"/>
              <w:rPr>
                <w:sz w:val="6"/>
                <w:szCs w:val="6"/>
                <w:color w:val="auto"/>
              </w:rPr>
            </w:pPr>
          </w:p>
        </w:tc>
        <w:tc>
          <w:tcPr>
            <w:tcW w:w="10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96"/>
              </w:rPr>
              <w:t>Financial,</w:t>
            </w:r>
          </w:p>
        </w:tc>
        <w:tc>
          <w:tcPr>
            <w:tcW w:w="1980" w:type="dxa"/>
            <w:vAlign w:val="bottom"/>
            <w:gridSpan w:val="4"/>
            <w:vMerge w:val="continue"/>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Leasing, etc.</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Commercial</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w w:val="92"/>
              </w:rPr>
              <w:t>Residential</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Unallocated</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4"/>
          </w:tcPr>
          <w:p>
            <w:pPr>
              <w:jc w:val="right"/>
              <w:ind w:right="74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$ 281,069</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317,375</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60,741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186,052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76,136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$921,373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740" w:type="dxa"/>
            <w:vAlign w:val="bottom"/>
          </w:tcPr>
          <w:p>
            <w:pPr>
              <w:jc w:val="right"/>
              <w:spacing w:after="0"/>
              <w:rPr>
                <w:sz w:val="20"/>
                <w:szCs w:val="20"/>
                <w:color w:val="auto"/>
              </w:rPr>
            </w:pPr>
            <w:r>
              <w:rPr>
                <w:rFonts w:ascii="Arial" w:cs="Arial" w:eastAsia="Arial" w:hAnsi="Arial"/>
                <w:sz w:val="18"/>
                <w:szCs w:val="18"/>
                <w:color w:val="auto"/>
              </w:rPr>
              <w:t>9,737</w:t>
            </w:r>
          </w:p>
        </w:tc>
        <w:tc>
          <w:tcPr>
            <w:tcW w:w="3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(3,652)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1,624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21,016</w:t>
            </w:r>
          </w:p>
        </w:tc>
        <w:tc>
          <w:tcPr>
            <w:tcW w:w="700" w:type="dxa"/>
            <w:vAlign w:val="bottom"/>
          </w:tcPr>
          <w:p>
            <w:pPr>
              <w:jc w:val="right"/>
              <w:spacing w:after="0"/>
              <w:rPr>
                <w:sz w:val="20"/>
                <w:szCs w:val="20"/>
                <w:color w:val="auto"/>
              </w:rPr>
            </w:pPr>
            <w:r>
              <w:rPr>
                <w:rFonts w:ascii="Arial" w:cs="Arial" w:eastAsia="Arial" w:hAnsi="Arial"/>
                <w:sz w:val="18"/>
                <w:szCs w:val="18"/>
                <w:color w:val="auto"/>
              </w:rPr>
              <w:t>1,275</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(7,728)</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(3,470)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(3,309)</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(18,455)</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5,625</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11,576</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(4,056)</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(12,830)</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$ 286,750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311,294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60,294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194,238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929,987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six months ended June 30, 2016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Commercial,</w:t>
            </w:r>
          </w:p>
        </w:tc>
        <w:tc>
          <w:tcPr>
            <w:tcW w:w="1980" w:type="dxa"/>
            <w:vAlign w:val="bottom"/>
            <w:gridSpan w:val="4"/>
            <w:vMerge w:val="restart"/>
          </w:tcPr>
          <w:p>
            <w:pPr>
              <w:jc w:val="right"/>
              <w:ind w:right="82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5520" w:type="dxa"/>
            <w:vAlign w:val="bottom"/>
          </w:tcPr>
          <w:p>
            <w:pPr>
              <w:spacing w:after="0"/>
              <w:rPr>
                <w:sz w:val="6"/>
                <w:szCs w:val="6"/>
                <w:color w:val="auto"/>
              </w:rPr>
            </w:pPr>
          </w:p>
        </w:tc>
        <w:tc>
          <w:tcPr>
            <w:tcW w:w="10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93"/>
              </w:rPr>
              <w:t>Financial,</w:t>
            </w:r>
          </w:p>
        </w:tc>
        <w:tc>
          <w:tcPr>
            <w:tcW w:w="1980" w:type="dxa"/>
            <w:vAlign w:val="bottom"/>
            <w:gridSpan w:val="4"/>
            <w:vMerge w:val="continue"/>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55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Leasing, etc.</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w w:val="91"/>
              </w:rPr>
              <w:t>Commercial</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w w:val="89"/>
              </w:rPr>
              <w:t>Residential</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Unallocated</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$ 300,404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326,831</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72,238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178,320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78,199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$ 955,992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13,445</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19,836</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5,622</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42,574</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(477)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(13,636)</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(2,005)</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(12,062)</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(77,879)</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(105,582)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15,866</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5,012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3,862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14,346</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39,086</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(8,200)</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(63,533)</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$ 316,079</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349,674</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69,660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157,361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77,722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$ 970,496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six months ended June 30, 2015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Commercial,</w:t>
            </w:r>
          </w:p>
        </w:tc>
        <w:tc>
          <w:tcPr>
            <w:tcW w:w="1980" w:type="dxa"/>
            <w:vAlign w:val="bottom"/>
            <w:gridSpan w:val="4"/>
            <w:vMerge w:val="restart"/>
          </w:tcPr>
          <w:p>
            <w:pPr>
              <w:jc w:val="right"/>
              <w:ind w:right="820"/>
              <w:spacing w:after="0"/>
              <w:rPr>
                <w:sz w:val="20"/>
                <w:szCs w:val="20"/>
                <w:color w:val="auto"/>
              </w:rPr>
            </w:pPr>
            <w:r>
              <w:rPr>
                <w:rFonts w:ascii="Arial" w:cs="Arial" w:eastAsia="Arial" w:hAnsi="Arial"/>
                <w:sz w:val="14"/>
                <w:szCs w:val="14"/>
                <w:color w:val="auto"/>
              </w:rPr>
              <w:t>Real Estate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5600" w:type="dxa"/>
            <w:vAlign w:val="bottom"/>
          </w:tcPr>
          <w:p>
            <w:pPr>
              <w:spacing w:after="0"/>
              <w:rPr>
                <w:sz w:val="6"/>
                <w:szCs w:val="6"/>
                <w:color w:val="auto"/>
              </w:rPr>
            </w:pPr>
          </w:p>
        </w:tc>
        <w:tc>
          <w:tcPr>
            <w:tcW w:w="10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96"/>
              </w:rPr>
              <w:t>Financial,</w:t>
            </w:r>
          </w:p>
        </w:tc>
        <w:tc>
          <w:tcPr>
            <w:tcW w:w="1980" w:type="dxa"/>
            <w:vAlign w:val="bottom"/>
            <w:gridSpan w:val="4"/>
            <w:vMerge w:val="continue"/>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Leasing, etc.</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Commercial</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w w:val="92"/>
              </w:rPr>
              <w:t>Residential</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Unallocated</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4"/>
          </w:tcPr>
          <w:p>
            <w:pPr>
              <w:jc w:val="right"/>
              <w:ind w:right="74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$ 288,038</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307,927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61,910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186,033</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75,654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$919,562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740" w:type="dxa"/>
            <w:vAlign w:val="bottom"/>
          </w:tcPr>
          <w:p>
            <w:pPr>
              <w:jc w:val="right"/>
              <w:spacing w:after="0"/>
              <w:rPr>
                <w:sz w:val="20"/>
                <w:szCs w:val="20"/>
                <w:color w:val="auto"/>
              </w:rPr>
            </w:pPr>
            <w:r>
              <w:rPr>
                <w:rFonts w:ascii="Arial" w:cs="Arial" w:eastAsia="Arial" w:hAnsi="Arial"/>
                <w:sz w:val="18"/>
                <w:szCs w:val="18"/>
                <w:color w:val="auto"/>
              </w:rPr>
              <w:t>11,179</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11,890</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2,584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40,590</w:t>
            </w:r>
          </w:p>
        </w:tc>
        <w:tc>
          <w:tcPr>
            <w:tcW w:w="700" w:type="dxa"/>
            <w:vAlign w:val="bottom"/>
          </w:tcPr>
          <w:p>
            <w:pPr>
              <w:jc w:val="right"/>
              <w:spacing w:after="0"/>
              <w:rPr>
                <w:sz w:val="20"/>
                <w:szCs w:val="20"/>
                <w:color w:val="auto"/>
              </w:rPr>
            </w:pPr>
            <w:r>
              <w:rPr>
                <w:rFonts w:ascii="Arial" w:cs="Arial" w:eastAsia="Arial" w:hAnsi="Arial"/>
                <w:sz w:val="18"/>
                <w:szCs w:val="18"/>
                <w:color w:val="auto"/>
              </w:rPr>
              <w:t>1,757</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(20,078)</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(10,149)</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(6,427)</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(43,784)</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(80,438)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11,399</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22,863</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(12,467)</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(8,523)</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(4,200)</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(32,385)</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$ 286,750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311,294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60,294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194,238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929,987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360"/>
        <w:spacing w:after="0" w:line="449" w:lineRule="auto"/>
        <w:rPr>
          <w:sz w:val="20"/>
          <w:szCs w:val="20"/>
          <w:color w:val="auto"/>
        </w:rPr>
      </w:pPr>
      <w:r>
        <w:rPr>
          <w:rFonts w:ascii="Arial" w:cs="Arial" w:eastAsia="Arial" w:hAnsi="Arial"/>
          <w:sz w:val="18"/>
          <w:szCs w:val="18"/>
          <w:color w:val="auto"/>
        </w:rPr>
        <w:t>Despite the above allocation, the allowance for credit losses is general in nature and is available to absorb losses from any loan or lease type. -16-</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loan-by-loan analysis of larger balance commercial loans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 time. Except for consumer and residential real estate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tables provide information with respect to loans and leases that were considered impaired as of June 30, 2016 and December 31, 2015 and for the three-month and six-month periods ended June 30, 2016 and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color w:val="auto"/>
              </w:rPr>
              <w:t>June 30, 2016</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6"/>
          </w:tcPr>
          <w:p>
            <w:pPr>
              <w:jc w:val="right"/>
              <w:ind w:right="680"/>
              <w:spacing w:after="0"/>
              <w:rPr>
                <w:sz w:val="20"/>
                <w:szCs w:val="20"/>
                <w:color w:val="auto"/>
              </w:rPr>
            </w:pPr>
            <w:r>
              <w:rPr>
                <w:rFonts w:ascii="Arial" w:cs="Arial" w:eastAsia="Arial" w:hAnsi="Arial"/>
                <w:sz w:val="14"/>
                <w:szCs w:val="14"/>
                <w:color w:val="auto"/>
              </w:rPr>
              <w:t>December 31, 2015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200"/>
              <w:spacing w:after="0" w:line="123" w:lineRule="exact"/>
              <w:rPr>
                <w:sz w:val="20"/>
                <w:szCs w:val="20"/>
                <w:color w:val="auto"/>
              </w:rPr>
            </w:pPr>
            <w:r>
              <w:rPr>
                <w:rFonts w:ascii="Arial" w:cs="Arial" w:eastAsia="Arial" w:hAnsi="Arial"/>
                <w:sz w:val="14"/>
                <w:szCs w:val="14"/>
                <w:color w:val="auto"/>
                <w:w w:val="94"/>
              </w:rPr>
              <w:t>Unpaid</w:t>
            </w: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200"/>
              <w:spacing w:after="0" w:line="123" w:lineRule="exact"/>
              <w:rPr>
                <w:sz w:val="20"/>
                <w:szCs w:val="20"/>
                <w:color w:val="auto"/>
              </w:rPr>
            </w:pPr>
            <w:r>
              <w:rPr>
                <w:rFonts w:ascii="Arial" w:cs="Arial" w:eastAsia="Arial" w:hAnsi="Arial"/>
                <w:sz w:val="14"/>
                <w:szCs w:val="14"/>
                <w:color w:val="auto"/>
                <w:w w:val="94"/>
              </w:rPr>
              <w:t>Unpaid</w:t>
            </w: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Recorded</w:t>
            </w:r>
          </w:p>
        </w:tc>
        <w:tc>
          <w:tcPr>
            <w:tcW w:w="16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principal</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Related</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Recorded</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principal</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4"/>
                <w:szCs w:val="14"/>
                <w:color w:val="auto"/>
                <w:w w:val="94"/>
              </w:rPr>
              <w:t>investment</w:t>
            </w:r>
          </w:p>
        </w:tc>
        <w:tc>
          <w:tcPr>
            <w:tcW w:w="16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balance</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allowance</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investment</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balance</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ind w:left="26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Commercial, financial, leasing, etc.</w:t>
            </w:r>
          </w:p>
        </w:tc>
        <w:tc>
          <w:tcPr>
            <w:tcW w:w="2820" w:type="dxa"/>
            <w:vAlign w:val="bottom"/>
            <w:gridSpan w:val="3"/>
          </w:tcPr>
          <w:p>
            <w:pPr>
              <w:jc w:val="right"/>
              <w:ind w:right="40"/>
              <w:spacing w:after="0"/>
              <w:rPr>
                <w:sz w:val="20"/>
                <w:szCs w:val="20"/>
                <w:color w:val="auto"/>
              </w:rPr>
            </w:pPr>
            <w:r>
              <w:rPr>
                <w:rFonts w:ascii="Arial" w:cs="Arial" w:eastAsia="Arial" w:hAnsi="Arial"/>
                <w:sz w:val="18"/>
                <w:szCs w:val="18"/>
                <w:color w:val="auto"/>
              </w:rPr>
              <w:t>$196,990</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219,662</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50,010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179,037</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195,821</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Commercial</w:t>
            </w:r>
          </w:p>
        </w:tc>
        <w:tc>
          <w:tcPr>
            <w:tcW w:w="2820" w:type="dxa"/>
            <w:vAlign w:val="bottom"/>
            <w:gridSpan w:val="3"/>
          </w:tcPr>
          <w:p>
            <w:pPr>
              <w:jc w:val="right"/>
              <w:ind w:right="40"/>
              <w:spacing w:after="0"/>
              <w:rPr>
                <w:sz w:val="20"/>
                <w:szCs w:val="20"/>
                <w:color w:val="auto"/>
              </w:rPr>
            </w:pPr>
            <w:r>
              <w:rPr>
                <w:rFonts w:ascii="Arial" w:cs="Arial" w:eastAsia="Arial" w:hAnsi="Arial"/>
                <w:sz w:val="18"/>
                <w:szCs w:val="18"/>
                <w:color w:val="auto"/>
              </w:rPr>
              <w:t>79,748</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89,051</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16,562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85,974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95,855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builder and developer</w:t>
            </w:r>
          </w:p>
        </w:tc>
        <w:tc>
          <w:tcPr>
            <w:tcW w:w="2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6,854</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7,788</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Other commercial construction</w:t>
            </w:r>
          </w:p>
        </w:tc>
        <w:tc>
          <w:tcPr>
            <w:tcW w:w="2820" w:type="dxa"/>
            <w:vAlign w:val="bottom"/>
            <w:gridSpan w:val="3"/>
          </w:tcPr>
          <w:p>
            <w:pPr>
              <w:jc w:val="right"/>
              <w:ind w:right="40"/>
              <w:spacing w:after="0"/>
              <w:rPr>
                <w:sz w:val="20"/>
                <w:szCs w:val="20"/>
                <w:color w:val="auto"/>
              </w:rPr>
            </w:pPr>
            <w:r>
              <w:rPr>
                <w:rFonts w:ascii="Arial" w:cs="Arial" w:eastAsia="Arial" w:hAnsi="Arial"/>
                <w:sz w:val="18"/>
                <w:szCs w:val="18"/>
                <w:color w:val="auto"/>
              </w:rPr>
              <w:t>3,312</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3,731</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1,223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3,548</w:t>
            </w:r>
          </w:p>
        </w:tc>
        <w:tc>
          <w:tcPr>
            <w:tcW w:w="640" w:type="dxa"/>
            <w:vAlign w:val="bottom"/>
          </w:tcPr>
          <w:p>
            <w:pPr>
              <w:jc w:val="right"/>
              <w:spacing w:after="0"/>
              <w:rPr>
                <w:sz w:val="20"/>
                <w:szCs w:val="20"/>
                <w:color w:val="auto"/>
              </w:rPr>
            </w:pPr>
            <w:r>
              <w:rPr>
                <w:rFonts w:ascii="Arial" w:cs="Arial" w:eastAsia="Arial" w:hAnsi="Arial"/>
                <w:sz w:val="18"/>
                <w:szCs w:val="18"/>
                <w:color w:val="auto"/>
              </w:rPr>
              <w:t>3,843</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w:t>
            </w:r>
          </w:p>
        </w:tc>
        <w:tc>
          <w:tcPr>
            <w:tcW w:w="2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77,975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96,157</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79,558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96,751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Residential-limited documentation</w:t>
            </w:r>
          </w:p>
        </w:tc>
        <w:tc>
          <w:tcPr>
            <w:tcW w:w="2820" w:type="dxa"/>
            <w:vAlign w:val="bottom"/>
            <w:gridSpan w:val="3"/>
          </w:tcPr>
          <w:p>
            <w:pPr>
              <w:jc w:val="right"/>
              <w:ind w:right="40"/>
              <w:spacing w:after="0"/>
              <w:rPr>
                <w:sz w:val="20"/>
                <w:szCs w:val="20"/>
                <w:color w:val="auto"/>
              </w:rPr>
            </w:pPr>
            <w:r>
              <w:rPr>
                <w:rFonts w:ascii="Arial" w:cs="Arial" w:eastAsia="Arial" w:hAnsi="Arial"/>
                <w:sz w:val="18"/>
                <w:szCs w:val="18"/>
                <w:color w:val="auto"/>
              </w:rPr>
              <w:t>85,201</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98,607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6,700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90,356</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104,251</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Home equity lines and loans</w:t>
            </w:r>
          </w:p>
        </w:tc>
        <w:tc>
          <w:tcPr>
            <w:tcW w:w="2820" w:type="dxa"/>
            <w:vAlign w:val="bottom"/>
            <w:gridSpan w:val="3"/>
          </w:tcPr>
          <w:p>
            <w:pPr>
              <w:jc w:val="right"/>
              <w:ind w:right="40"/>
              <w:spacing w:after="0"/>
              <w:rPr>
                <w:sz w:val="20"/>
                <w:szCs w:val="20"/>
                <w:color w:val="auto"/>
              </w:rPr>
            </w:pPr>
            <w:r>
              <w:rPr>
                <w:rFonts w:ascii="Arial" w:cs="Arial" w:eastAsia="Arial" w:hAnsi="Arial"/>
                <w:sz w:val="18"/>
                <w:szCs w:val="18"/>
                <w:color w:val="auto"/>
              </w:rPr>
              <w:t>40,004</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40,914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7,421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25,220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26,195</w:t>
            </w:r>
          </w:p>
        </w:tc>
        <w:tc>
          <w:tcPr>
            <w:tcW w:w="580" w:type="dxa"/>
            <w:vAlign w:val="bottom"/>
          </w:tcPr>
          <w:p>
            <w:pPr>
              <w:jc w:val="right"/>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Automobile</w:t>
            </w:r>
          </w:p>
        </w:tc>
        <w:tc>
          <w:tcPr>
            <w:tcW w:w="2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19,137</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19,137</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22,525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4,426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4,426</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940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17,620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17,620</w:t>
            </w:r>
          </w:p>
        </w:tc>
        <w:tc>
          <w:tcPr>
            <w:tcW w:w="580" w:type="dxa"/>
            <w:vAlign w:val="bottom"/>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579,473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90,796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507,154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567,962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90,093</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2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financial, leasing, etc.</w:t>
            </w:r>
          </w:p>
        </w:tc>
        <w:tc>
          <w:tcPr>
            <w:tcW w:w="2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74,409</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83,632</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93,190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110,735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Real estate:</w:t>
            </w:r>
          </w:p>
        </w:tc>
        <w:tc>
          <w:tcPr>
            <w:tcW w:w="2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w:t>
            </w:r>
          </w:p>
        </w:tc>
        <w:tc>
          <w:tcPr>
            <w:tcW w:w="2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101,949</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118,540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101,340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116,230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Residential builder and developer</w:t>
            </w:r>
          </w:p>
        </w:tc>
        <w:tc>
          <w:tcPr>
            <w:tcW w:w="2820" w:type="dxa"/>
            <w:vAlign w:val="bottom"/>
            <w:gridSpan w:val="3"/>
          </w:tcPr>
          <w:p>
            <w:pPr>
              <w:jc w:val="right"/>
              <w:ind w:right="40"/>
              <w:spacing w:after="0"/>
              <w:rPr>
                <w:sz w:val="20"/>
                <w:szCs w:val="20"/>
                <w:color w:val="auto"/>
              </w:rPr>
            </w:pPr>
            <w:r>
              <w:rPr>
                <w:rFonts w:ascii="Arial" w:cs="Arial" w:eastAsia="Arial" w:hAnsi="Arial"/>
                <w:sz w:val="18"/>
                <w:szCs w:val="18"/>
                <w:color w:val="auto"/>
              </w:rPr>
              <w:t>21,619</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30,837</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27,651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47,246</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commercial construction</w:t>
            </w:r>
          </w:p>
        </w:tc>
        <w:tc>
          <w:tcPr>
            <w:tcW w:w="2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18,334</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37,278</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13,221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31,477</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Residential</w:t>
            </w:r>
          </w:p>
        </w:tc>
        <w:tc>
          <w:tcPr>
            <w:tcW w:w="2820" w:type="dxa"/>
            <w:vAlign w:val="bottom"/>
            <w:gridSpan w:val="3"/>
          </w:tcPr>
          <w:p>
            <w:pPr>
              <w:jc w:val="right"/>
              <w:ind w:right="40"/>
              <w:spacing w:after="0"/>
              <w:rPr>
                <w:sz w:val="20"/>
                <w:szCs w:val="20"/>
                <w:color w:val="auto"/>
              </w:rPr>
            </w:pPr>
            <w:r>
              <w:rPr>
                <w:rFonts w:ascii="Arial" w:cs="Arial" w:eastAsia="Arial" w:hAnsi="Arial"/>
                <w:sz w:val="18"/>
                <w:szCs w:val="18"/>
                <w:color w:val="auto"/>
              </w:rPr>
              <w:t>18,945</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27,933</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19,621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30,940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Residential-limited documentation</w:t>
            </w:r>
          </w:p>
        </w:tc>
        <w:tc>
          <w:tcPr>
            <w:tcW w:w="2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17,790</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29,972</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31,113</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253,046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328,192</w:t>
            </w: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273,437</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367,741</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3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Commercial, financial, leasing, etc.</w:t>
            </w:r>
          </w:p>
        </w:tc>
        <w:tc>
          <w:tcPr>
            <w:tcW w:w="2820" w:type="dxa"/>
            <w:vAlign w:val="bottom"/>
            <w:gridSpan w:val="3"/>
          </w:tcPr>
          <w:p>
            <w:pPr>
              <w:jc w:val="right"/>
              <w:ind w:right="40"/>
              <w:spacing w:after="0"/>
              <w:rPr>
                <w:sz w:val="20"/>
                <w:szCs w:val="20"/>
                <w:color w:val="auto"/>
              </w:rPr>
            </w:pPr>
            <w:r>
              <w:rPr>
                <w:rFonts w:ascii="Arial" w:cs="Arial" w:eastAsia="Arial" w:hAnsi="Arial"/>
                <w:sz w:val="18"/>
                <w:szCs w:val="18"/>
                <w:color w:val="auto"/>
              </w:rPr>
              <w:t>271,399</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303,294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50,010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272,227</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306,556</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Commercial</w:t>
            </w:r>
          </w:p>
        </w:tc>
        <w:tc>
          <w:tcPr>
            <w:tcW w:w="2820" w:type="dxa"/>
            <w:vAlign w:val="bottom"/>
            <w:gridSpan w:val="3"/>
          </w:tcPr>
          <w:p>
            <w:pPr>
              <w:jc w:val="right"/>
              <w:ind w:right="40"/>
              <w:spacing w:after="0"/>
              <w:rPr>
                <w:sz w:val="20"/>
                <w:szCs w:val="20"/>
                <w:color w:val="auto"/>
              </w:rPr>
            </w:pPr>
            <w:r>
              <w:rPr>
                <w:rFonts w:ascii="Arial" w:cs="Arial" w:eastAsia="Arial" w:hAnsi="Arial"/>
                <w:sz w:val="18"/>
                <w:szCs w:val="18"/>
                <w:color w:val="auto"/>
              </w:rPr>
              <w:t>181,697</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207,591</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16,562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187,314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212,085</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builder and developer</w:t>
            </w:r>
          </w:p>
        </w:tc>
        <w:tc>
          <w:tcPr>
            <w:tcW w:w="2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28,473</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38,625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30,967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52,347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Other commercial construction</w:t>
            </w:r>
          </w:p>
        </w:tc>
        <w:tc>
          <w:tcPr>
            <w:tcW w:w="2820" w:type="dxa"/>
            <w:vAlign w:val="bottom"/>
            <w:gridSpan w:val="3"/>
          </w:tcPr>
          <w:p>
            <w:pPr>
              <w:jc w:val="right"/>
              <w:ind w:right="40"/>
              <w:spacing w:after="0"/>
              <w:rPr>
                <w:sz w:val="20"/>
                <w:szCs w:val="20"/>
                <w:color w:val="auto"/>
              </w:rPr>
            </w:pPr>
            <w:r>
              <w:rPr>
                <w:rFonts w:ascii="Arial" w:cs="Arial" w:eastAsia="Arial" w:hAnsi="Arial"/>
                <w:sz w:val="18"/>
                <w:szCs w:val="18"/>
                <w:color w:val="auto"/>
              </w:rPr>
              <w:t>21,646</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41,009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1,223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16,769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35,320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w:t>
            </w:r>
          </w:p>
        </w:tc>
        <w:tc>
          <w:tcPr>
            <w:tcW w:w="2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96,920</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124,090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99,179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127,691</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Residential-limited documentation</w:t>
            </w:r>
          </w:p>
        </w:tc>
        <w:tc>
          <w:tcPr>
            <w:tcW w:w="2820" w:type="dxa"/>
            <w:vAlign w:val="bottom"/>
            <w:gridSpan w:val="3"/>
          </w:tcPr>
          <w:p>
            <w:pPr>
              <w:jc w:val="right"/>
              <w:ind w:right="40"/>
              <w:spacing w:after="0"/>
              <w:rPr>
                <w:sz w:val="20"/>
                <w:szCs w:val="20"/>
                <w:color w:val="auto"/>
              </w:rPr>
            </w:pPr>
            <w:r>
              <w:rPr>
                <w:rFonts w:ascii="Arial" w:cs="Arial" w:eastAsia="Arial" w:hAnsi="Arial"/>
                <w:sz w:val="18"/>
                <w:szCs w:val="18"/>
                <w:color w:val="auto"/>
              </w:rPr>
              <w:t>102,991</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128,579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6,700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108,770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135,364</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Home equity lines and loans</w:t>
            </w:r>
          </w:p>
        </w:tc>
        <w:tc>
          <w:tcPr>
            <w:tcW w:w="2820" w:type="dxa"/>
            <w:vAlign w:val="bottom"/>
            <w:gridSpan w:val="3"/>
          </w:tcPr>
          <w:p>
            <w:pPr>
              <w:jc w:val="right"/>
              <w:ind w:right="40"/>
              <w:spacing w:after="0"/>
              <w:rPr>
                <w:sz w:val="20"/>
                <w:szCs w:val="20"/>
                <w:color w:val="auto"/>
              </w:rPr>
            </w:pPr>
            <w:r>
              <w:rPr>
                <w:rFonts w:ascii="Arial" w:cs="Arial" w:eastAsia="Arial" w:hAnsi="Arial"/>
                <w:sz w:val="18"/>
                <w:szCs w:val="18"/>
                <w:color w:val="auto"/>
              </w:rPr>
              <w:t>40,004</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40,914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7,421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25,220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26,195</w:t>
            </w:r>
          </w:p>
        </w:tc>
        <w:tc>
          <w:tcPr>
            <w:tcW w:w="580" w:type="dxa"/>
            <w:vAlign w:val="bottom"/>
          </w:tcPr>
          <w:p>
            <w:pPr>
              <w:jc w:val="right"/>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Automobile</w:t>
            </w:r>
          </w:p>
        </w:tc>
        <w:tc>
          <w:tcPr>
            <w:tcW w:w="2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19,137</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19,137</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22,525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4,426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4,426</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940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17,620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17,620</w:t>
            </w:r>
          </w:p>
        </w:tc>
        <w:tc>
          <w:tcPr>
            <w:tcW w:w="580" w:type="dxa"/>
            <w:vAlign w:val="bottom"/>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766,693</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907,665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90,796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780,591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935,703</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00" w:type="dxa"/>
            <w:vAlign w:val="bottom"/>
            <w:vMerge w:val="restart"/>
          </w:tcPr>
          <w:p>
            <w:pPr>
              <w:jc w:val="right"/>
              <w:ind w:right="550"/>
              <w:spacing w:after="0"/>
              <w:rPr>
                <w:sz w:val="20"/>
                <w:szCs w:val="20"/>
                <w:color w:val="auto"/>
              </w:rPr>
            </w:pPr>
            <w:r>
              <w:rPr>
                <w:rFonts w:ascii="Arial" w:cs="Arial" w:eastAsia="Arial" w:hAnsi="Arial"/>
                <w:sz w:val="18"/>
                <w:szCs w:val="18"/>
                <w:color w:val="auto"/>
              </w:rPr>
              <w:t>-18-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NOTES TO FINANCIAL STATEMENTS, CONTINUED</w:t>
            </w:r>
          </w:p>
        </w:tc>
        <w:tc>
          <w:tcPr>
            <w:tcW w:w="1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0"/>
                <w:szCs w:val="20"/>
                <w:color w:val="auto"/>
              </w:rPr>
            </w:pPr>
            <w:r>
              <w:rPr>
                <w:rFonts w:ascii="Arial" w:cs="Arial" w:eastAsia="Arial" w:hAnsi="Arial"/>
                <w:sz w:val="18"/>
                <w:szCs w:val="18"/>
                <w:b w:val="1"/>
                <w:bCs w:val="1"/>
                <w:color w:val="auto"/>
              </w:rPr>
              <w:t>4.</w:t>
            </w:r>
          </w:p>
        </w:tc>
        <w:tc>
          <w:tcPr>
            <w:tcW w:w="5160" w:type="dxa"/>
            <w:vAlign w:val="bottom"/>
          </w:tcPr>
          <w:p>
            <w:pPr>
              <w:ind w:left="200"/>
              <w:spacing w:after="0"/>
              <w:rPr>
                <w:sz w:val="20"/>
                <w:szCs w:val="20"/>
                <w:color w:val="auto"/>
              </w:rPr>
            </w:pPr>
            <w:r>
              <w:rPr>
                <w:rFonts w:ascii="Arial" w:cs="Arial" w:eastAsia="Arial" w:hAnsi="Arial"/>
                <w:sz w:val="18"/>
                <w:szCs w:val="18"/>
                <w:b w:val="1"/>
                <w:bCs w:val="1"/>
                <w:color w:val="auto"/>
                <w:w w:val="89"/>
              </w:rPr>
              <w:t>Loans and leases and the allowance for credit losses, continued</w:t>
            </w: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2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00" w:type="dxa"/>
            <w:vAlign w:val="bottom"/>
            <w:gridSpan w:val="6"/>
          </w:tcPr>
          <w:p>
            <w:pPr>
              <w:jc w:val="center"/>
              <w:ind w:left="404"/>
              <w:spacing w:after="0"/>
              <w:rPr>
                <w:sz w:val="20"/>
                <w:szCs w:val="20"/>
                <w:color w:val="auto"/>
              </w:rPr>
            </w:pPr>
            <w:r>
              <w:rPr>
                <w:rFonts w:ascii="Arial" w:cs="Arial" w:eastAsia="Arial" w:hAnsi="Arial"/>
                <w:sz w:val="14"/>
                <w:szCs w:val="14"/>
                <w:color w:val="auto"/>
                <w:w w:val="91"/>
              </w:rPr>
              <w:t>Three months ended</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5"/>
          </w:tcPr>
          <w:p>
            <w:pPr>
              <w:jc w:val="center"/>
              <w:ind w:left="336"/>
              <w:spacing w:after="0"/>
              <w:rPr>
                <w:sz w:val="20"/>
                <w:szCs w:val="20"/>
                <w:color w:val="auto"/>
              </w:rPr>
            </w:pPr>
            <w:r>
              <w:rPr>
                <w:rFonts w:ascii="Arial" w:cs="Arial" w:eastAsia="Arial" w:hAnsi="Arial"/>
                <w:sz w:val="14"/>
                <w:szCs w:val="14"/>
                <w:color w:val="auto"/>
                <w:w w:val="91"/>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color w:val="auto"/>
                <w:w w:val="90"/>
              </w:rPr>
              <w:t>June 30, 2016</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Borders>
              <w:bottom w:val="single" w:sz="8" w:color="auto"/>
            </w:tcBorders>
            <w:gridSpan w:val="5"/>
          </w:tcPr>
          <w:p>
            <w:pPr>
              <w:jc w:val="center"/>
              <w:ind w:left="356"/>
              <w:spacing w:after="0"/>
              <w:rPr>
                <w:sz w:val="20"/>
                <w:szCs w:val="20"/>
                <w:color w:val="auto"/>
              </w:rPr>
            </w:pPr>
            <w:r>
              <w:rPr>
                <w:rFonts w:ascii="Arial" w:cs="Arial" w:eastAsia="Arial" w:hAnsi="Arial"/>
                <w:sz w:val="14"/>
                <w:szCs w:val="14"/>
                <w:color w:val="auto"/>
                <w:w w:val="90"/>
              </w:rPr>
              <w:t>June 30, 2015</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6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1"/>
              </w:rPr>
              <w:t>Interest income</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1"/>
              </w:rPr>
              <w:t>Interest 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91"/>
              </w:rPr>
              <w:t>Average</w:t>
            </w:r>
          </w:p>
        </w:tc>
        <w:tc>
          <w:tcPr>
            <w:tcW w:w="180" w:type="dxa"/>
            <w:vAlign w:val="bottom"/>
          </w:tcPr>
          <w:p>
            <w:pPr>
              <w:spacing w:after="0"/>
              <w:rPr>
                <w:sz w:val="14"/>
                <w:szCs w:val="14"/>
                <w:color w:val="auto"/>
              </w:rPr>
            </w:pPr>
          </w:p>
        </w:tc>
        <w:tc>
          <w:tcPr>
            <w:tcW w:w="1520" w:type="dxa"/>
            <w:vAlign w:val="bottom"/>
            <w:gridSpan w:val="5"/>
          </w:tcPr>
          <w:p>
            <w:pPr>
              <w:jc w:val="center"/>
              <w:ind w:right="200"/>
              <w:spacing w:after="0"/>
              <w:rPr>
                <w:sz w:val="20"/>
                <w:szCs w:val="20"/>
                <w:color w:val="auto"/>
              </w:rPr>
            </w:pPr>
            <w:r>
              <w:rPr>
                <w:rFonts w:ascii="Arial" w:cs="Arial" w:eastAsia="Arial" w:hAnsi="Arial"/>
                <w:sz w:val="14"/>
                <w:szCs w:val="14"/>
                <w:color w:val="auto"/>
                <w:w w:val="93"/>
              </w:rPr>
              <w:t>recognized</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color w:val="auto"/>
              </w:rPr>
              <w:t>Average</w:t>
            </w:r>
          </w:p>
        </w:tc>
        <w:tc>
          <w:tcPr>
            <w:tcW w:w="1320" w:type="dxa"/>
            <w:vAlign w:val="bottom"/>
            <w:gridSpan w:val="5"/>
          </w:tcPr>
          <w:p>
            <w:pPr>
              <w:jc w:val="center"/>
              <w:ind w:right="80"/>
              <w:spacing w:after="0"/>
              <w:rPr>
                <w:sz w:val="20"/>
                <w:szCs w:val="20"/>
                <w:color w:val="auto"/>
              </w:rPr>
            </w:pPr>
            <w:r>
              <w:rPr>
                <w:rFonts w:ascii="Arial" w:cs="Arial" w:eastAsia="Arial" w:hAnsi="Arial"/>
                <w:sz w:val="14"/>
                <w:szCs w:val="14"/>
                <w:color w:val="auto"/>
                <w:w w:val="93"/>
              </w:rPr>
              <w:t>recognized</w:t>
            </w:r>
          </w:p>
        </w:tc>
        <w:tc>
          <w:tcPr>
            <w:tcW w:w="0" w:type="dxa"/>
            <w:vAlign w:val="bottom"/>
          </w:tcPr>
          <w:p>
            <w:pPr>
              <w:spacing w:after="0"/>
              <w:rPr>
                <w:sz w:val="1"/>
                <w:szCs w:val="1"/>
                <w:color w:val="auto"/>
              </w:rPr>
            </w:pPr>
          </w:p>
        </w:tc>
      </w:tr>
      <w:tr>
        <w:trPr>
          <w:trHeight w:val="110"/>
        </w:trPr>
        <w:tc>
          <w:tcPr>
            <w:tcW w:w="26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recorded</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Cash</w:t>
            </w:r>
          </w:p>
        </w:tc>
        <w:tc>
          <w:tcPr>
            <w:tcW w:w="8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recorded</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Cash</w:t>
            </w: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investment</w:t>
            </w:r>
          </w:p>
        </w:tc>
        <w:tc>
          <w:tcPr>
            <w:tcW w:w="180" w:type="dxa"/>
            <w:vAlign w:val="bottom"/>
          </w:tcPr>
          <w:p>
            <w:pPr>
              <w:spacing w:after="0"/>
              <w:rPr>
                <w:sz w:val="14"/>
                <w:szCs w:val="14"/>
                <w:color w:val="auto"/>
              </w:rPr>
            </w:pPr>
          </w:p>
        </w:tc>
        <w:tc>
          <w:tcPr>
            <w:tcW w:w="820" w:type="dxa"/>
            <w:vAlign w:val="bottom"/>
            <w:gridSpan w:val="3"/>
          </w:tcPr>
          <w:p>
            <w:pPr>
              <w:ind w:left="140"/>
              <w:spacing w:after="0"/>
              <w:rPr>
                <w:sz w:val="20"/>
                <w:szCs w:val="20"/>
                <w:color w:val="auto"/>
              </w:rPr>
            </w:pPr>
            <w:r>
              <w:rPr>
                <w:rFonts w:ascii="Arial" w:cs="Arial" w:eastAsia="Arial" w:hAnsi="Arial"/>
                <w:sz w:val="14"/>
                <w:szCs w:val="14"/>
                <w:color w:val="auto"/>
              </w:rPr>
              <w:t>Total</w:t>
            </w:r>
          </w:p>
        </w:tc>
        <w:tc>
          <w:tcPr>
            <w:tcW w:w="700" w:type="dxa"/>
            <w:vAlign w:val="bottom"/>
            <w:gridSpan w:val="2"/>
          </w:tcPr>
          <w:p>
            <w:pPr>
              <w:ind w:left="80"/>
              <w:spacing w:after="0"/>
              <w:rPr>
                <w:sz w:val="20"/>
                <w:szCs w:val="20"/>
                <w:color w:val="auto"/>
              </w:rPr>
            </w:pPr>
            <w:r>
              <w:rPr>
                <w:rFonts w:ascii="Arial" w:cs="Arial" w:eastAsia="Arial" w:hAnsi="Arial"/>
                <w:sz w:val="14"/>
                <w:szCs w:val="14"/>
                <w:color w:val="auto"/>
              </w:rPr>
              <w:t>basis</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investment</w:t>
            </w:r>
          </w:p>
        </w:tc>
        <w:tc>
          <w:tcPr>
            <w:tcW w:w="800" w:type="dxa"/>
            <w:vAlign w:val="bottom"/>
            <w:gridSpan w:val="3"/>
          </w:tcPr>
          <w:p>
            <w:pPr>
              <w:ind w:left="140"/>
              <w:spacing w:after="0"/>
              <w:rPr>
                <w:sz w:val="20"/>
                <w:szCs w:val="20"/>
                <w:color w:val="auto"/>
              </w:rPr>
            </w:pPr>
            <w:r>
              <w:rPr>
                <w:rFonts w:ascii="Arial" w:cs="Arial" w:eastAsia="Arial" w:hAnsi="Arial"/>
                <w:sz w:val="14"/>
                <w:szCs w:val="14"/>
                <w:color w:val="auto"/>
              </w:rPr>
              <w:t>Total</w:t>
            </w: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basis</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right"/>
              <w:ind w:right="600"/>
              <w:spacing w:after="0" w:line="142" w:lineRule="exact"/>
              <w:rPr>
                <w:sz w:val="20"/>
                <w:szCs w:val="20"/>
                <w:color w:val="auto"/>
              </w:rPr>
            </w:pPr>
            <w:r>
              <w:rPr>
                <w:rFonts w:ascii="Arial" w:cs="Arial" w:eastAsia="Arial" w:hAnsi="Arial"/>
                <w:sz w:val="14"/>
                <w:szCs w:val="14"/>
                <w:color w:val="auto"/>
              </w:rPr>
              <w:t>(in thousands)</w:t>
            </w: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$291,970</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5,700</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221,952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5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175,028</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611</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153,105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Residential builder and developer</w:t>
            </w:r>
          </w:p>
        </w:tc>
        <w:tc>
          <w:tcPr>
            <w:tcW w:w="2140" w:type="dxa"/>
            <w:vAlign w:val="bottom"/>
            <w:gridSpan w:val="3"/>
          </w:tcPr>
          <w:p>
            <w:pPr>
              <w:jc w:val="right"/>
              <w:ind w:right="20"/>
              <w:spacing w:after="0"/>
              <w:rPr>
                <w:sz w:val="20"/>
                <w:szCs w:val="20"/>
                <w:color w:val="auto"/>
              </w:rPr>
            </w:pPr>
            <w:r>
              <w:rPr>
                <w:rFonts w:ascii="Arial" w:cs="Arial" w:eastAsia="Arial" w:hAnsi="Arial"/>
                <w:sz w:val="18"/>
                <w:szCs w:val="18"/>
                <w:color w:val="auto"/>
              </w:rPr>
              <w:t>31,751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66,334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5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commercial construction</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20,955</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335</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23,614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Residential</w:t>
            </w:r>
          </w:p>
        </w:tc>
        <w:tc>
          <w:tcPr>
            <w:tcW w:w="2140" w:type="dxa"/>
            <w:vAlign w:val="bottom"/>
            <w:gridSpan w:val="3"/>
          </w:tcPr>
          <w:p>
            <w:pPr>
              <w:jc w:val="right"/>
              <w:ind w:right="20"/>
              <w:spacing w:after="0"/>
              <w:rPr>
                <w:sz w:val="20"/>
                <w:szCs w:val="20"/>
                <w:color w:val="auto"/>
              </w:rPr>
            </w:pPr>
            <w:r>
              <w:rPr>
                <w:rFonts w:ascii="Arial" w:cs="Arial" w:eastAsia="Arial" w:hAnsi="Arial"/>
                <w:sz w:val="18"/>
                <w:szCs w:val="18"/>
                <w:color w:val="auto"/>
              </w:rPr>
              <w:t>97,936</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1,834</w:t>
            </w:r>
          </w:p>
        </w:tc>
        <w:tc>
          <w:tcPr>
            <w:tcW w:w="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1,139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101,560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1,358</w:t>
            </w:r>
          </w:p>
        </w:tc>
        <w:tc>
          <w:tcPr>
            <w:tcW w:w="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5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Residential-limited documentation</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103,795</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1,607</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120,286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1,650</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5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Home equity lines and loans</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34,234</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323</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20,221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Automobile</w:t>
            </w:r>
          </w:p>
        </w:tc>
        <w:tc>
          <w:tcPr>
            <w:tcW w:w="2140" w:type="dxa"/>
            <w:vAlign w:val="bottom"/>
            <w:gridSpan w:val="3"/>
          </w:tcPr>
          <w:p>
            <w:pPr>
              <w:jc w:val="right"/>
              <w:ind w:right="20"/>
              <w:spacing w:after="0"/>
              <w:rPr>
                <w:sz w:val="20"/>
                <w:szCs w:val="20"/>
                <w:color w:val="auto"/>
              </w:rPr>
            </w:pPr>
            <w:r>
              <w:rPr>
                <w:rFonts w:ascii="Arial" w:cs="Arial" w:eastAsia="Arial" w:hAnsi="Arial"/>
                <w:sz w:val="18"/>
                <w:szCs w:val="18"/>
                <w:color w:val="auto"/>
              </w:rPr>
              <w:t>20,542</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26,123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416</w:t>
            </w: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5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11,169</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19,058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787,380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10,894</w:t>
            </w:r>
          </w:p>
        </w:tc>
        <w:tc>
          <w:tcPr>
            <w:tcW w:w="2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8,628</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752,253</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5,638</w:t>
            </w:r>
          </w:p>
        </w:tc>
        <w:tc>
          <w:tcPr>
            <w:tcW w:w="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00" w:type="dxa"/>
            <w:vAlign w:val="bottom"/>
            <w:gridSpan w:val="6"/>
          </w:tcPr>
          <w:p>
            <w:pPr>
              <w:jc w:val="center"/>
              <w:ind w:left="424"/>
              <w:spacing w:after="0"/>
              <w:rPr>
                <w:sz w:val="20"/>
                <w:szCs w:val="20"/>
                <w:color w:val="auto"/>
              </w:rPr>
            </w:pPr>
            <w:r>
              <w:rPr>
                <w:rFonts w:ascii="Arial" w:cs="Arial" w:eastAsia="Arial" w:hAnsi="Arial"/>
                <w:sz w:val="14"/>
                <w:szCs w:val="14"/>
                <w:color w:val="auto"/>
                <w:w w:val="92"/>
              </w:rPr>
              <w:t>Six months ended</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5"/>
          </w:tcPr>
          <w:p>
            <w:pPr>
              <w:jc w:val="center"/>
              <w:ind w:left="336"/>
              <w:spacing w:after="0"/>
              <w:rPr>
                <w:sz w:val="20"/>
                <w:szCs w:val="20"/>
                <w:color w:val="auto"/>
              </w:rPr>
            </w:pPr>
            <w:r>
              <w:rPr>
                <w:rFonts w:ascii="Arial" w:cs="Arial" w:eastAsia="Arial" w:hAnsi="Arial"/>
                <w:sz w:val="14"/>
                <w:szCs w:val="14"/>
                <w:color w:val="auto"/>
                <w:w w:val="90"/>
              </w:rPr>
              <w:t>Six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color w:val="auto"/>
                <w:w w:val="90"/>
              </w:rPr>
              <w:t>June 30, 2016</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Borders>
              <w:bottom w:val="single" w:sz="8" w:color="auto"/>
            </w:tcBorders>
            <w:gridSpan w:val="5"/>
          </w:tcPr>
          <w:p>
            <w:pPr>
              <w:jc w:val="center"/>
              <w:ind w:left="356"/>
              <w:spacing w:after="0"/>
              <w:rPr>
                <w:sz w:val="20"/>
                <w:szCs w:val="20"/>
                <w:color w:val="auto"/>
              </w:rPr>
            </w:pPr>
            <w:r>
              <w:rPr>
                <w:rFonts w:ascii="Arial" w:cs="Arial" w:eastAsia="Arial" w:hAnsi="Arial"/>
                <w:sz w:val="14"/>
                <w:szCs w:val="14"/>
                <w:color w:val="auto"/>
                <w:w w:val="90"/>
              </w:rPr>
              <w:t>June 30, 2015</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6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1"/>
              </w:rPr>
              <w:t>Interest income</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1"/>
              </w:rPr>
              <w:t>Interest 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91"/>
              </w:rPr>
              <w:t>Average</w:t>
            </w:r>
          </w:p>
        </w:tc>
        <w:tc>
          <w:tcPr>
            <w:tcW w:w="180" w:type="dxa"/>
            <w:vAlign w:val="bottom"/>
          </w:tcPr>
          <w:p>
            <w:pPr>
              <w:spacing w:after="0"/>
              <w:rPr>
                <w:sz w:val="14"/>
                <w:szCs w:val="14"/>
                <w:color w:val="auto"/>
              </w:rPr>
            </w:pPr>
          </w:p>
        </w:tc>
        <w:tc>
          <w:tcPr>
            <w:tcW w:w="1520" w:type="dxa"/>
            <w:vAlign w:val="bottom"/>
            <w:gridSpan w:val="5"/>
          </w:tcPr>
          <w:p>
            <w:pPr>
              <w:jc w:val="center"/>
              <w:ind w:right="200"/>
              <w:spacing w:after="0"/>
              <w:rPr>
                <w:sz w:val="20"/>
                <w:szCs w:val="20"/>
                <w:color w:val="auto"/>
              </w:rPr>
            </w:pPr>
            <w:r>
              <w:rPr>
                <w:rFonts w:ascii="Arial" w:cs="Arial" w:eastAsia="Arial" w:hAnsi="Arial"/>
                <w:sz w:val="14"/>
                <w:szCs w:val="14"/>
                <w:color w:val="auto"/>
                <w:w w:val="93"/>
              </w:rPr>
              <w:t>recognized</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color w:val="auto"/>
              </w:rPr>
              <w:t>Average</w:t>
            </w:r>
          </w:p>
        </w:tc>
        <w:tc>
          <w:tcPr>
            <w:tcW w:w="1320" w:type="dxa"/>
            <w:vAlign w:val="bottom"/>
            <w:gridSpan w:val="5"/>
          </w:tcPr>
          <w:p>
            <w:pPr>
              <w:jc w:val="center"/>
              <w:ind w:right="80"/>
              <w:spacing w:after="0"/>
              <w:rPr>
                <w:sz w:val="20"/>
                <w:szCs w:val="20"/>
                <w:color w:val="auto"/>
              </w:rPr>
            </w:pPr>
            <w:r>
              <w:rPr>
                <w:rFonts w:ascii="Arial" w:cs="Arial" w:eastAsia="Arial" w:hAnsi="Arial"/>
                <w:sz w:val="14"/>
                <w:szCs w:val="14"/>
                <w:color w:val="auto"/>
                <w:w w:val="93"/>
              </w:rPr>
              <w:t>recognized</w:t>
            </w:r>
          </w:p>
        </w:tc>
        <w:tc>
          <w:tcPr>
            <w:tcW w:w="0" w:type="dxa"/>
            <w:vAlign w:val="bottom"/>
          </w:tcPr>
          <w:p>
            <w:pPr>
              <w:spacing w:after="0"/>
              <w:rPr>
                <w:sz w:val="1"/>
                <w:szCs w:val="1"/>
                <w:color w:val="auto"/>
              </w:rPr>
            </w:pPr>
          </w:p>
        </w:tc>
      </w:tr>
      <w:tr>
        <w:trPr>
          <w:trHeight w:val="110"/>
        </w:trPr>
        <w:tc>
          <w:tcPr>
            <w:tcW w:w="26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recorded</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Cash</w:t>
            </w:r>
          </w:p>
        </w:tc>
        <w:tc>
          <w:tcPr>
            <w:tcW w:w="8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recorded</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Cash</w:t>
            </w: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investment</w:t>
            </w:r>
          </w:p>
        </w:tc>
        <w:tc>
          <w:tcPr>
            <w:tcW w:w="180" w:type="dxa"/>
            <w:vAlign w:val="bottom"/>
          </w:tcPr>
          <w:p>
            <w:pPr>
              <w:spacing w:after="0"/>
              <w:rPr>
                <w:sz w:val="14"/>
                <w:szCs w:val="14"/>
                <w:color w:val="auto"/>
              </w:rPr>
            </w:pPr>
          </w:p>
        </w:tc>
        <w:tc>
          <w:tcPr>
            <w:tcW w:w="820" w:type="dxa"/>
            <w:vAlign w:val="bottom"/>
            <w:gridSpan w:val="3"/>
          </w:tcPr>
          <w:p>
            <w:pPr>
              <w:ind w:left="140"/>
              <w:spacing w:after="0"/>
              <w:rPr>
                <w:sz w:val="20"/>
                <w:szCs w:val="20"/>
                <w:color w:val="auto"/>
              </w:rPr>
            </w:pPr>
            <w:r>
              <w:rPr>
                <w:rFonts w:ascii="Arial" w:cs="Arial" w:eastAsia="Arial" w:hAnsi="Arial"/>
                <w:sz w:val="14"/>
                <w:szCs w:val="14"/>
                <w:color w:val="auto"/>
              </w:rPr>
              <w:t>Total</w:t>
            </w: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Basis</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investment</w:t>
            </w:r>
          </w:p>
        </w:tc>
        <w:tc>
          <w:tcPr>
            <w:tcW w:w="800" w:type="dxa"/>
            <w:vAlign w:val="bottom"/>
            <w:gridSpan w:val="3"/>
          </w:tcPr>
          <w:p>
            <w:pPr>
              <w:ind w:left="140"/>
              <w:spacing w:after="0"/>
              <w:rPr>
                <w:sz w:val="20"/>
                <w:szCs w:val="20"/>
                <w:color w:val="auto"/>
              </w:rPr>
            </w:pPr>
            <w:r>
              <w:rPr>
                <w:rFonts w:ascii="Arial" w:cs="Arial" w:eastAsia="Arial" w:hAnsi="Arial"/>
                <w:sz w:val="14"/>
                <w:szCs w:val="14"/>
                <w:color w:val="auto"/>
              </w:rPr>
              <w:t>Total</w:t>
            </w: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basis</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right"/>
              <w:ind w:right="600"/>
              <w:spacing w:after="0" w:line="142" w:lineRule="exact"/>
              <w:rPr>
                <w:sz w:val="20"/>
                <w:szCs w:val="20"/>
                <w:color w:val="auto"/>
              </w:rPr>
            </w:pPr>
            <w:r>
              <w:rPr>
                <w:rFonts w:ascii="Arial" w:cs="Arial" w:eastAsia="Arial" w:hAnsi="Arial"/>
                <w:sz w:val="14"/>
                <w:szCs w:val="14"/>
                <w:color w:val="auto"/>
              </w:rPr>
              <w:t>(in thousands)</w:t>
            </w: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$294,277</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6,311</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218,285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5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178,741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2,085</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153,088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Residential builder and developer</w:t>
            </w:r>
          </w:p>
        </w:tc>
        <w:tc>
          <w:tcPr>
            <w:tcW w:w="2140" w:type="dxa"/>
            <w:vAlign w:val="bottom"/>
            <w:gridSpan w:val="3"/>
          </w:tcPr>
          <w:p>
            <w:pPr>
              <w:jc w:val="right"/>
              <w:ind w:right="20"/>
              <w:spacing w:after="0"/>
              <w:rPr>
                <w:sz w:val="20"/>
                <w:szCs w:val="20"/>
                <w:color w:val="auto"/>
              </w:rPr>
            </w:pPr>
            <w:r>
              <w:rPr>
                <w:rFonts w:ascii="Arial" w:cs="Arial" w:eastAsia="Arial" w:hAnsi="Arial"/>
                <w:sz w:val="18"/>
                <w:szCs w:val="18"/>
                <w:color w:val="auto"/>
              </w:rPr>
              <w:t>32,750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69,742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194</w:t>
            </w:r>
          </w:p>
        </w:tc>
        <w:tc>
          <w:tcPr>
            <w:tcW w:w="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5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commercial construction</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18,911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373</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24,577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Residential</w:t>
            </w:r>
          </w:p>
        </w:tc>
        <w:tc>
          <w:tcPr>
            <w:tcW w:w="2140" w:type="dxa"/>
            <w:vAlign w:val="bottom"/>
            <w:gridSpan w:val="3"/>
          </w:tcPr>
          <w:p>
            <w:pPr>
              <w:jc w:val="right"/>
              <w:ind w:right="20"/>
              <w:spacing w:after="0"/>
              <w:rPr>
                <w:sz w:val="20"/>
                <w:szCs w:val="20"/>
                <w:color w:val="auto"/>
              </w:rPr>
            </w:pPr>
            <w:r>
              <w:rPr>
                <w:rFonts w:ascii="Arial" w:cs="Arial" w:eastAsia="Arial" w:hAnsi="Arial"/>
                <w:sz w:val="18"/>
                <w:szCs w:val="18"/>
                <w:color w:val="auto"/>
              </w:rPr>
              <w:t>97,362</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3,206</w:t>
            </w:r>
          </w:p>
        </w:tc>
        <w:tc>
          <w:tcPr>
            <w:tcW w:w="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2,021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103,025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2,804</w:t>
            </w: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5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Residential-limited documentation</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105,634</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3,079</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122,970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3,260</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5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Home equity lines and loans</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30,127</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569</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19,952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Automobile</w:t>
            </w:r>
          </w:p>
        </w:tc>
        <w:tc>
          <w:tcPr>
            <w:tcW w:w="2140" w:type="dxa"/>
            <w:vAlign w:val="bottom"/>
            <w:gridSpan w:val="3"/>
          </w:tcPr>
          <w:p>
            <w:pPr>
              <w:jc w:val="right"/>
              <w:ind w:right="20"/>
              <w:spacing w:after="0"/>
              <w:rPr>
                <w:sz w:val="20"/>
                <w:szCs w:val="20"/>
                <w:color w:val="auto"/>
              </w:rPr>
            </w:pPr>
            <w:r>
              <w:rPr>
                <w:rFonts w:ascii="Arial" w:cs="Arial" w:eastAsia="Arial" w:hAnsi="Arial"/>
                <w:sz w:val="18"/>
                <w:szCs w:val="18"/>
                <w:color w:val="auto"/>
              </w:rPr>
              <w:t>21,252</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661</w:t>
            </w:r>
          </w:p>
        </w:tc>
        <w:tc>
          <w:tcPr>
            <w:tcW w:w="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27,568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866</w:t>
            </w: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5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14,443</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299</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18,960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793,497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16,666</w:t>
            </w:r>
          </w:p>
        </w:tc>
        <w:tc>
          <w:tcPr>
            <w:tcW w:w="2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12,453</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758,167</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11,343</w:t>
            </w:r>
          </w:p>
        </w:tc>
        <w:tc>
          <w:tcPr>
            <w:tcW w:w="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40" w:type="dxa"/>
            <w:vAlign w:val="bottom"/>
            <w:vMerge w:val="restart"/>
          </w:tcPr>
          <w:p>
            <w:pPr>
              <w:jc w:val="right"/>
              <w:ind w:right="910"/>
              <w:spacing w:after="0"/>
              <w:rPr>
                <w:sz w:val="20"/>
                <w:szCs w:val="20"/>
                <w:color w:val="auto"/>
              </w:rPr>
            </w:pPr>
            <w:r>
              <w:rPr>
                <w:rFonts w:ascii="Arial" w:cs="Arial" w:eastAsia="Arial" w:hAnsi="Arial"/>
                <w:sz w:val="18"/>
                <w:szCs w:val="18"/>
                <w:color w:val="auto"/>
              </w:rPr>
              <w:t>-19-</w:t>
            </w: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right="800" w:firstLine="456"/>
        <w:spacing w:after="0" w:line="291" w:lineRule="auto"/>
        <w:rPr>
          <w:sz w:val="20"/>
          <w:szCs w:val="20"/>
          <w:color w:val="auto"/>
        </w:rPr>
      </w:pPr>
      <w:r>
        <w:rPr>
          <w:rFonts w:ascii="Arial" w:cs="Arial" w:eastAsia="Arial" w:hAnsi="Arial"/>
          <w:sz w:val="16"/>
          <w:szCs w:val="16"/>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w:t>
      </w:r>
    </w:p>
    <w:p>
      <w:pPr>
        <w:spacing w:after="0" w:line="268" w:lineRule="auto"/>
        <w:rPr>
          <w:sz w:val="20"/>
          <w:szCs w:val="20"/>
          <w:color w:val="auto"/>
        </w:rPr>
      </w:pPr>
      <w:r>
        <w:rPr>
          <w:rFonts w:ascii="Arial" w:cs="Arial" w:eastAsia="Arial" w:hAnsi="Arial"/>
          <w:sz w:val="17"/>
          <w:szCs w:val="17"/>
          <w:color w:val="auto"/>
        </w:rPr>
        <w:t>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loans and commercial 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loans and commercial real estate loans.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3"/>
            <w:vMerge w:val="restart"/>
          </w:tcPr>
          <w:p>
            <w:pPr>
              <w:jc w:val="center"/>
              <w:ind w:right="300"/>
              <w:spacing w:after="0"/>
              <w:rPr>
                <w:sz w:val="20"/>
                <w:szCs w:val="20"/>
                <w:color w:val="auto"/>
              </w:rPr>
            </w:pPr>
            <w:r>
              <w:rPr>
                <w:rFonts w:ascii="Arial" w:cs="Arial" w:eastAsia="Arial" w:hAnsi="Arial"/>
                <w:sz w:val="14"/>
                <w:szCs w:val="14"/>
                <w:color w:val="auto"/>
                <w:w w:val="94"/>
              </w:rPr>
              <w:t>Commercial,</w:t>
            </w: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w w:val="91"/>
              </w:rPr>
              <w:t>Real Estate</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2"/>
              </w:rPr>
              <w:t>Residential</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6"/>
              </w:rPr>
              <w:t>Financial,</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Builder and</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Commercial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Leasing, etc.</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Commercial</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Developer</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jc w:val="right"/>
              <w:ind w:right="920"/>
              <w:spacing w:after="0" w:line="142" w:lineRule="exact"/>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Pass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$20,409,928</w:t>
            </w:r>
          </w:p>
        </w:tc>
        <w:tc>
          <w:tcPr>
            <w:tcW w:w="2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22,785,132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1,704,457</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4,847,810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818,630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797,097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155,238</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Pr>
          <w:p>
            <w:pPr>
              <w:jc w:val="right"/>
              <w:spacing w:after="0"/>
              <w:rPr>
                <w:sz w:val="20"/>
                <w:szCs w:val="20"/>
                <w:color w:val="auto"/>
              </w:rPr>
            </w:pPr>
            <w:r>
              <w:rPr>
                <w:rFonts w:ascii="Arial" w:cs="Arial" w:eastAsia="Arial" w:hAnsi="Arial"/>
                <w:sz w:val="18"/>
                <w:szCs w:val="18"/>
                <w:color w:val="auto"/>
              </w:rPr>
              <w:t>240,684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172,670</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24,263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21,469,242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23,754,899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1,883,958</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5,072,373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December 31, 2015</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$19,442,183</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22,697,398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1,497,465</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3,834,137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Criticized accrual</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738,238</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655,257</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59,779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228,877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241,917</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179,606</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28,429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16,363</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20,422,338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23,532,261</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1,585,673</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4,079,377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 The carrying value of residential real estate loans and home equity loans and lines of credit for which a partial charge-off has been recognized aggregated $52 million and $31 million, respectively, at June 30, 2016 and $55 million and $21 million,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respectively, at December 31, 2015. Residential real estate loans and home equity loans and lines of credit that were more than 150 days past due but did not require a partial charge-off because the net realizable value of the collateral exceeded the outstanding customer balance totaled $18 million and $39 million, respectively, at June 30, 2016 and $20 million and $28 million, respectively, at December 31, 2015.</w:t>
      </w:r>
    </w:p>
    <w:p>
      <w:pPr>
        <w:spacing w:after="0" w:line="18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allocation of the allowance for credit losses summarized on the basis of the Company’s impairment methodology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Commercial,</w:t>
            </w:r>
          </w:p>
        </w:tc>
        <w:tc>
          <w:tcPr>
            <w:tcW w:w="1980" w:type="dxa"/>
            <w:vAlign w:val="bottom"/>
            <w:gridSpan w:val="5"/>
            <w:vMerge w:val="restart"/>
          </w:tcPr>
          <w:p>
            <w:pPr>
              <w:jc w:val="right"/>
              <w:ind w:right="82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1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restart"/>
          </w:tcPr>
          <w:p>
            <w:pPr>
              <w:jc w:val="right"/>
              <w:ind w:right="420"/>
              <w:spacing w:after="0" w:line="149" w:lineRule="exact"/>
              <w:rPr>
                <w:sz w:val="20"/>
                <w:szCs w:val="20"/>
                <w:color w:val="auto"/>
              </w:rPr>
            </w:pPr>
            <w:r>
              <w:rPr>
                <w:rFonts w:ascii="Arial" w:cs="Arial" w:eastAsia="Arial" w:hAnsi="Arial"/>
                <w:sz w:val="14"/>
                <w:szCs w:val="14"/>
                <w:color w:val="auto"/>
                <w:w w:val="90"/>
              </w:rPr>
              <w:t>Financial,</w:t>
            </w:r>
          </w:p>
        </w:tc>
        <w:tc>
          <w:tcPr>
            <w:tcW w:w="1980" w:type="dxa"/>
            <w:vAlign w:val="bottom"/>
            <w:gridSpan w:val="5"/>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41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Leasing, etc.</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w w:val="91"/>
              </w:rPr>
              <w:t>Commercial</w:t>
            </w:r>
          </w:p>
        </w:tc>
        <w:tc>
          <w:tcPr>
            <w:tcW w:w="24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w w:val="89"/>
              </w:rPr>
              <w:t>Residential</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w w:val="92"/>
              </w:rPr>
              <w:t>Consumer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color w:val="auto"/>
                <w:w w:val="99"/>
              </w:rPr>
              <w:t>(in thousands)</w:t>
            </w: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2560" w:type="dxa"/>
            <w:vAlign w:val="bottom"/>
            <w:gridSpan w:val="2"/>
          </w:tcPr>
          <w:p>
            <w:pPr>
              <w:ind w:left="246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50,010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18,292</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10,037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12,383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266,069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328,919</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57,666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143,891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796,545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Purchased impaired</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2,463</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1,957</w:t>
            </w:r>
          </w:p>
        </w:tc>
        <w:tc>
          <w:tcPr>
            <w:tcW w:w="640" w:type="dxa"/>
            <w:vAlign w:val="bottom"/>
          </w:tcPr>
          <w:p>
            <w:pPr>
              <w:jc w:val="right"/>
              <w:spacing w:after="0"/>
              <w:rPr>
                <w:sz w:val="20"/>
                <w:szCs w:val="20"/>
                <w:color w:val="auto"/>
              </w:rPr>
            </w:pPr>
            <w:r>
              <w:rPr>
                <w:rFonts w:ascii="Arial" w:cs="Arial" w:eastAsia="Arial" w:hAnsi="Arial"/>
                <w:sz w:val="18"/>
                <w:szCs w:val="18"/>
                <w:color w:val="auto"/>
              </w:rPr>
              <w:t>1,087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316,079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349,674</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69,660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157,361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892,774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77,722</w:t>
            </w:r>
          </w:p>
        </w:tc>
        <w:tc>
          <w:tcPr>
            <w:tcW w:w="0" w:type="dxa"/>
            <w:vAlign w:val="bottom"/>
          </w:tcPr>
          <w:p>
            <w:pPr>
              <w:spacing w:after="0" w:line="20" w:lineRule="exact"/>
              <w:rPr>
                <w:sz w:val="1"/>
                <w:szCs w:val="1"/>
                <w:color w:val="auto"/>
              </w:rPr>
            </w:pPr>
          </w:p>
        </w:tc>
      </w:tr>
      <w:tr>
        <w:trPr>
          <w:trHeight w:val="210"/>
        </w:trPr>
        <w:tc>
          <w:tcPr>
            <w:tcW w:w="416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1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970,496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December 31, 2015</w:t>
            </w: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160" w:type="dxa"/>
            <w:vAlign w:val="bottom"/>
            <w:gridSpan w:val="2"/>
            <w:vMerge w:val="continue"/>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256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44,752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19,175</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12,727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13,306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255,615</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307,000</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57,624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163,511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783,750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1,887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Allocated</w:t>
            </w:r>
          </w:p>
        </w:tc>
        <w:tc>
          <w:tcPr>
            <w:tcW w:w="2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300,404</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72,238</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178,320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877,793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78,199</w:t>
            </w:r>
          </w:p>
        </w:tc>
        <w:tc>
          <w:tcPr>
            <w:tcW w:w="0" w:type="dxa"/>
            <w:vAlign w:val="bottom"/>
          </w:tcPr>
          <w:p>
            <w:pPr>
              <w:spacing w:after="0"/>
              <w:rPr>
                <w:sz w:val="1"/>
                <w:szCs w:val="1"/>
                <w:color w:val="auto"/>
              </w:rPr>
            </w:pPr>
          </w:p>
        </w:tc>
      </w:tr>
      <w:tr>
        <w:trPr>
          <w:trHeight w:val="20"/>
        </w:trPr>
        <w:tc>
          <w:tcPr>
            <w:tcW w:w="41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955,992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60" w:type="dxa"/>
            <w:vAlign w:val="bottom"/>
            <w:vMerge w:val="restart"/>
          </w:tcPr>
          <w:p>
            <w:pPr>
              <w:jc w:val="right"/>
              <w:ind w:right="6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Commercial,</w:t>
            </w:r>
          </w:p>
        </w:tc>
        <w:tc>
          <w:tcPr>
            <w:tcW w:w="2140" w:type="dxa"/>
            <w:vAlign w:val="bottom"/>
            <w:gridSpan w:val="4"/>
            <w:vMerge w:val="restart"/>
          </w:tcPr>
          <w:p>
            <w:pPr>
              <w:ind w:left="640"/>
              <w:spacing w:after="0"/>
              <w:rPr>
                <w:sz w:val="20"/>
                <w:szCs w:val="20"/>
                <w:color w:val="auto"/>
              </w:rPr>
            </w:pPr>
            <w:r>
              <w:rPr>
                <w:rFonts w:ascii="Arial" w:cs="Arial" w:eastAsia="Arial" w:hAnsi="Arial"/>
                <w:sz w:val="14"/>
                <w:szCs w:val="14"/>
                <w:color w:val="auto"/>
              </w:rPr>
              <w:t>Real Estate</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6"/>
              </w:rPr>
              <w:t>Financial,</w:t>
            </w:r>
          </w:p>
        </w:tc>
        <w:tc>
          <w:tcPr>
            <w:tcW w:w="2140" w:type="dxa"/>
            <w:vAlign w:val="bottom"/>
            <w:gridSpan w:val="4"/>
            <w:vMerge w:val="continue"/>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Leasing, etc.</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Commercial</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Residential</w:t>
            </w: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color w:val="auto"/>
                <w:w w:val="92"/>
              </w:rPr>
              <w:t>(in thousands)</w:t>
            </w: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271,399</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230,960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199,911</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63,567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765,837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21,197,077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30,408,178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23,742,826</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11,746,021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87,094,102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Purchased impaired</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766</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72,092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587,512</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662,059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21,469,242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30,711,230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24,530,249</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11,811,277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88,521,998</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December 31, 2015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272,227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234,132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207,949</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20,148,209</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28,863,130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25,398,037</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11,532,121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85,941,497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100,049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664,117</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20,422,338</w:t>
            </w:r>
          </w:p>
        </w:tc>
        <w:tc>
          <w:tcPr>
            <w:tcW w:w="20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29,197,311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26,270,103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11,599,747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87,489,499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tables that follow summarize the Company’s loan modification activities that were considered troubled debt restructurings for the three months ended June 30, 2016 and 2015: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4"/>
                <w:szCs w:val="14"/>
                <w:color w:val="auto"/>
                <w:w w:val="95"/>
              </w:rPr>
              <w:t>Financial effects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ind w:left="160"/>
              <w:spacing w:after="0"/>
              <w:rPr>
                <w:sz w:val="20"/>
                <w:szCs w:val="20"/>
                <w:color w:val="auto"/>
              </w:rPr>
            </w:pPr>
            <w:r>
              <w:rPr>
                <w:rFonts w:ascii="Arial" w:cs="Arial" w:eastAsia="Arial" w:hAnsi="Arial"/>
                <w:sz w:val="14"/>
                <w:szCs w:val="14"/>
                <w:color w:val="auto"/>
              </w:rPr>
              <w:t>Recorded investment</w:t>
            </w:r>
          </w:p>
        </w:tc>
        <w:tc>
          <w:tcPr>
            <w:tcW w:w="100" w:type="dxa"/>
            <w:vAlign w:val="bottom"/>
          </w:tcPr>
          <w:p>
            <w:pPr>
              <w:spacing w:after="0"/>
              <w:rPr>
                <w:sz w:val="14"/>
                <w:szCs w:val="14"/>
                <w:color w:val="auto"/>
              </w:rPr>
            </w:pPr>
          </w:p>
        </w:tc>
        <w:tc>
          <w:tcPr>
            <w:tcW w:w="1380" w:type="dxa"/>
            <w:vAlign w:val="bottom"/>
            <w:gridSpan w:val="4"/>
          </w:tcPr>
          <w:p>
            <w:pPr>
              <w:jc w:val="right"/>
              <w:ind w:right="42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360"/>
              <w:spacing w:after="0" w:line="123" w:lineRule="exact"/>
              <w:rPr>
                <w:sz w:val="20"/>
                <w:szCs w:val="20"/>
                <w:color w:val="auto"/>
              </w:rPr>
            </w:pPr>
            <w:r>
              <w:rPr>
                <w:rFonts w:ascii="Arial" w:cs="Arial" w:eastAsia="Arial" w:hAnsi="Arial"/>
                <w:sz w:val="14"/>
                <w:szCs w:val="14"/>
                <w:color w:val="auto"/>
                <w:w w:val="92"/>
              </w:rPr>
              <w:t>Recorded</w:t>
            </w: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spacing w:after="0"/>
              <w:rPr>
                <w:sz w:val="20"/>
                <w:szCs w:val="20"/>
                <w:color w:val="auto"/>
              </w:rPr>
            </w:pPr>
            <w:r>
              <w:rPr>
                <w:rFonts w:ascii="Arial" w:cs="Arial" w:eastAsia="Arial" w:hAnsi="Arial"/>
                <w:sz w:val="14"/>
                <w:szCs w:val="14"/>
                <w:color w:val="auto"/>
              </w:rPr>
              <w:t>Three months ended June 30, 2016</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Post-</w:t>
            </w: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Interest</w:t>
            </w:r>
          </w:p>
        </w:tc>
        <w:tc>
          <w:tcPr>
            <w:tcW w:w="0" w:type="dxa"/>
            <w:vAlign w:val="bottom"/>
          </w:tcPr>
          <w:p>
            <w:pPr>
              <w:spacing w:after="0"/>
              <w:rPr>
                <w:sz w:val="1"/>
                <w:szCs w:val="1"/>
                <w:color w:val="auto"/>
              </w:rPr>
            </w:pPr>
          </w:p>
        </w:tc>
      </w:tr>
      <w:tr>
        <w:trPr>
          <w:trHeight w:val="161"/>
        </w:trPr>
        <w:tc>
          <w:tcPr>
            <w:tcW w:w="7080" w:type="dxa"/>
            <w:vAlign w:val="bottom"/>
            <w:gridSpan w:val="3"/>
            <w:vMerge w:val="continue"/>
          </w:tcPr>
          <w:p>
            <w:pPr>
              <w:spacing w:after="0"/>
              <w:rPr>
                <w:sz w:val="13"/>
                <w:szCs w:val="13"/>
                <w:color w:val="auto"/>
              </w:rPr>
            </w:pPr>
          </w:p>
        </w:tc>
        <w:tc>
          <w:tcPr>
            <w:tcW w:w="780" w:type="dxa"/>
            <w:vAlign w:val="bottom"/>
            <w:gridSpan w:val="2"/>
          </w:tcPr>
          <w:p>
            <w:pPr>
              <w:spacing w:after="0" w:line="154" w:lineRule="exact"/>
              <w:rPr>
                <w:sz w:val="20"/>
                <w:szCs w:val="20"/>
                <w:color w:val="auto"/>
              </w:rPr>
            </w:pPr>
            <w:r>
              <w:rPr>
                <w:rFonts w:ascii="Arial" w:cs="Arial" w:eastAsia="Arial" w:hAnsi="Arial"/>
                <w:sz w:val="14"/>
                <w:szCs w:val="14"/>
                <w:color w:val="auto"/>
              </w:rPr>
              <w:t>Number</w:t>
            </w:r>
          </w:p>
        </w:tc>
        <w:tc>
          <w:tcPr>
            <w:tcW w:w="880" w:type="dxa"/>
            <w:vAlign w:val="bottom"/>
            <w:gridSpan w:val="3"/>
          </w:tcPr>
          <w:p>
            <w:pPr>
              <w:spacing w:after="0" w:line="154" w:lineRule="exact"/>
              <w:rPr>
                <w:sz w:val="20"/>
                <w:szCs w:val="20"/>
                <w:color w:val="auto"/>
              </w:rPr>
            </w:pPr>
            <w:r>
              <w:rPr>
                <w:rFonts w:ascii="Arial" w:cs="Arial" w:eastAsia="Arial" w:hAnsi="Arial"/>
                <w:sz w:val="14"/>
                <w:szCs w:val="14"/>
                <w:color w:val="auto"/>
              </w:rPr>
              <w:t>modification</w:t>
            </w:r>
          </w:p>
        </w:tc>
        <w:tc>
          <w:tcPr>
            <w:tcW w:w="160" w:type="dxa"/>
            <w:vAlign w:val="bottom"/>
          </w:tcPr>
          <w:p>
            <w:pPr>
              <w:spacing w:after="0"/>
              <w:rPr>
                <w:sz w:val="13"/>
                <w:szCs w:val="13"/>
                <w:color w:val="auto"/>
              </w:rPr>
            </w:pPr>
          </w:p>
        </w:tc>
        <w:tc>
          <w:tcPr>
            <w:tcW w:w="1040" w:type="dxa"/>
            <w:vAlign w:val="bottom"/>
            <w:gridSpan w:val="3"/>
          </w:tcPr>
          <w:p>
            <w:pPr>
              <w:spacing w:after="0" w:line="154" w:lineRule="exact"/>
              <w:rPr>
                <w:sz w:val="20"/>
                <w:szCs w:val="20"/>
                <w:color w:val="auto"/>
              </w:rPr>
            </w:pPr>
            <w:r>
              <w:rPr>
                <w:rFonts w:ascii="Arial" w:cs="Arial" w:eastAsia="Arial" w:hAnsi="Arial"/>
                <w:sz w:val="14"/>
                <w:szCs w:val="14"/>
                <w:color w:val="auto"/>
              </w:rPr>
              <w:t>modification</w:t>
            </w:r>
          </w:p>
        </w:tc>
        <w:tc>
          <w:tcPr>
            <w:tcW w:w="100" w:type="dxa"/>
            <w:vAlign w:val="bottom"/>
          </w:tcPr>
          <w:p>
            <w:pPr>
              <w:spacing w:after="0"/>
              <w:rPr>
                <w:sz w:val="13"/>
                <w:szCs w:val="13"/>
                <w:color w:val="auto"/>
              </w:rPr>
            </w:pPr>
          </w:p>
        </w:tc>
        <w:tc>
          <w:tcPr>
            <w:tcW w:w="840" w:type="dxa"/>
            <w:vAlign w:val="bottom"/>
            <w:gridSpan w:val="2"/>
          </w:tcPr>
          <w:p>
            <w:pPr>
              <w:jc w:val="right"/>
              <w:ind w:right="540"/>
              <w:spacing w:after="0" w:line="154" w:lineRule="exact"/>
              <w:rPr>
                <w:sz w:val="20"/>
                <w:szCs w:val="20"/>
                <w:color w:val="auto"/>
              </w:rPr>
            </w:pPr>
            <w:r>
              <w:rPr>
                <w:rFonts w:ascii="Arial" w:cs="Arial" w:eastAsia="Arial" w:hAnsi="Arial"/>
                <w:sz w:val="14"/>
                <w:szCs w:val="14"/>
                <w:color w:val="auto"/>
              </w:rPr>
              <w:t>(a)</w:t>
            </w:r>
          </w:p>
        </w:tc>
        <w:tc>
          <w:tcPr>
            <w:tcW w:w="54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50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6"/>
          </w:tcPr>
          <w:p>
            <w:pPr>
              <w:ind w:left="600"/>
              <w:spacing w:after="0" w:line="149" w:lineRule="exact"/>
              <w:rPr>
                <w:sz w:val="20"/>
                <w:szCs w:val="20"/>
                <w:color w:val="auto"/>
              </w:rPr>
            </w:pPr>
            <w:r>
              <w:rPr>
                <w:rFonts w:ascii="Arial" w:cs="Arial" w:eastAsia="Arial" w:hAnsi="Arial"/>
                <w:sz w:val="14"/>
                <w:szCs w:val="14"/>
                <w:color w:val="auto"/>
              </w:rPr>
              <w:t>(dollars in thousands)</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45,733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45,657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(1,040)</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 rate reduction</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4,723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4,447</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(276)</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(947)</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Other commercial construction</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77</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Residential-limited documentation</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3,737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106,670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104,458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(2,212)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20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6"/>
          </w:tcPr>
          <w:p>
            <w:pPr>
              <w:jc w:val="right"/>
              <w:ind w:right="720"/>
              <w:spacing w:after="0"/>
              <w:rPr>
                <w:sz w:val="20"/>
                <w:szCs w:val="20"/>
                <w:color w:val="auto"/>
              </w:rPr>
            </w:pPr>
            <w:r>
              <w:rPr>
                <w:rFonts w:ascii="Arial" w:cs="Arial" w:eastAsia="Arial" w:hAnsi="Arial"/>
                <w:sz w:val="14"/>
                <w:szCs w:val="14"/>
                <w:color w:val="auto"/>
              </w:rPr>
              <w:t>Recorded investment</w:t>
            </w:r>
          </w:p>
        </w:tc>
        <w:tc>
          <w:tcPr>
            <w:tcW w:w="120" w:type="dxa"/>
            <w:vAlign w:val="bottom"/>
          </w:tcPr>
          <w:p>
            <w:pPr>
              <w:spacing w:after="0"/>
              <w:rPr>
                <w:sz w:val="14"/>
                <w:szCs w:val="14"/>
                <w:color w:val="auto"/>
              </w:rPr>
            </w:pPr>
          </w:p>
        </w:tc>
        <w:tc>
          <w:tcPr>
            <w:tcW w:w="1440" w:type="dxa"/>
            <w:vAlign w:val="bottom"/>
            <w:gridSpan w:val="4"/>
          </w:tcPr>
          <w:p>
            <w:pPr>
              <w:ind w:left="24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0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23" w:lineRule="exact"/>
              <w:rPr>
                <w:sz w:val="20"/>
                <w:szCs w:val="20"/>
                <w:color w:val="auto"/>
              </w:rPr>
            </w:pPr>
            <w:r>
              <w:rPr>
                <w:rFonts w:ascii="Arial" w:cs="Arial" w:eastAsia="Arial" w:hAnsi="Arial"/>
                <w:sz w:val="14"/>
                <w:szCs w:val="14"/>
                <w:color w:val="auto"/>
                <w:w w:val="92"/>
              </w:rPr>
              <w:t>Recorded</w:t>
            </w: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720" w:type="dxa"/>
            <w:vAlign w:val="bottom"/>
            <w:gridSpan w:val="2"/>
            <w:vMerge w:val="restart"/>
          </w:tcPr>
          <w:p>
            <w:pPr>
              <w:spacing w:after="0"/>
              <w:rPr>
                <w:sz w:val="20"/>
                <w:szCs w:val="20"/>
                <w:color w:val="auto"/>
              </w:rPr>
            </w:pPr>
            <w:r>
              <w:rPr>
                <w:rFonts w:ascii="Arial" w:cs="Arial" w:eastAsia="Arial" w:hAnsi="Arial"/>
                <w:sz w:val="14"/>
                <w:szCs w:val="14"/>
                <w:color w:val="auto"/>
              </w:rPr>
              <w:t>Three months ended June 30, 2015</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Pre-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Post-</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9"/>
              </w:rPr>
              <w:t>Interest</w:t>
            </w:r>
          </w:p>
        </w:tc>
        <w:tc>
          <w:tcPr>
            <w:tcW w:w="0" w:type="dxa"/>
            <w:vAlign w:val="bottom"/>
          </w:tcPr>
          <w:p>
            <w:pPr>
              <w:spacing w:after="0"/>
              <w:rPr>
                <w:sz w:val="1"/>
                <w:szCs w:val="1"/>
                <w:color w:val="auto"/>
              </w:rPr>
            </w:pPr>
          </w:p>
        </w:tc>
      </w:tr>
      <w:tr>
        <w:trPr>
          <w:trHeight w:val="161"/>
        </w:trPr>
        <w:tc>
          <w:tcPr>
            <w:tcW w:w="6720" w:type="dxa"/>
            <w:vAlign w:val="bottom"/>
            <w:gridSpan w:val="2"/>
            <w:vMerge w:val="continue"/>
          </w:tcPr>
          <w:p>
            <w:pPr>
              <w:spacing w:after="0"/>
              <w:rPr>
                <w:sz w:val="13"/>
                <w:szCs w:val="13"/>
                <w:color w:val="auto"/>
              </w:rPr>
            </w:pPr>
          </w:p>
        </w:tc>
        <w:tc>
          <w:tcPr>
            <w:tcW w:w="500" w:type="dxa"/>
            <w:vAlign w:val="bottom"/>
            <w:gridSpan w:val="2"/>
          </w:tcPr>
          <w:p>
            <w:pPr>
              <w:spacing w:after="0" w:line="154" w:lineRule="exact"/>
              <w:rPr>
                <w:sz w:val="20"/>
                <w:szCs w:val="20"/>
                <w:color w:val="auto"/>
              </w:rPr>
            </w:pPr>
            <w:r>
              <w:rPr>
                <w:rFonts w:ascii="Arial" w:cs="Arial" w:eastAsia="Arial" w:hAnsi="Arial"/>
                <w:sz w:val="14"/>
                <w:szCs w:val="14"/>
                <w:color w:val="auto"/>
                <w:w w:val="96"/>
              </w:rPr>
              <w:t>Number</w:t>
            </w:r>
          </w:p>
        </w:tc>
        <w:tc>
          <w:tcPr>
            <w:tcW w:w="360" w:type="dxa"/>
            <w:vAlign w:val="bottom"/>
          </w:tcPr>
          <w:p>
            <w:pPr>
              <w:spacing w:after="0"/>
              <w:rPr>
                <w:sz w:val="13"/>
                <w:szCs w:val="13"/>
                <w:color w:val="auto"/>
              </w:rPr>
            </w:pPr>
          </w:p>
        </w:tc>
        <w:tc>
          <w:tcPr>
            <w:tcW w:w="800" w:type="dxa"/>
            <w:vAlign w:val="bottom"/>
            <w:gridSpan w:val="3"/>
          </w:tcPr>
          <w:p>
            <w:pPr>
              <w:spacing w:after="0" w:line="154" w:lineRule="exact"/>
              <w:rPr>
                <w:sz w:val="20"/>
                <w:szCs w:val="20"/>
                <w:color w:val="auto"/>
              </w:rPr>
            </w:pPr>
            <w:r>
              <w:rPr>
                <w:rFonts w:ascii="Arial" w:cs="Arial" w:eastAsia="Arial" w:hAnsi="Arial"/>
                <w:sz w:val="14"/>
                <w:szCs w:val="14"/>
                <w:color w:val="auto"/>
              </w:rPr>
              <w:t>modification</w:t>
            </w:r>
          </w:p>
        </w:tc>
        <w:tc>
          <w:tcPr>
            <w:tcW w:w="340" w:type="dxa"/>
            <w:vAlign w:val="bottom"/>
          </w:tcPr>
          <w:p>
            <w:pPr>
              <w:spacing w:after="0"/>
              <w:rPr>
                <w:sz w:val="13"/>
                <w:szCs w:val="13"/>
                <w:color w:val="auto"/>
              </w:rPr>
            </w:pPr>
          </w:p>
        </w:tc>
        <w:tc>
          <w:tcPr>
            <w:tcW w:w="1140" w:type="dxa"/>
            <w:vAlign w:val="bottom"/>
            <w:gridSpan w:val="3"/>
          </w:tcPr>
          <w:p>
            <w:pPr>
              <w:spacing w:after="0" w:line="154" w:lineRule="exact"/>
              <w:rPr>
                <w:sz w:val="20"/>
                <w:szCs w:val="20"/>
                <w:color w:val="auto"/>
              </w:rPr>
            </w:pPr>
            <w:r>
              <w:rPr>
                <w:rFonts w:ascii="Arial" w:cs="Arial" w:eastAsia="Arial" w:hAnsi="Arial"/>
                <w:sz w:val="14"/>
                <w:szCs w:val="14"/>
                <w:color w:val="auto"/>
              </w:rPr>
              <w:t>modification</w:t>
            </w:r>
          </w:p>
        </w:tc>
        <w:tc>
          <w:tcPr>
            <w:tcW w:w="120" w:type="dxa"/>
            <w:vAlign w:val="bottom"/>
          </w:tcPr>
          <w:p>
            <w:pPr>
              <w:spacing w:after="0"/>
              <w:rPr>
                <w:sz w:val="13"/>
                <w:szCs w:val="13"/>
                <w:color w:val="auto"/>
              </w:rPr>
            </w:pPr>
          </w:p>
        </w:tc>
        <w:tc>
          <w:tcPr>
            <w:tcW w:w="900" w:type="dxa"/>
            <w:vAlign w:val="bottom"/>
            <w:gridSpan w:val="2"/>
          </w:tcPr>
          <w:p>
            <w:pPr>
              <w:ind w:left="120"/>
              <w:spacing w:after="0" w:line="154" w:lineRule="exact"/>
              <w:rPr>
                <w:sz w:val="20"/>
                <w:szCs w:val="20"/>
                <w:color w:val="auto"/>
              </w:rPr>
            </w:pPr>
            <w:r>
              <w:rPr>
                <w:rFonts w:ascii="Arial" w:cs="Arial" w:eastAsia="Arial" w:hAnsi="Arial"/>
                <w:sz w:val="14"/>
                <w:szCs w:val="14"/>
                <w:color w:val="auto"/>
              </w:rPr>
              <w:t>(a)</w:t>
            </w:r>
          </w:p>
        </w:tc>
        <w:tc>
          <w:tcPr>
            <w:tcW w:w="540" w:type="dxa"/>
            <w:vAlign w:val="bottom"/>
            <w:gridSpan w:val="2"/>
          </w:tcPr>
          <w:p>
            <w:pPr>
              <w:jc w:val="right"/>
              <w:ind w:right="160"/>
              <w:spacing w:after="0" w:line="154"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2020" w:type="dxa"/>
            <w:vAlign w:val="bottom"/>
            <w:tcBorders>
              <w:top w:val="single" w:sz="8" w:color="auto"/>
            </w:tcBorders>
          </w:tcPr>
          <w:p>
            <w:pPr>
              <w:spacing w:after="0"/>
              <w:rPr>
                <w:sz w:val="12"/>
                <w:szCs w:val="12"/>
                <w:color w:val="auto"/>
              </w:rPr>
            </w:pPr>
          </w:p>
        </w:tc>
        <w:tc>
          <w:tcPr>
            <w:tcW w:w="47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jc w:val="right"/>
              <w:ind w:right="200"/>
              <w:spacing w:after="0" w:line="149" w:lineRule="exact"/>
              <w:rPr>
                <w:sz w:val="20"/>
                <w:szCs w:val="20"/>
                <w:color w:val="auto"/>
              </w:rPr>
            </w:pPr>
            <w:r>
              <w:rPr>
                <w:rFonts w:ascii="Arial" w:cs="Arial" w:eastAsia="Arial" w:hAnsi="Arial"/>
                <w:sz w:val="14"/>
                <w:szCs w:val="14"/>
                <w:color w:val="auto"/>
                <w:w w:val="94"/>
              </w:rPr>
              <w:t>(dollars in thousands)</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16,018</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15,355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(663)</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8,883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15,889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17,864</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1,975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38,983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37,585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(1,398)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436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9,252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9,200</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693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61</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Residential-limited documentation</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424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Home equity lines and loans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1,356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Automobile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Interest rate reduction</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96,065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95,987</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4"/>
              </w:rPr>
              <w:t>(78</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(692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the Company’s loan modification activities that were considered troubled debt restructurings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6"/>
          </w:tcPr>
          <w:p>
            <w:pPr>
              <w:jc w:val="right"/>
              <w:ind w:right="320"/>
              <w:spacing w:after="0"/>
              <w:rPr>
                <w:sz w:val="20"/>
                <w:szCs w:val="20"/>
                <w:color w:val="auto"/>
              </w:rPr>
            </w:pPr>
            <w:r>
              <w:rPr>
                <w:rFonts w:ascii="Arial" w:cs="Arial" w:eastAsia="Arial" w:hAnsi="Arial"/>
                <w:sz w:val="14"/>
                <w:szCs w:val="14"/>
                <w:color w:val="auto"/>
                <w:w w:val="99"/>
              </w:rPr>
              <w:t>Financial effects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580"/>
              <w:spacing w:after="0"/>
              <w:rPr>
                <w:sz w:val="20"/>
                <w:szCs w:val="20"/>
                <w:color w:val="auto"/>
              </w:rPr>
            </w:pPr>
            <w:r>
              <w:rPr>
                <w:rFonts w:ascii="Arial" w:cs="Arial" w:eastAsia="Arial" w:hAnsi="Arial"/>
                <w:sz w:val="14"/>
                <w:szCs w:val="14"/>
                <w:color w:val="auto"/>
              </w:rPr>
              <w:t>Recorded investment</w:t>
            </w:r>
          </w:p>
        </w:tc>
        <w:tc>
          <w:tcPr>
            <w:tcW w:w="120" w:type="dxa"/>
            <w:vAlign w:val="bottom"/>
          </w:tcPr>
          <w:p>
            <w:pPr>
              <w:spacing w:after="0"/>
              <w:rPr>
                <w:sz w:val="14"/>
                <w:szCs w:val="14"/>
                <w:color w:val="auto"/>
              </w:rPr>
            </w:pPr>
          </w:p>
        </w:tc>
        <w:tc>
          <w:tcPr>
            <w:tcW w:w="1500" w:type="dxa"/>
            <w:vAlign w:val="bottom"/>
            <w:gridSpan w:val="6"/>
          </w:tcPr>
          <w:p>
            <w:pPr>
              <w:ind w:left="26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Borders>
              <w:top w:val="single" w:sz="8" w:color="auto"/>
            </w:tcBorders>
            <w:gridSpan w:val="3"/>
          </w:tcPr>
          <w:p>
            <w:pPr>
              <w:jc w:val="right"/>
              <w:ind w:right="220"/>
              <w:spacing w:after="0" w:line="123" w:lineRule="exact"/>
              <w:rPr>
                <w:sz w:val="20"/>
                <w:szCs w:val="20"/>
                <w:color w:val="auto"/>
              </w:rPr>
            </w:pPr>
            <w:r>
              <w:rPr>
                <w:rFonts w:ascii="Arial" w:cs="Arial" w:eastAsia="Arial" w:hAnsi="Arial"/>
                <w:sz w:val="14"/>
                <w:szCs w:val="14"/>
                <w:color w:val="auto"/>
                <w:w w:val="95"/>
              </w:rPr>
              <w:t>Recorded</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940" w:type="dxa"/>
            <w:vAlign w:val="bottom"/>
            <w:gridSpan w:val="3"/>
            <w:vMerge w:val="restart"/>
          </w:tcPr>
          <w:p>
            <w:pPr>
              <w:spacing w:after="0"/>
              <w:rPr>
                <w:sz w:val="20"/>
                <w:szCs w:val="20"/>
                <w:color w:val="auto"/>
              </w:rPr>
            </w:pPr>
            <w:r>
              <w:rPr>
                <w:rFonts w:ascii="Arial" w:cs="Arial" w:eastAsia="Arial" w:hAnsi="Arial"/>
                <w:sz w:val="14"/>
                <w:szCs w:val="14"/>
                <w:color w:val="auto"/>
              </w:rPr>
              <w:t>Six months ended June 30, 2016</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Post-</w:t>
            </w: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20" w:type="dxa"/>
            <w:vAlign w:val="bottom"/>
          </w:tcPr>
          <w:p>
            <w:pPr>
              <w:spacing w:after="0"/>
              <w:rPr>
                <w:sz w:val="12"/>
                <w:szCs w:val="12"/>
                <w:color w:val="auto"/>
              </w:rPr>
            </w:pPr>
          </w:p>
        </w:tc>
        <w:tc>
          <w:tcPr>
            <w:tcW w:w="6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61"/>
        </w:trPr>
        <w:tc>
          <w:tcPr>
            <w:tcW w:w="6940" w:type="dxa"/>
            <w:vAlign w:val="bottom"/>
            <w:gridSpan w:val="3"/>
            <w:vMerge w:val="continue"/>
          </w:tcPr>
          <w:p>
            <w:pPr>
              <w:spacing w:after="0"/>
              <w:rPr>
                <w:sz w:val="13"/>
                <w:szCs w:val="13"/>
                <w:color w:val="auto"/>
              </w:rPr>
            </w:pPr>
          </w:p>
        </w:tc>
        <w:tc>
          <w:tcPr>
            <w:tcW w:w="78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w w:val="92"/>
              </w:rPr>
              <w:t>Number</w:t>
            </w:r>
          </w:p>
        </w:tc>
        <w:tc>
          <w:tcPr>
            <w:tcW w:w="900" w:type="dxa"/>
            <w:vAlign w:val="bottom"/>
            <w:gridSpan w:val="3"/>
          </w:tcPr>
          <w:p>
            <w:pPr>
              <w:spacing w:after="0" w:line="154" w:lineRule="exact"/>
              <w:rPr>
                <w:sz w:val="20"/>
                <w:szCs w:val="20"/>
                <w:color w:val="auto"/>
              </w:rPr>
            </w:pPr>
            <w:r>
              <w:rPr>
                <w:rFonts w:ascii="Arial" w:cs="Arial" w:eastAsia="Arial" w:hAnsi="Arial"/>
                <w:sz w:val="14"/>
                <w:szCs w:val="14"/>
                <w:color w:val="auto"/>
              </w:rPr>
              <w:t>modification</w:t>
            </w:r>
          </w:p>
        </w:tc>
        <w:tc>
          <w:tcPr>
            <w:tcW w:w="140" w:type="dxa"/>
            <w:vAlign w:val="bottom"/>
          </w:tcPr>
          <w:p>
            <w:pPr>
              <w:spacing w:after="0"/>
              <w:rPr>
                <w:sz w:val="13"/>
                <w:szCs w:val="13"/>
                <w:color w:val="auto"/>
              </w:rPr>
            </w:pPr>
          </w:p>
        </w:tc>
        <w:tc>
          <w:tcPr>
            <w:tcW w:w="1040" w:type="dxa"/>
            <w:vAlign w:val="bottom"/>
            <w:gridSpan w:val="3"/>
          </w:tcPr>
          <w:p>
            <w:pPr>
              <w:spacing w:after="0" w:line="154" w:lineRule="exact"/>
              <w:rPr>
                <w:sz w:val="20"/>
                <w:szCs w:val="20"/>
                <w:color w:val="auto"/>
              </w:rPr>
            </w:pPr>
            <w:r>
              <w:rPr>
                <w:rFonts w:ascii="Arial" w:cs="Arial" w:eastAsia="Arial" w:hAnsi="Arial"/>
                <w:sz w:val="14"/>
                <w:szCs w:val="14"/>
                <w:color w:val="auto"/>
              </w:rPr>
              <w:t>modification</w:t>
            </w:r>
          </w:p>
        </w:tc>
        <w:tc>
          <w:tcPr>
            <w:tcW w:w="120" w:type="dxa"/>
            <w:vAlign w:val="bottom"/>
          </w:tcPr>
          <w:p>
            <w:pPr>
              <w:spacing w:after="0"/>
              <w:rPr>
                <w:sz w:val="13"/>
                <w:szCs w:val="13"/>
                <w:color w:val="auto"/>
              </w:rPr>
            </w:pPr>
          </w:p>
        </w:tc>
        <w:tc>
          <w:tcPr>
            <w:tcW w:w="700" w:type="dxa"/>
            <w:vAlign w:val="bottom"/>
            <w:gridSpan w:val="2"/>
          </w:tcPr>
          <w:p>
            <w:pPr>
              <w:ind w:left="120"/>
              <w:spacing w:after="0" w:line="154" w:lineRule="exact"/>
              <w:rPr>
                <w:sz w:val="20"/>
                <w:szCs w:val="20"/>
                <w:color w:val="auto"/>
              </w:rPr>
            </w:pPr>
            <w:r>
              <w:rPr>
                <w:rFonts w:ascii="Arial" w:cs="Arial" w:eastAsia="Arial" w:hAnsi="Arial"/>
                <w:sz w:val="14"/>
                <w:szCs w:val="14"/>
                <w:color w:val="auto"/>
              </w:rPr>
              <w:t>(a)</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50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6"/>
          </w:tcPr>
          <w:p>
            <w:pPr>
              <w:jc w:val="right"/>
              <w:ind w:right="100"/>
              <w:spacing w:after="0" w:line="149" w:lineRule="exact"/>
              <w:rPr>
                <w:sz w:val="20"/>
                <w:szCs w:val="20"/>
                <w:color w:val="auto"/>
              </w:rPr>
            </w:pPr>
            <w:r>
              <w:rPr>
                <w:rFonts w:ascii="Arial" w:cs="Arial" w:eastAsia="Arial" w:hAnsi="Arial"/>
                <w:sz w:val="14"/>
                <w:szCs w:val="14"/>
                <w:color w:val="auto"/>
              </w:rPr>
              <w:t>(dollars in thousands)</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57,304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58,378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20,169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6,209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 rate reduction</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4,723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10,932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22,958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Other commercial construction</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3,231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Residential-limited documentation</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Home equity lines and loans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6,233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Automobile</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141,574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140,601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4"/>
                <w:szCs w:val="14"/>
                <w:color w:val="auto"/>
                <w:w w:val="95"/>
              </w:rPr>
              <w:t>Financial effects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ind w:left="160"/>
              <w:spacing w:after="0"/>
              <w:rPr>
                <w:sz w:val="20"/>
                <w:szCs w:val="20"/>
                <w:color w:val="auto"/>
              </w:rPr>
            </w:pPr>
            <w:r>
              <w:rPr>
                <w:rFonts w:ascii="Arial" w:cs="Arial" w:eastAsia="Arial" w:hAnsi="Arial"/>
                <w:sz w:val="14"/>
                <w:szCs w:val="14"/>
                <w:color w:val="auto"/>
              </w:rPr>
              <w:t>Recorded investment</w:t>
            </w:r>
          </w:p>
        </w:tc>
        <w:tc>
          <w:tcPr>
            <w:tcW w:w="100" w:type="dxa"/>
            <w:vAlign w:val="bottom"/>
          </w:tcPr>
          <w:p>
            <w:pPr>
              <w:spacing w:after="0"/>
              <w:rPr>
                <w:sz w:val="14"/>
                <w:szCs w:val="14"/>
                <w:color w:val="auto"/>
              </w:rPr>
            </w:pPr>
          </w:p>
        </w:tc>
        <w:tc>
          <w:tcPr>
            <w:tcW w:w="1380" w:type="dxa"/>
            <w:vAlign w:val="bottom"/>
            <w:gridSpan w:val="4"/>
          </w:tcPr>
          <w:p>
            <w:pPr>
              <w:ind w:left="22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Borders>
              <w:top w:val="single" w:sz="8" w:color="auto"/>
            </w:tcBorders>
            <w:gridSpan w:val="3"/>
          </w:tcPr>
          <w:p>
            <w:pPr>
              <w:jc w:val="center"/>
              <w:ind w:right="320"/>
              <w:spacing w:after="0" w:line="123" w:lineRule="exact"/>
              <w:rPr>
                <w:sz w:val="20"/>
                <w:szCs w:val="20"/>
                <w:color w:val="auto"/>
              </w:rPr>
            </w:pPr>
            <w:r>
              <w:rPr>
                <w:rFonts w:ascii="Arial" w:cs="Arial" w:eastAsia="Arial" w:hAnsi="Arial"/>
                <w:sz w:val="14"/>
                <w:szCs w:val="14"/>
                <w:color w:val="auto"/>
                <w:w w:val="88"/>
              </w:rPr>
              <w:t>Recorded</w:t>
            </w: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spacing w:after="0"/>
              <w:rPr>
                <w:sz w:val="20"/>
                <w:szCs w:val="20"/>
                <w:color w:val="auto"/>
              </w:rPr>
            </w:pPr>
            <w:r>
              <w:rPr>
                <w:rFonts w:ascii="Arial" w:cs="Arial" w:eastAsia="Arial" w:hAnsi="Arial"/>
                <w:sz w:val="14"/>
                <w:szCs w:val="14"/>
                <w:color w:val="auto"/>
              </w:rPr>
              <w:t>Six months ended June 30, 2015</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Post-</w:t>
            </w: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Interest</w:t>
            </w:r>
          </w:p>
        </w:tc>
        <w:tc>
          <w:tcPr>
            <w:tcW w:w="0" w:type="dxa"/>
            <w:vAlign w:val="bottom"/>
          </w:tcPr>
          <w:p>
            <w:pPr>
              <w:spacing w:after="0"/>
              <w:rPr>
                <w:sz w:val="1"/>
                <w:szCs w:val="1"/>
                <w:color w:val="auto"/>
              </w:rPr>
            </w:pPr>
          </w:p>
        </w:tc>
      </w:tr>
      <w:tr>
        <w:trPr>
          <w:trHeight w:val="161"/>
        </w:trPr>
        <w:tc>
          <w:tcPr>
            <w:tcW w:w="7080" w:type="dxa"/>
            <w:vAlign w:val="bottom"/>
            <w:gridSpan w:val="3"/>
            <w:vMerge w:val="continue"/>
          </w:tcPr>
          <w:p>
            <w:pPr>
              <w:spacing w:after="0"/>
              <w:rPr>
                <w:sz w:val="13"/>
                <w:szCs w:val="13"/>
                <w:color w:val="auto"/>
              </w:rPr>
            </w:pPr>
          </w:p>
        </w:tc>
        <w:tc>
          <w:tcPr>
            <w:tcW w:w="780" w:type="dxa"/>
            <w:vAlign w:val="bottom"/>
            <w:gridSpan w:val="2"/>
          </w:tcPr>
          <w:p>
            <w:pPr>
              <w:spacing w:after="0" w:line="154" w:lineRule="exact"/>
              <w:rPr>
                <w:sz w:val="20"/>
                <w:szCs w:val="20"/>
                <w:color w:val="auto"/>
              </w:rPr>
            </w:pPr>
            <w:r>
              <w:rPr>
                <w:rFonts w:ascii="Arial" w:cs="Arial" w:eastAsia="Arial" w:hAnsi="Arial"/>
                <w:sz w:val="14"/>
                <w:szCs w:val="14"/>
                <w:color w:val="auto"/>
              </w:rPr>
              <w:t>Number</w:t>
            </w:r>
          </w:p>
        </w:tc>
        <w:tc>
          <w:tcPr>
            <w:tcW w:w="880" w:type="dxa"/>
            <w:vAlign w:val="bottom"/>
            <w:gridSpan w:val="3"/>
          </w:tcPr>
          <w:p>
            <w:pPr>
              <w:spacing w:after="0" w:line="154" w:lineRule="exact"/>
              <w:rPr>
                <w:sz w:val="20"/>
                <w:szCs w:val="20"/>
                <w:color w:val="auto"/>
              </w:rPr>
            </w:pPr>
            <w:r>
              <w:rPr>
                <w:rFonts w:ascii="Arial" w:cs="Arial" w:eastAsia="Arial" w:hAnsi="Arial"/>
                <w:sz w:val="14"/>
                <w:szCs w:val="14"/>
                <w:color w:val="auto"/>
              </w:rPr>
              <w:t>modification</w:t>
            </w:r>
          </w:p>
        </w:tc>
        <w:tc>
          <w:tcPr>
            <w:tcW w:w="160" w:type="dxa"/>
            <w:vAlign w:val="bottom"/>
          </w:tcPr>
          <w:p>
            <w:pPr>
              <w:spacing w:after="0"/>
              <w:rPr>
                <w:sz w:val="13"/>
                <w:szCs w:val="13"/>
                <w:color w:val="auto"/>
              </w:rPr>
            </w:pPr>
          </w:p>
        </w:tc>
        <w:tc>
          <w:tcPr>
            <w:tcW w:w="1040" w:type="dxa"/>
            <w:vAlign w:val="bottom"/>
            <w:gridSpan w:val="3"/>
          </w:tcPr>
          <w:p>
            <w:pPr>
              <w:spacing w:after="0" w:line="154" w:lineRule="exact"/>
              <w:rPr>
                <w:sz w:val="20"/>
                <w:szCs w:val="20"/>
                <w:color w:val="auto"/>
              </w:rPr>
            </w:pPr>
            <w:r>
              <w:rPr>
                <w:rFonts w:ascii="Arial" w:cs="Arial" w:eastAsia="Arial" w:hAnsi="Arial"/>
                <w:sz w:val="14"/>
                <w:szCs w:val="14"/>
                <w:color w:val="auto"/>
              </w:rPr>
              <w:t>modification</w:t>
            </w:r>
          </w:p>
        </w:tc>
        <w:tc>
          <w:tcPr>
            <w:tcW w:w="100" w:type="dxa"/>
            <w:vAlign w:val="bottom"/>
          </w:tcPr>
          <w:p>
            <w:pPr>
              <w:spacing w:after="0"/>
              <w:rPr>
                <w:sz w:val="13"/>
                <w:szCs w:val="13"/>
                <w:color w:val="auto"/>
              </w:rPr>
            </w:pPr>
          </w:p>
        </w:tc>
        <w:tc>
          <w:tcPr>
            <w:tcW w:w="840" w:type="dxa"/>
            <w:vAlign w:val="bottom"/>
            <w:gridSpan w:val="2"/>
          </w:tcPr>
          <w:p>
            <w:pPr>
              <w:jc w:val="center"/>
              <w:ind w:right="400"/>
              <w:spacing w:after="0" w:line="154" w:lineRule="exact"/>
              <w:rPr>
                <w:sz w:val="20"/>
                <w:szCs w:val="20"/>
                <w:color w:val="auto"/>
              </w:rPr>
            </w:pPr>
            <w:r>
              <w:rPr>
                <w:rFonts w:ascii="Arial" w:cs="Arial" w:eastAsia="Arial" w:hAnsi="Arial"/>
                <w:sz w:val="14"/>
                <w:szCs w:val="14"/>
                <w:color w:val="auto"/>
                <w:w w:val="93"/>
              </w:rPr>
              <w:t>(a)</w:t>
            </w:r>
          </w:p>
        </w:tc>
        <w:tc>
          <w:tcPr>
            <w:tcW w:w="54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5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6"/>
          </w:tcPr>
          <w:p>
            <w:pPr>
              <w:ind w:left="600"/>
              <w:spacing w:after="0" w:line="149" w:lineRule="exact"/>
              <w:rPr>
                <w:sz w:val="20"/>
                <w:szCs w:val="20"/>
                <w:color w:val="auto"/>
              </w:rPr>
            </w:pPr>
            <w:r>
              <w:rPr>
                <w:rFonts w:ascii="Arial" w:cs="Arial" w:eastAsia="Arial" w:hAnsi="Arial"/>
                <w:sz w:val="14"/>
                <w:szCs w:val="14"/>
                <w:color w:val="auto"/>
              </w:rPr>
              <w:t>(dollars in thousands)</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17,590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16,912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(678)</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 rate reduction</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8,991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8,883</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24,853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42,775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41,361</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(1,414)</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160</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Residential-limited documentation</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116,197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113,989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(2,208)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21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June 30, 2016 and 2015 and for which there was a subsequent payment default during the six-month periods ended June 30, 2016 and 2015, respectively, were not material.</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amount of foreclosed residential real estate property held by the Company was $158 million and $172 million at June 30, 2016 and December 31, 2015, respectively. There were $305 million and $315 million at June 30, 2016 and December 31, 2015, respectively, in loans secured by residential real estate that were in the process of foreclosure.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M&amp;T had $515 million of fixed and variable rate junior subordinated deferrable interest debentures (“Junior Subordinated Debentures”) outstanding at June 30, 2016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beginning in 2016 none of the securities are includable in M&amp;T’s Tier 1 regulatory capital, but do qualify for inclusion in Tier 2 regulatory capital.</w:t>
      </w:r>
    </w:p>
    <w:p>
      <w:pPr>
        <w:spacing w:after="0" w:line="17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Also included in long-term borrowings are agreements to repurchase securities of $1.9 billion at each of June 30, 2016 and December 31, 2015. The agreements reflect various repurchase dates through 2020, however, the contractual maturities of the underlying investment securities extend beyond such repurchase dates. The agreements are subject to legally enforceable master netting arrangements, however, the Company has not offset any amounts related to these agreements in its consolidated financial statements. The Company posted collateral consisting primarily of government guaranteed mortgage-backed securities of $2.0 billion at each of June 30, 2016 and December 31, 2015.</w:t>
      </w:r>
    </w:p>
    <w:p>
      <w:pPr>
        <w:spacing w:after="0" w:line="333"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Issued and outstanding preferred stock of M&amp;T as of June 30, 2016 and December 31, 2015 is presented below:</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center"/>
              <w:ind w:right="228"/>
              <w:spacing w:after="0"/>
              <w:rPr>
                <w:sz w:val="20"/>
                <w:szCs w:val="20"/>
                <w:color w:val="auto"/>
              </w:rPr>
            </w:pPr>
            <w:r>
              <w:rPr>
                <w:rFonts w:ascii="Arial" w:cs="Arial" w:eastAsia="Arial" w:hAnsi="Arial"/>
                <w:sz w:val="14"/>
                <w:szCs w:val="14"/>
                <w:color w:val="auto"/>
                <w:w w:val="85"/>
              </w:rPr>
              <w:t>Shares</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88"/>
              </w:rPr>
              <w:t>issued and</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1"/>
              </w:rPr>
              <w:t>outstanding</w:t>
            </w:r>
          </w:p>
        </w:tc>
        <w:tc>
          <w:tcPr>
            <w:tcW w:w="1260" w:type="dxa"/>
            <w:vAlign w:val="bottom"/>
            <w:gridSpan w:val="3"/>
          </w:tcPr>
          <w:p>
            <w:pPr>
              <w:ind w:left="300"/>
              <w:spacing w:after="0"/>
              <w:rPr>
                <w:sz w:val="20"/>
                <w:szCs w:val="20"/>
                <w:color w:val="auto"/>
              </w:rPr>
            </w:pPr>
            <w:r>
              <w:rPr>
                <w:rFonts w:ascii="Arial" w:cs="Arial" w:eastAsia="Arial" w:hAnsi="Arial"/>
                <w:sz w:val="14"/>
                <w:szCs w:val="14"/>
                <w:color w:val="auto"/>
              </w:rPr>
              <w:t>Carrying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Borders>
              <w:top w:val="single" w:sz="8" w:color="auto"/>
            </w:tcBorders>
            <w:gridSpan w:val="3"/>
          </w:tcPr>
          <w:p>
            <w:pPr>
              <w:jc w:val="right"/>
              <w:ind w:right="350"/>
              <w:spacing w:after="0" w:line="142"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Series A (a)</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tcPr>
          <w:p>
            <w:pPr>
              <w:spacing w:after="0" w:line="201" w:lineRule="exact"/>
              <w:rPr>
                <w:sz w:val="20"/>
                <w:szCs w:val="20"/>
                <w:color w:val="auto"/>
              </w:rPr>
            </w:pPr>
            <w:r>
              <w:rPr>
                <w:rFonts w:ascii="Arial" w:cs="Arial" w:eastAsia="Arial" w:hAnsi="Arial"/>
                <w:sz w:val="18"/>
                <w:szCs w:val="18"/>
                <w:color w:val="auto"/>
                <w:w w:val="95"/>
              </w:rPr>
              <w:t>Fixed Rate Cumulative Perpetual Preferred Stock, $1,000 liquidation preference</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1300" w:type="dxa"/>
            <w:vAlign w:val="bottom"/>
            <w:gridSpan w:val="2"/>
          </w:tcPr>
          <w:p>
            <w:pPr>
              <w:jc w:val="right"/>
              <w:ind w:right="228"/>
              <w:spacing w:after="0"/>
              <w:rPr>
                <w:sz w:val="20"/>
                <w:szCs w:val="20"/>
                <w:color w:val="auto"/>
              </w:rPr>
            </w:pPr>
            <w:r>
              <w:rPr>
                <w:rFonts w:ascii="Arial" w:cs="Arial" w:eastAsia="Arial" w:hAnsi="Arial"/>
                <w:sz w:val="18"/>
                <w:szCs w:val="18"/>
                <w:color w:val="auto"/>
              </w:rPr>
              <w:t>230,000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Series C (a)</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tcPr>
          <w:p>
            <w:pPr>
              <w:spacing w:after="0" w:line="201" w:lineRule="exact"/>
              <w:rPr>
                <w:sz w:val="20"/>
                <w:szCs w:val="20"/>
                <w:color w:val="auto"/>
              </w:rPr>
            </w:pPr>
            <w:r>
              <w:rPr>
                <w:rFonts w:ascii="Arial" w:cs="Arial" w:eastAsia="Arial" w:hAnsi="Arial"/>
                <w:sz w:val="18"/>
                <w:szCs w:val="18"/>
                <w:color w:val="auto"/>
                <w:w w:val="95"/>
              </w:rPr>
              <w:t>Fixed Rate Cumulative Perpetual Preferred Stock, $1,000 liquidation preference</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1300" w:type="dxa"/>
            <w:vAlign w:val="bottom"/>
            <w:gridSpan w:val="2"/>
          </w:tcPr>
          <w:p>
            <w:pPr>
              <w:jc w:val="right"/>
              <w:ind w:right="228"/>
              <w:spacing w:after="0"/>
              <w:rPr>
                <w:sz w:val="20"/>
                <w:szCs w:val="20"/>
                <w:color w:val="auto"/>
              </w:rPr>
            </w:pPr>
            <w:r>
              <w:rPr>
                <w:rFonts w:ascii="Arial" w:cs="Arial" w:eastAsia="Arial" w:hAnsi="Arial"/>
                <w:sz w:val="18"/>
                <w:szCs w:val="18"/>
                <w:color w:val="auto"/>
              </w:rPr>
              <w:t>151,500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Series D (b)</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tcPr>
          <w:p>
            <w:pPr>
              <w:spacing w:after="0" w:line="201" w:lineRule="exact"/>
              <w:rPr>
                <w:sz w:val="20"/>
                <w:szCs w:val="20"/>
                <w:color w:val="auto"/>
              </w:rPr>
            </w:pPr>
            <w:r>
              <w:rPr>
                <w:rFonts w:ascii="Arial" w:cs="Arial" w:eastAsia="Arial" w:hAnsi="Arial"/>
                <w:sz w:val="18"/>
                <w:szCs w:val="18"/>
                <w:color w:val="auto"/>
              </w:rPr>
              <w:t>Fixed Rate Non-cumulative Perpetual Preferred Stock, $10,000 liquidation</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preference per share</w:t>
            </w:r>
          </w:p>
        </w:tc>
        <w:tc>
          <w:tcPr>
            <w:tcW w:w="1300" w:type="dxa"/>
            <w:vAlign w:val="bottom"/>
            <w:gridSpan w:val="2"/>
          </w:tcPr>
          <w:p>
            <w:pPr>
              <w:jc w:val="right"/>
              <w:ind w:right="228"/>
              <w:spacing w:after="0"/>
              <w:rPr>
                <w:sz w:val="20"/>
                <w:szCs w:val="20"/>
                <w:color w:val="auto"/>
              </w:rPr>
            </w:pPr>
            <w:r>
              <w:rPr>
                <w:rFonts w:ascii="Arial" w:cs="Arial" w:eastAsia="Arial" w:hAnsi="Arial"/>
                <w:sz w:val="18"/>
                <w:szCs w:val="18"/>
                <w:color w:val="auto"/>
              </w:rPr>
              <w:t>50,000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Series E (c)</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tcPr>
          <w:p>
            <w:pPr>
              <w:spacing w:after="0" w:line="201" w:lineRule="exact"/>
              <w:rPr>
                <w:sz w:val="20"/>
                <w:szCs w:val="20"/>
                <w:color w:val="auto"/>
              </w:rPr>
            </w:pPr>
            <w:r>
              <w:rPr>
                <w:rFonts w:ascii="Arial" w:cs="Arial" w:eastAsia="Arial" w:hAnsi="Arial"/>
                <w:sz w:val="18"/>
                <w:szCs w:val="18"/>
                <w:color w:val="auto"/>
              </w:rPr>
              <w:t>Fixed-to-Floating Rate Non-cumulative Perpetual Preferred Stock $1,000</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liquidation preference per share</w:t>
            </w:r>
          </w:p>
        </w:tc>
        <w:tc>
          <w:tcPr>
            <w:tcW w:w="1300" w:type="dxa"/>
            <w:vAlign w:val="bottom"/>
            <w:gridSpan w:val="2"/>
          </w:tcPr>
          <w:p>
            <w:pPr>
              <w:jc w:val="right"/>
              <w:ind w:right="228"/>
              <w:spacing w:after="0"/>
              <w:rPr>
                <w:sz w:val="20"/>
                <w:szCs w:val="20"/>
                <w:color w:val="auto"/>
              </w:rPr>
            </w:pPr>
            <w:r>
              <w:rPr>
                <w:rFonts w:ascii="Arial" w:cs="Arial" w:eastAsia="Arial" w:hAnsi="Arial"/>
                <w:sz w:val="18"/>
                <w:szCs w:val="18"/>
                <w:color w:val="auto"/>
              </w:rPr>
              <w:t>350,000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520" w:hanging="452"/>
        <w:spacing w:after="0" w:line="258" w:lineRule="auto"/>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at 6.375%. Warrants to purchase M&amp;T common stock at $73.86 per share issued in connection with the Series A preferred stock expire in 2018 and totaled 713,855 at June 30, 2016 and 719,175 at December 31, 2015.</w:t>
      </w:r>
    </w:p>
    <w:p>
      <w:pPr>
        <w:spacing w:after="0" w:line="1" w:lineRule="exact"/>
        <w:rPr>
          <w:rFonts w:ascii="Arial" w:cs="Arial" w:eastAsia="Arial" w:hAnsi="Arial"/>
          <w:sz w:val="18"/>
          <w:szCs w:val="18"/>
          <w:i w:val="1"/>
          <w:iCs w:val="1"/>
          <w:color w:val="auto"/>
        </w:rPr>
      </w:pPr>
    </w:p>
    <w:p>
      <w:pPr>
        <w:ind w:left="460" w:hanging="452"/>
        <w:spacing w:after="0"/>
        <w:tabs>
          <w:tab w:leader="none" w:pos="46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Dividends, if declared, are paid semi-annually at a rate of 6.875% per year. The shares became redeemable in whole or in part on June 15, 2016.</w:t>
      </w:r>
    </w:p>
    <w:p>
      <w:pPr>
        <w:spacing w:after="0" w:line="20" w:lineRule="exact"/>
        <w:rPr>
          <w:rFonts w:ascii="Arial" w:cs="Arial" w:eastAsia="Arial" w:hAnsi="Arial"/>
          <w:sz w:val="17"/>
          <w:szCs w:val="17"/>
          <w:i w:val="1"/>
          <w:iCs w:val="1"/>
          <w:color w:val="auto"/>
        </w:rPr>
      </w:pPr>
    </w:p>
    <w:p>
      <w:pPr>
        <w:ind w:left="460" w:hanging="452"/>
        <w:spacing w:after="0" w:line="265" w:lineRule="auto"/>
        <w:tabs>
          <w:tab w:leader="none" w:pos="46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Dividends, if declared, are paid semi-annually at a rate of 6.45% through February 14, 2024 and thereafter will be paid quarterly at a rate of the three-month LIBOR plus 361 basis points (hundredths of one percent). The shares are redeemable in whole or in part on or after February 15,</w:t>
      </w:r>
    </w:p>
    <w:p>
      <w:pPr>
        <w:ind w:left="460"/>
        <w:spacing w:after="0" w:line="261" w:lineRule="auto"/>
        <w:rPr>
          <w:rFonts w:ascii="Arial" w:cs="Arial" w:eastAsia="Arial" w:hAnsi="Arial"/>
          <w:sz w:val="17"/>
          <w:szCs w:val="17"/>
          <w:i w:val="1"/>
          <w:iCs w:val="1"/>
          <w:color w:val="auto"/>
        </w:rPr>
      </w:pPr>
      <w:r>
        <w:rPr>
          <w:rFonts w:ascii="Arial" w:cs="Arial" w:eastAsia="Arial" w:hAnsi="Arial"/>
          <w:sz w:val="18"/>
          <w:szCs w:val="18"/>
          <w:i w:val="1"/>
          <w:iCs w:val="1"/>
          <w:color w:val="auto"/>
        </w:rPr>
        <w:t>2024. Notwithstanding M&amp;T’s option to redeem the shares, if an event occurs such that the shares no longer qualify as Tier 1 capital, M&amp;T may redeem all of the shares within 90 days following that occurrence.</w:t>
      </w:r>
    </w:p>
    <w:p>
      <w:pPr>
        <w:spacing w:after="0" w:line="184"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In addition to the Series A warrants mentioned in (a) above, a warrant to purchase 95,383 shares of M&amp;T common stock at $518.96 per share was outstanding at June 30, 2016 and December 31, 2015. The obligation under that warrant was assumed by M&amp;T in an acquisition.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 and other postretirement benefits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96"/>
              </w:rPr>
              <w:t>Other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Pension</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4"/>
          </w:tcPr>
          <w:p>
            <w:pPr>
              <w:jc w:val="center"/>
              <w:ind w:right="140"/>
              <w:spacing w:after="0" w:line="149" w:lineRule="exact"/>
              <w:rPr>
                <w:sz w:val="20"/>
                <w:szCs w:val="20"/>
                <w:color w:val="auto"/>
              </w:rPr>
            </w:pPr>
            <w:r>
              <w:rPr>
                <w:rFonts w:ascii="Arial" w:cs="Arial" w:eastAsia="Arial" w:hAnsi="Arial"/>
                <w:sz w:val="14"/>
                <w:szCs w:val="14"/>
                <w:color w:val="auto"/>
                <w:w w:val="91"/>
              </w:rPr>
              <w:t>postretirement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benefits</w:t>
            </w: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left="296"/>
              <w:spacing w:after="0"/>
              <w:rPr>
                <w:sz w:val="20"/>
                <w:szCs w:val="20"/>
                <w:color w:val="auto"/>
              </w:rPr>
            </w:pPr>
            <w:r>
              <w:rPr>
                <w:rFonts w:ascii="Arial" w:cs="Arial" w:eastAsia="Arial" w:hAnsi="Arial"/>
                <w:sz w:val="14"/>
                <w:szCs w:val="14"/>
                <w:color w:val="auto"/>
                <w:w w:val="93"/>
              </w:rPr>
              <w:t>benefits</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340" w:type="dxa"/>
            <w:vAlign w:val="bottom"/>
            <w:gridSpan w:val="5"/>
          </w:tcPr>
          <w:p>
            <w:pPr>
              <w:jc w:val="center"/>
              <w:ind w:right="168"/>
              <w:spacing w:after="0" w:line="123" w:lineRule="exact"/>
              <w:rPr>
                <w:sz w:val="20"/>
                <w:szCs w:val="20"/>
                <w:color w:val="auto"/>
              </w:rPr>
            </w:pPr>
            <w:r>
              <w:rPr>
                <w:rFonts w:ascii="Arial" w:cs="Arial" w:eastAsia="Arial" w:hAnsi="Arial"/>
                <w:sz w:val="14"/>
                <w:szCs w:val="14"/>
                <w:color w:val="auto"/>
                <w:w w:val="90"/>
              </w:rPr>
              <w:t>Three months ended June 30</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2016</w:t>
            </w: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2015</w:t>
            </w: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gridSpan w:val="2"/>
          </w:tcPr>
          <w:p>
            <w:pPr>
              <w:jc w:val="center"/>
              <w:ind w:left="114"/>
              <w:spacing w:after="0"/>
              <w:rPr>
                <w:sz w:val="20"/>
                <w:szCs w:val="20"/>
                <w:color w:val="auto"/>
              </w:rPr>
            </w:pPr>
            <w:r>
              <w:rPr>
                <w:rFonts w:ascii="Arial" w:cs="Arial" w:eastAsia="Arial" w:hAnsi="Arial"/>
                <w:sz w:val="14"/>
                <w:szCs w:val="14"/>
                <w:color w:val="auto"/>
                <w:w w:val="92"/>
              </w:rPr>
              <w:t>(in thousands)</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44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5,832</w:t>
            </w:r>
          </w:p>
        </w:tc>
        <w:tc>
          <w:tcPr>
            <w:tcW w:w="880" w:type="dxa"/>
            <w:vAlign w:val="bottom"/>
            <w:tcBorders>
              <w:right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340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20,822</w:t>
            </w:r>
          </w:p>
        </w:tc>
        <w:tc>
          <w:tcPr>
            <w:tcW w:w="4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17,732</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1,281</w:t>
            </w:r>
          </w:p>
        </w:tc>
        <w:tc>
          <w:tcPr>
            <w:tcW w:w="4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89"/>
              </w:rPr>
              <w:t>(26,423)</w:t>
            </w:r>
          </w:p>
        </w:tc>
        <w:tc>
          <w:tcPr>
            <w:tcW w:w="10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(23,476)</w:t>
            </w:r>
          </w:p>
        </w:tc>
        <w:tc>
          <w:tcPr>
            <w:tcW w:w="880" w:type="dxa"/>
            <w:vAlign w:val="bottom"/>
            <w:tcBorders>
              <w:right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tcPr>
          <w:p>
            <w:pPr>
              <w:spacing w:after="0"/>
              <w:rPr>
                <w:sz w:val="18"/>
                <w:szCs w:val="18"/>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8"/>
                <w:szCs w:val="18"/>
                <w:color w:val="auto"/>
              </w:rPr>
              <w:t>(789)</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(1,478)</w:t>
            </w:r>
          </w:p>
        </w:tc>
        <w:tc>
          <w:tcPr>
            <w:tcW w:w="880" w:type="dxa"/>
            <w:vAlign w:val="bottom"/>
            <w:gridSpan w:val="2"/>
          </w:tcPr>
          <w:p>
            <w:pPr>
              <w:jc w:val="right"/>
              <w:ind w:right="328"/>
              <w:spacing w:after="0"/>
              <w:rPr>
                <w:sz w:val="20"/>
                <w:szCs w:val="20"/>
                <w:color w:val="auto"/>
              </w:rPr>
            </w:pPr>
            <w:r>
              <w:rPr>
                <w:rFonts w:ascii="Arial" w:cs="Arial" w:eastAsia="Arial" w:hAnsi="Arial"/>
                <w:sz w:val="18"/>
                <w:szCs w:val="18"/>
                <w:color w:val="auto"/>
              </w:rPr>
              <w:t>(330)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44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11,237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98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6,520</w:t>
            </w:r>
          </w:p>
        </w:tc>
        <w:tc>
          <w:tcPr>
            <w:tcW w:w="44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9,847</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1,321</w:t>
            </w:r>
          </w:p>
        </w:tc>
        <w:tc>
          <w:tcPr>
            <w:tcW w:w="46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96"/>
              </w:rPr>
              <w:t>Other</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Pension</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4"/>
          </w:tcPr>
          <w:p>
            <w:pPr>
              <w:jc w:val="center"/>
              <w:ind w:right="140"/>
              <w:spacing w:after="0" w:line="149" w:lineRule="exact"/>
              <w:rPr>
                <w:sz w:val="20"/>
                <w:szCs w:val="20"/>
                <w:color w:val="auto"/>
              </w:rPr>
            </w:pPr>
            <w:r>
              <w:rPr>
                <w:rFonts w:ascii="Arial" w:cs="Arial" w:eastAsia="Arial" w:hAnsi="Arial"/>
                <w:sz w:val="14"/>
                <w:szCs w:val="14"/>
                <w:color w:val="auto"/>
                <w:w w:val="91"/>
              </w:rPr>
              <w:t>postretirement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benefits</w:t>
            </w: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left="296"/>
              <w:spacing w:after="0"/>
              <w:rPr>
                <w:sz w:val="20"/>
                <w:szCs w:val="20"/>
                <w:color w:val="auto"/>
              </w:rPr>
            </w:pPr>
            <w:r>
              <w:rPr>
                <w:rFonts w:ascii="Arial" w:cs="Arial" w:eastAsia="Arial" w:hAnsi="Arial"/>
                <w:sz w:val="14"/>
                <w:szCs w:val="14"/>
                <w:color w:val="auto"/>
                <w:w w:val="93"/>
              </w:rPr>
              <w:t>benefits</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340" w:type="dxa"/>
            <w:vAlign w:val="bottom"/>
            <w:gridSpan w:val="5"/>
          </w:tcPr>
          <w:p>
            <w:pPr>
              <w:jc w:val="center"/>
              <w:ind w:right="188"/>
              <w:spacing w:after="0" w:line="123" w:lineRule="exact"/>
              <w:rPr>
                <w:sz w:val="20"/>
                <w:szCs w:val="20"/>
                <w:color w:val="auto"/>
              </w:rPr>
            </w:pPr>
            <w:r>
              <w:rPr>
                <w:rFonts w:ascii="Arial" w:cs="Arial" w:eastAsia="Arial" w:hAnsi="Arial"/>
                <w:sz w:val="14"/>
                <w:szCs w:val="14"/>
                <w:color w:val="auto"/>
                <w:w w:val="91"/>
              </w:rPr>
              <w:t>Six months ended June 30</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2016</w:t>
            </w: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2015</w:t>
            </w: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gridSpan w:val="2"/>
          </w:tcPr>
          <w:p>
            <w:pPr>
              <w:jc w:val="center"/>
              <w:ind w:left="114"/>
              <w:spacing w:after="0"/>
              <w:rPr>
                <w:sz w:val="20"/>
                <w:szCs w:val="20"/>
                <w:color w:val="auto"/>
              </w:rPr>
            </w:pPr>
            <w:r>
              <w:rPr>
                <w:rFonts w:ascii="Arial" w:cs="Arial" w:eastAsia="Arial" w:hAnsi="Arial"/>
                <w:sz w:val="14"/>
                <w:szCs w:val="14"/>
                <w:color w:val="auto"/>
                <w:w w:val="92"/>
              </w:rPr>
              <w:t>(in thousands)</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12,519</w:t>
            </w:r>
          </w:p>
        </w:tc>
        <w:tc>
          <w:tcPr>
            <w:tcW w:w="44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11,832</w:t>
            </w:r>
          </w:p>
        </w:tc>
        <w:tc>
          <w:tcPr>
            <w:tcW w:w="880" w:type="dxa"/>
            <w:vAlign w:val="bottom"/>
            <w:tcBorders>
              <w:right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798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41,705</w:t>
            </w:r>
          </w:p>
        </w:tc>
        <w:tc>
          <w:tcPr>
            <w:tcW w:w="4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35,507</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2,486</w:t>
            </w:r>
          </w:p>
        </w:tc>
        <w:tc>
          <w:tcPr>
            <w:tcW w:w="4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89"/>
              </w:rPr>
              <w:t>(54,237)</w:t>
            </w:r>
          </w:p>
        </w:tc>
        <w:tc>
          <w:tcPr>
            <w:tcW w:w="10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(47,051)</w:t>
            </w:r>
          </w:p>
        </w:tc>
        <w:tc>
          <w:tcPr>
            <w:tcW w:w="880" w:type="dxa"/>
            <w:vAlign w:val="bottom"/>
            <w:tcBorders>
              <w:right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tcPr>
          <w:p>
            <w:pPr>
              <w:spacing w:after="0"/>
              <w:rPr>
                <w:sz w:val="18"/>
                <w:szCs w:val="18"/>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8"/>
                <w:szCs w:val="18"/>
                <w:color w:val="auto"/>
              </w:rPr>
              <w:t>(1,614)</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(3,003)</w:t>
            </w:r>
          </w:p>
        </w:tc>
        <w:tc>
          <w:tcPr>
            <w:tcW w:w="880" w:type="dxa"/>
            <w:vAlign w:val="bottom"/>
            <w:gridSpan w:val="2"/>
          </w:tcPr>
          <w:p>
            <w:pPr>
              <w:jc w:val="right"/>
              <w:ind w:right="328"/>
              <w:spacing w:after="0"/>
              <w:rPr>
                <w:sz w:val="20"/>
                <w:szCs w:val="20"/>
                <w:color w:val="auto"/>
              </w:rPr>
            </w:pPr>
            <w:r>
              <w:rPr>
                <w:rFonts w:ascii="Arial" w:cs="Arial" w:eastAsia="Arial" w:hAnsi="Arial"/>
                <w:sz w:val="18"/>
                <w:szCs w:val="18"/>
                <w:color w:val="auto"/>
              </w:rPr>
              <w:t>(680)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15,073</w:t>
            </w:r>
          </w:p>
        </w:tc>
        <w:tc>
          <w:tcPr>
            <w:tcW w:w="44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22,412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98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13,446</w:t>
            </w:r>
          </w:p>
        </w:tc>
        <w:tc>
          <w:tcPr>
            <w:tcW w:w="44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19,697</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2,634</w:t>
            </w:r>
          </w:p>
        </w:tc>
        <w:tc>
          <w:tcPr>
            <w:tcW w:w="46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$15,274,000 and $13,346,000 for the three months ended June 30, 2016 and 2015, respectively, and $32,964,000 and $30,096,000 for the six months ended June 30, 2016 and 2015, respectively.</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274"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540"/>
              <w:spacing w:after="0"/>
              <w:rPr>
                <w:sz w:val="20"/>
                <w:szCs w:val="20"/>
                <w:color w:val="auto"/>
              </w:rPr>
            </w:pPr>
            <w:r>
              <w:rPr>
                <w:rFonts w:ascii="Arial" w:cs="Arial" w:eastAsia="Arial" w:hAnsi="Arial"/>
                <w:sz w:val="14"/>
                <w:szCs w:val="14"/>
                <w:color w:val="auto"/>
              </w:rPr>
              <w:t>Three months ended</w:t>
            </w:r>
          </w:p>
        </w:tc>
        <w:tc>
          <w:tcPr>
            <w:tcW w:w="1720" w:type="dxa"/>
            <w:vAlign w:val="bottom"/>
            <w:gridSpan w:val="4"/>
          </w:tcPr>
          <w:p>
            <w:pPr>
              <w:jc w:val="right"/>
              <w:ind w:right="4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900"/>
              <w:spacing w:after="0"/>
              <w:rPr>
                <w:sz w:val="20"/>
                <w:szCs w:val="20"/>
                <w:color w:val="auto"/>
              </w:rPr>
            </w:pPr>
            <w:r>
              <w:rPr>
                <w:rFonts w:ascii="Arial" w:cs="Arial" w:eastAsia="Arial" w:hAnsi="Arial"/>
                <w:sz w:val="14"/>
                <w:szCs w:val="14"/>
                <w:color w:val="auto"/>
              </w:rPr>
              <w:t>June 30</w:t>
            </w:r>
          </w:p>
        </w:tc>
        <w:tc>
          <w:tcPr>
            <w:tcW w:w="1720" w:type="dxa"/>
            <w:vAlign w:val="bottom"/>
            <w:gridSpan w:val="4"/>
          </w:tcPr>
          <w:p>
            <w:pPr>
              <w:jc w:val="right"/>
              <w:ind w:right="68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2015</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5"/>
          </w:tcPr>
          <w:p>
            <w:pPr>
              <w:jc w:val="right"/>
              <w:ind w:right="220"/>
              <w:spacing w:after="0" w:line="142" w:lineRule="exact"/>
              <w:rPr>
                <w:sz w:val="20"/>
                <w:szCs w:val="20"/>
                <w:color w:val="auto"/>
              </w:rPr>
            </w:pPr>
            <w:r>
              <w:rPr>
                <w:rFonts w:ascii="Arial" w:cs="Arial" w:eastAsia="Arial" w:hAnsi="Arial"/>
                <w:sz w:val="14"/>
                <w:szCs w:val="14"/>
                <w:color w:val="auto"/>
                <w:w w:val="92"/>
              </w:rPr>
              <w:t>(in thousands, except per share)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336,031</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286,688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634,559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528,301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Preferred stock dividends (a)</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(20,317)</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(20,317)</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(40,635)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Net income available to common equity</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315,714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266,371</w:t>
            </w:r>
          </w:p>
        </w:tc>
        <w:tc>
          <w:tcPr>
            <w:tcW w:w="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593,924</w:t>
            </w:r>
          </w:p>
        </w:tc>
        <w:tc>
          <w:tcPr>
            <w:tcW w:w="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487,666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(2,746)</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(5,227)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331"/>
        </w:trPr>
        <w:tc>
          <w:tcPr>
            <w:tcW w:w="6820" w:type="dxa"/>
            <w:vAlign w:val="bottom"/>
            <w:gridSpan w:val="2"/>
          </w:tcPr>
          <w:p>
            <w:pPr>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312,968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263,471</w:t>
            </w:r>
          </w:p>
        </w:tc>
        <w:tc>
          <w:tcPr>
            <w:tcW w:w="30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588,697</w:t>
            </w:r>
          </w:p>
        </w:tc>
        <w:tc>
          <w:tcPr>
            <w:tcW w:w="30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482,295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w w:val="95"/>
              </w:rPr>
              <w:t>Common shares outstanding (including common stock issuable) and unvested stock-</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520"/>
              <w:spacing w:after="0"/>
              <w:rPr>
                <w:sz w:val="20"/>
                <w:szCs w:val="20"/>
                <w:color w:val="auto"/>
              </w:rPr>
            </w:pPr>
            <w:r>
              <w:rPr>
                <w:rFonts w:ascii="Arial" w:cs="Arial" w:eastAsia="Arial" w:hAnsi="Arial"/>
                <w:sz w:val="18"/>
                <w:szCs w:val="18"/>
                <w:color w:val="auto"/>
              </w:rPr>
              <w:t>based compensation awards</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159,164</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133,818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159,692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133,680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Unvested stock-based compensation awards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(1,362)</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(1,462)</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331"/>
        </w:trPr>
        <w:tc>
          <w:tcPr>
            <w:tcW w:w="682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157,802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132,356</w:t>
            </w:r>
          </w:p>
        </w:tc>
        <w:tc>
          <w:tcPr>
            <w:tcW w:w="30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158,268</w:t>
            </w:r>
          </w:p>
        </w:tc>
        <w:tc>
          <w:tcPr>
            <w:tcW w:w="30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132,203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Including impact of not as yet declared cumulative dividends.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240" w:top="274" w:right="6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NOTES TO FINANCIAL STATEMENTS, CONTINUED</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0"/>
                <w:szCs w:val="20"/>
                <w:color w:val="auto"/>
              </w:rPr>
            </w:pPr>
            <w:r>
              <w:rPr>
                <w:rFonts w:ascii="Arial" w:cs="Arial" w:eastAsia="Arial" w:hAnsi="Arial"/>
                <w:sz w:val="18"/>
                <w:szCs w:val="18"/>
                <w:b w:val="1"/>
                <w:bCs w:val="1"/>
                <w:color w:val="auto"/>
              </w:rPr>
              <w:t>8.</w:t>
            </w:r>
          </w:p>
        </w:tc>
        <w:tc>
          <w:tcPr>
            <w:tcW w:w="6980" w:type="dxa"/>
            <w:vAlign w:val="bottom"/>
            <w:gridSpan w:val="2"/>
          </w:tcPr>
          <w:p>
            <w:pPr>
              <w:ind w:left="160"/>
              <w:spacing w:after="0"/>
              <w:rPr>
                <w:sz w:val="20"/>
                <w:szCs w:val="20"/>
                <w:color w:val="auto"/>
              </w:rPr>
            </w:pPr>
            <w:r>
              <w:rPr>
                <w:rFonts w:ascii="Arial" w:cs="Arial" w:eastAsia="Arial" w:hAnsi="Arial"/>
                <w:sz w:val="18"/>
                <w:szCs w:val="18"/>
                <w:b w:val="1"/>
                <w:bCs w:val="1"/>
                <w:color w:val="auto"/>
              </w:rPr>
              <w:t>Earnings per common share, continued</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6980" w:type="dxa"/>
            <w:vAlign w:val="bottom"/>
            <w:gridSpan w:val="2"/>
          </w:tcPr>
          <w:p>
            <w:pPr>
              <w:ind w:left="160"/>
              <w:spacing w:after="0"/>
              <w:rPr>
                <w:sz w:val="20"/>
                <w:szCs w:val="20"/>
                <w:color w:val="auto"/>
              </w:rPr>
            </w:pPr>
            <w:r>
              <w:rPr>
                <w:rFonts w:ascii="Arial" w:cs="Arial" w:eastAsia="Arial" w:hAnsi="Arial"/>
                <w:sz w:val="18"/>
                <w:szCs w:val="18"/>
                <w:color w:val="auto"/>
              </w:rPr>
              <w:t>The computations of diluted earnings per common share follow:</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5"/>
          </w:tcPr>
          <w:p>
            <w:pPr>
              <w:jc w:val="right"/>
              <w:ind w:right="540"/>
              <w:spacing w:after="0"/>
              <w:rPr>
                <w:sz w:val="20"/>
                <w:szCs w:val="20"/>
                <w:color w:val="auto"/>
              </w:rPr>
            </w:pPr>
            <w:r>
              <w:rPr>
                <w:rFonts w:ascii="Arial" w:cs="Arial" w:eastAsia="Arial" w:hAnsi="Arial"/>
                <w:sz w:val="14"/>
                <w:szCs w:val="14"/>
                <w:color w:val="auto"/>
              </w:rPr>
              <w:t>Three months ended</w:t>
            </w:r>
          </w:p>
        </w:tc>
        <w:tc>
          <w:tcPr>
            <w:tcW w:w="1720" w:type="dxa"/>
            <w:vAlign w:val="bottom"/>
            <w:gridSpan w:val="4"/>
          </w:tcPr>
          <w:p>
            <w:pPr>
              <w:jc w:val="right"/>
              <w:ind w:right="4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900"/>
              <w:spacing w:after="0"/>
              <w:rPr>
                <w:sz w:val="20"/>
                <w:szCs w:val="20"/>
                <w:color w:val="auto"/>
              </w:rPr>
            </w:pPr>
            <w:r>
              <w:rPr>
                <w:rFonts w:ascii="Arial" w:cs="Arial" w:eastAsia="Arial" w:hAnsi="Arial"/>
                <w:sz w:val="14"/>
                <w:szCs w:val="14"/>
                <w:color w:val="auto"/>
              </w:rPr>
              <w:t>June 30</w:t>
            </w:r>
          </w:p>
        </w:tc>
        <w:tc>
          <w:tcPr>
            <w:tcW w:w="1720" w:type="dxa"/>
            <w:vAlign w:val="bottom"/>
            <w:gridSpan w:val="4"/>
          </w:tcPr>
          <w:p>
            <w:pPr>
              <w:jc w:val="right"/>
              <w:ind w:right="68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2015</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tcPr>
          <w:p>
            <w:pPr>
              <w:jc w:val="right"/>
              <w:ind w:right="220"/>
              <w:spacing w:after="0"/>
              <w:rPr>
                <w:sz w:val="20"/>
                <w:szCs w:val="20"/>
                <w:color w:val="auto"/>
              </w:rPr>
            </w:pPr>
            <w:r>
              <w:rPr>
                <w:rFonts w:ascii="Arial" w:cs="Arial" w:eastAsia="Arial" w:hAnsi="Arial"/>
                <w:sz w:val="14"/>
                <w:szCs w:val="14"/>
                <w:color w:val="auto"/>
                <w:w w:val="92"/>
              </w:rPr>
              <w:t>(in thousands, except per share)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00" w:type="dxa"/>
            <w:vAlign w:val="bottom"/>
          </w:tcPr>
          <w:p>
            <w:pPr>
              <w:spacing w:after="0"/>
              <w:rPr>
                <w:sz w:val="6"/>
                <w:szCs w:val="6"/>
                <w:color w:val="auto"/>
              </w:rPr>
            </w:pPr>
          </w:p>
        </w:tc>
        <w:tc>
          <w:tcPr>
            <w:tcW w:w="160" w:type="dxa"/>
            <w:vAlign w:val="bottom"/>
            <w:vMerge w:val="restart"/>
          </w:tcPr>
          <w:p>
            <w:pPr>
              <w:spacing w:after="0"/>
              <w:rPr>
                <w:sz w:val="6"/>
                <w:szCs w:val="6"/>
                <w:color w:val="auto"/>
              </w:rPr>
            </w:pPr>
          </w:p>
        </w:tc>
        <w:tc>
          <w:tcPr>
            <w:tcW w:w="6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315,714</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266,371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593,924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487,666</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(2,740)</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(2,890)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(5,217)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68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312,974</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263,481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588,707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482,313</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980" w:type="dxa"/>
            <w:vAlign w:val="bottom"/>
            <w:gridSpan w:val="2"/>
          </w:tcPr>
          <w:p>
            <w:pPr>
              <w:ind w:left="160"/>
              <w:spacing w:after="0"/>
              <w:rPr>
                <w:sz w:val="20"/>
                <w:szCs w:val="20"/>
                <w:color w:val="auto"/>
              </w:rPr>
            </w:pPr>
            <w:r>
              <w:rPr>
                <w:rFonts w:ascii="Arial" w:cs="Arial" w:eastAsia="Arial" w:hAnsi="Arial"/>
                <w:sz w:val="18"/>
                <w:szCs w:val="18"/>
                <w:color w:val="auto"/>
              </w:rPr>
              <w:t>Adjusted weighted-average shares outstanding:</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and unvested stock-based compensation awards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159,164</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133,818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159,692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133,680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Less: Unvested stock-based compensation awards</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(1,362)</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(1,462)</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(1,424)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Plus: Incremental shares from assumed conversion of stock-based compensation</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awards and warrants to purchase common stock</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30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30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300" w:type="dxa"/>
            <w:vAlign w:val="bottom"/>
          </w:tcPr>
          <w:p>
            <w:pPr>
              <w:spacing w:after="0"/>
              <w:rPr>
                <w:sz w:val="24"/>
                <w:szCs w:val="24"/>
                <w:color w:val="auto"/>
              </w:rPr>
            </w:pPr>
          </w:p>
        </w:tc>
        <w:tc>
          <w:tcPr>
            <w:tcW w:w="6980" w:type="dxa"/>
            <w:vAlign w:val="bottom"/>
            <w:gridSpan w:val="2"/>
          </w:tcPr>
          <w:p>
            <w:pPr>
              <w:ind w:left="160"/>
              <w:spacing w:after="0"/>
              <w:rPr>
                <w:sz w:val="20"/>
                <w:szCs w:val="20"/>
                <w:color w:val="auto"/>
              </w:rPr>
            </w:pPr>
            <w:r>
              <w:rPr>
                <w:rFonts w:ascii="Arial" w:cs="Arial" w:eastAsia="Arial" w:hAnsi="Arial"/>
                <w:sz w:val="18"/>
                <w:szCs w:val="18"/>
                <w:color w:val="auto"/>
              </w:rPr>
              <w:t>Adjusted weighted-average shares outstanding</w:t>
            </w: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158,341</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133,116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158,761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132,944</w:t>
            </w: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6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60" w:firstLine="456"/>
        <w:spacing w:after="0" w:line="259"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Stock-based compensation awards and warrants to purchase common stock of M&amp;T representing approximately 2.7 million and 1.6 million common shares during the three-month periods ended June 30, 2016 and 2015, respectively, and 2.8 million and 2.1 million common shares during the six-month periods ended June 30, 2016 and 2015, respectively, were not included in the computations of diluted earnings per common share because the effect on those periods would have been antidilutive.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27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display the components of other comprehensive income (loss) and amounts reclassified from accumulated other comprehensive income (loss) to net income: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color w:val="auto"/>
              </w:rPr>
              <w:t>Investment securities</w:t>
            </w: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9"/>
              </w:rPr>
              <w:t>Defined</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color w:val="auto"/>
                <w:w w:val="89"/>
              </w:rPr>
              <w:t>Total</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9"/>
              </w:rPr>
              <w:t>With</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All</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benefit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amount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Income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4"/>
                <w:szCs w:val="14"/>
                <w:color w:val="auto"/>
                <w:w w:val="98"/>
              </w:rPr>
              <w:t>OTTI (a)</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other</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plans</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before tax</w:t>
            </w:r>
          </w:p>
        </w:tc>
        <w:tc>
          <w:tcPr>
            <w:tcW w:w="860" w:type="dxa"/>
            <w:vAlign w:val="bottom"/>
            <w:gridSpan w:val="2"/>
          </w:tcPr>
          <w:p>
            <w:pPr>
              <w:jc w:val="right"/>
              <w:ind w:right="440"/>
              <w:spacing w:after="0"/>
              <w:rPr>
                <w:sz w:val="20"/>
                <w:szCs w:val="20"/>
                <w:color w:val="auto"/>
              </w:rPr>
            </w:pPr>
            <w:r>
              <w:rPr>
                <w:rFonts w:ascii="Arial" w:cs="Arial" w:eastAsia="Arial" w:hAnsi="Arial"/>
                <w:sz w:val="14"/>
                <w:szCs w:val="14"/>
                <w:color w:val="auto"/>
              </w:rPr>
              <w:t>tax</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5"/>
          </w:tcPr>
          <w:p>
            <w:pPr>
              <w:jc w:val="right"/>
              <w:ind w:right="1040"/>
              <w:spacing w:after="0"/>
              <w:rPr>
                <w:sz w:val="20"/>
                <w:szCs w:val="20"/>
                <w:color w:val="auto"/>
              </w:rPr>
            </w:pPr>
            <w:r>
              <w:rPr>
                <w:rFonts w:ascii="Arial" w:cs="Arial" w:eastAsia="Arial" w:hAnsi="Arial"/>
                <w:sz w:val="14"/>
                <w:szCs w:val="14"/>
                <w:color w:val="auto"/>
                <w:w w:val="96"/>
              </w:rPr>
              <w:t>(in thousands)</w:t>
            </w: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$16,359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62,849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(489,660)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(4,093)</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8"/>
              </w:rPr>
              <w:t>$(414,545)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162,918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$(251,627)</w:t>
            </w:r>
          </w:p>
        </w:tc>
        <w:tc>
          <w:tcPr>
            <w:tcW w:w="0" w:type="dxa"/>
            <w:vAlign w:val="bottom"/>
          </w:tcPr>
          <w:p>
            <w:pPr>
              <w:spacing w:after="0"/>
              <w:rPr>
                <w:sz w:val="1"/>
                <w:szCs w:val="1"/>
                <w:color w:val="auto"/>
              </w:rPr>
            </w:pP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rPr>
              <w:t>Other comprehensive income before reclassifications: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holding gains, net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227,118</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236,378</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(2,489)</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(2,489)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871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before reclassifications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227,118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233,889</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(92,139)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141,750</w:t>
            </w:r>
          </w:p>
        </w:tc>
        <w:tc>
          <w:tcPr>
            <w:tcW w:w="0" w:type="dxa"/>
            <w:vAlign w:val="bottom"/>
          </w:tcPr>
          <w:p>
            <w:pPr>
              <w:spacing w:after="0"/>
              <w:rPr>
                <w:sz w:val="1"/>
                <w:szCs w:val="1"/>
                <w:color w:val="auto"/>
              </w:rPr>
            </w:pPr>
          </w:p>
        </w:tc>
      </w:tr>
      <w:tr>
        <w:trPr>
          <w:trHeight w:val="317"/>
        </w:trPr>
        <w:tc>
          <w:tcPr>
            <w:tcW w:w="5200" w:type="dxa"/>
            <w:vAlign w:val="bottom"/>
            <w:gridSpan w:val="2"/>
          </w:tcPr>
          <w:p>
            <w:pPr>
              <w:spacing w:after="0"/>
              <w:rPr>
                <w:sz w:val="20"/>
                <w:szCs w:val="20"/>
                <w:color w:val="auto"/>
              </w:rPr>
            </w:pPr>
            <w:r>
              <w:rPr>
                <w:rFonts w:ascii="Arial" w:cs="Arial" w:eastAsia="Arial" w:hAnsi="Arial"/>
                <w:sz w:val="18"/>
                <w:szCs w:val="18"/>
                <w:color w:val="auto"/>
                <w:w w:val="94"/>
              </w:rPr>
              <w:t>Amounts reclassified from accumulated other comprehensive income</w:t>
            </w: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that (increase) decrease net income:</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Accretion of unrealized holding losses on held-to-maturity</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(“HTM”) securities</w:t>
            </w: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2,081(b)</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Gains realized in net income</w:t>
            </w: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(268)</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(268)(c)</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net gain on terminated cash flow hedges</w:t>
            </w: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Amortization of prior service credit</w:t>
            </w: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(2,294)</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(2,294)(e)</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902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actuarial losses</w:t>
            </w: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15,103</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15,103(e)</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Total reclassifications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12,809</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14,545</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(5,689)</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gain (loss) during the period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228,931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248,434</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(97,828)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150,606</w:t>
            </w: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200" w:type="dxa"/>
            <w:vAlign w:val="bottom"/>
            <w:gridSpan w:val="2"/>
          </w:tcPr>
          <w:p>
            <w:pPr>
              <w:spacing w:after="0"/>
              <w:rPr>
                <w:sz w:val="20"/>
                <w:szCs w:val="20"/>
                <w:color w:val="auto"/>
              </w:rPr>
            </w:pPr>
            <w:r>
              <w:rPr>
                <w:rFonts w:ascii="Arial" w:cs="Arial" w:eastAsia="Arial" w:hAnsi="Arial"/>
                <w:sz w:val="18"/>
                <w:szCs w:val="18"/>
                <w:color w:val="auto"/>
              </w:rPr>
              <w:t>Balance – June 30, 2016</w:t>
            </w: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25,619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291,780</w:t>
            </w: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(476,851)</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(6,659)</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(166,111)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65,090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(101,021)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9.</w:t>
            </w:r>
          </w:p>
        </w:tc>
        <w:tc>
          <w:tcPr>
            <w:tcW w:w="5040" w:type="dxa"/>
            <w:vAlign w:val="bottom"/>
          </w:tcPr>
          <w:p>
            <w:pPr>
              <w:ind w:left="300"/>
              <w:spacing w:after="0"/>
              <w:rPr>
                <w:sz w:val="20"/>
                <w:szCs w:val="20"/>
                <w:color w:val="auto"/>
              </w:rPr>
            </w:pPr>
            <w:r>
              <w:rPr>
                <w:rFonts w:ascii="Arial" w:cs="Arial" w:eastAsia="Arial" w:hAnsi="Arial"/>
                <w:sz w:val="18"/>
                <w:szCs w:val="18"/>
                <w:b w:val="1"/>
                <w:bCs w:val="1"/>
                <w:color w:val="auto"/>
              </w:rPr>
              <w:t>Comprehensive income, continued</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4"/>
          </w:tcPr>
          <w:p>
            <w:pPr>
              <w:jc w:val="right"/>
              <w:ind w:right="320"/>
              <w:spacing w:after="0"/>
              <w:rPr>
                <w:sz w:val="20"/>
                <w:szCs w:val="20"/>
                <w:color w:val="auto"/>
              </w:rPr>
            </w:pPr>
            <w:r>
              <w:rPr>
                <w:rFonts w:ascii="Arial" w:cs="Arial" w:eastAsia="Arial" w:hAnsi="Arial"/>
                <w:sz w:val="14"/>
                <w:szCs w:val="14"/>
                <w:color w:val="auto"/>
                <w:w w:val="92"/>
              </w:rPr>
              <w:t>Investment securities</w:t>
            </w: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9"/>
              </w:rPr>
              <w:t>Defined</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color w:val="auto"/>
                <w:w w:val="89"/>
              </w:rPr>
              <w:t>Total</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With</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All</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benefit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amount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Income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4"/>
                <w:szCs w:val="14"/>
                <w:color w:val="auto"/>
              </w:rPr>
              <w:t>OTTI (a)</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other</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plans</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before tax</w:t>
            </w:r>
          </w:p>
        </w:tc>
        <w:tc>
          <w:tcPr>
            <w:tcW w:w="860" w:type="dxa"/>
            <w:vAlign w:val="bottom"/>
            <w:gridSpan w:val="2"/>
          </w:tcPr>
          <w:p>
            <w:pPr>
              <w:jc w:val="right"/>
              <w:ind w:right="440"/>
              <w:spacing w:after="0"/>
              <w:rPr>
                <w:sz w:val="20"/>
                <w:szCs w:val="20"/>
                <w:color w:val="auto"/>
              </w:rPr>
            </w:pPr>
            <w:r>
              <w:rPr>
                <w:rFonts w:ascii="Arial" w:cs="Arial" w:eastAsia="Arial" w:hAnsi="Arial"/>
                <w:sz w:val="14"/>
                <w:szCs w:val="14"/>
                <w:color w:val="auto"/>
              </w:rPr>
              <w:t>tax</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5"/>
          </w:tcPr>
          <w:p>
            <w:pPr>
              <w:jc w:val="right"/>
              <w:ind w:right="1040"/>
              <w:spacing w:after="0"/>
              <w:rPr>
                <w:sz w:val="20"/>
                <w:szCs w:val="20"/>
                <w:color w:val="auto"/>
              </w:rPr>
            </w:pPr>
            <w:r>
              <w:rPr>
                <w:rFonts w:ascii="Arial" w:cs="Arial" w:eastAsia="Arial" w:hAnsi="Arial"/>
                <w:sz w:val="14"/>
                <w:szCs w:val="14"/>
                <w:color w:val="auto"/>
                <w:w w:val="96"/>
              </w:rPr>
              <w:t>(in thousands)</w:t>
            </w: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18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 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201,828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(503,027)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(4,082)</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8"/>
              </w:rPr>
              <w:t>$(297,843)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116,849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$(180,994)</w:t>
            </w:r>
          </w:p>
        </w:tc>
        <w:tc>
          <w:tcPr>
            <w:tcW w:w="0" w:type="dxa"/>
            <w:vAlign w:val="bottom"/>
          </w:tcPr>
          <w:p>
            <w:pPr>
              <w:spacing w:after="0"/>
              <w:rPr>
                <w:sz w:val="1"/>
                <w:szCs w:val="1"/>
                <w:color w:val="auto"/>
              </w:rPr>
            </w:pPr>
          </w:p>
        </w:tc>
      </w:tr>
      <w:tr>
        <w:trPr>
          <w:trHeight w:val="324"/>
        </w:trPr>
        <w:tc>
          <w:tcPr>
            <w:tcW w:w="5200" w:type="dxa"/>
            <w:vAlign w:val="bottom"/>
            <w:gridSpan w:val="3"/>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(losses),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(85,602)</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(79,932)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31,617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(779)</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(779)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Gains on cash flow hedges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3"/>
        </w:trPr>
        <w:tc>
          <w:tcPr>
            <w:tcW w:w="5200" w:type="dxa"/>
            <w:vAlign w:val="bottom"/>
            <w:gridSpan w:val="3"/>
          </w:tcPr>
          <w:p>
            <w:pPr>
              <w:spacing w:after="0"/>
              <w:rPr>
                <w:sz w:val="20"/>
                <w:szCs w:val="20"/>
                <w:color w:val="auto"/>
              </w:rPr>
            </w:pPr>
            <w:r>
              <w:rPr>
                <w:rFonts w:ascii="Arial" w:cs="Arial" w:eastAsia="Arial" w:hAnsi="Arial"/>
                <w:sz w:val="18"/>
                <w:szCs w:val="18"/>
                <w:color w:val="auto"/>
              </w:rPr>
              <w:t>Total other comprehensive income (loss) before reclassifications</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(85,602)</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(79,258)</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31,310</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Amounts reclassified from accumulated other comprehensive income</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that (increase) decrease net income:</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Accretion of unrealized holding losses on HTM securities</w:t>
            </w:r>
          </w:p>
        </w:tc>
        <w:tc>
          <w:tcPr>
            <w:tcW w:w="10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1,589</w:t>
            </w:r>
          </w:p>
        </w:tc>
        <w:tc>
          <w:tcPr>
            <w:tcW w:w="2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1,589(b)</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(621)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realized in net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108(c)</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Accretion of net gain on terminated cash flow hedges</w:t>
            </w: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(63)(d)</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(3,682)</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(3,682)(e)</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Amortization of actuarial losses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22,465</w:t>
            </w:r>
          </w:p>
        </w:tc>
        <w:tc>
          <w:tcPr>
            <w:tcW w:w="20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22,465(e)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(9,981)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12,484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20,417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11,440</w:t>
            </w:r>
          </w:p>
        </w:tc>
        <w:tc>
          <w:tcPr>
            <w:tcW w:w="0" w:type="dxa"/>
            <w:vAlign w:val="bottom"/>
          </w:tcPr>
          <w:p>
            <w:pPr>
              <w:spacing w:after="0"/>
              <w:rPr>
                <w:sz w:val="1"/>
                <w:szCs w:val="1"/>
                <w:color w:val="auto"/>
              </w:rPr>
            </w:pPr>
          </w:p>
        </w:tc>
      </w:tr>
      <w:tr>
        <w:trPr>
          <w:trHeight w:val="20"/>
        </w:trPr>
        <w:tc>
          <w:tcPr>
            <w:tcW w:w="52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200" w:type="dxa"/>
            <w:vAlign w:val="bottom"/>
            <w:gridSpan w:val="3"/>
          </w:tcPr>
          <w:p>
            <w:pPr>
              <w:spacing w:after="0"/>
              <w:rPr>
                <w:sz w:val="20"/>
                <w:szCs w:val="20"/>
                <w:color w:val="auto"/>
              </w:rPr>
            </w:pPr>
            <w:r>
              <w:rPr>
                <w:rFonts w:ascii="Arial" w:cs="Arial" w:eastAsia="Arial" w:hAnsi="Arial"/>
                <w:sz w:val="18"/>
                <w:szCs w:val="18"/>
                <w:color w:val="auto"/>
              </w:rPr>
              <w:t>Total gain (loss) during the period</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5,670</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(83,905)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18,783</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611</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(58,841)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22,333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(36,508)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June 30, 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13,108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117,923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(484,244)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(3,471)</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(356,684)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139,182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(217,502)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Other-than-temporary impairment</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income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gain (loss) on bank investment securities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expense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salaries and employee benefits expense</w:t>
      </w:r>
    </w:p>
    <w:p>
      <w:pPr>
        <w:spacing w:after="0" w:line="210"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Accumulated other comprehensive income (loss), net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Defined</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4"/>
                <w:szCs w:val="14"/>
                <w:color w:val="auto"/>
                <w:w w:val="92"/>
              </w:rPr>
              <w:t>Investment securities</w:t>
            </w: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benefit</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With OTTI</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All 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Arial" w:cs="Arial" w:eastAsia="Arial" w:hAnsi="Arial"/>
                <w:sz w:val="14"/>
                <w:szCs w:val="14"/>
                <w:color w:val="auto"/>
                <w:w w:val="95"/>
              </w:rPr>
              <w:t>plans</w:t>
            </w: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Other</w:t>
            </w: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92"/>
              </w:rPr>
              <w:t>(in thousands)</w:t>
            </w: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860" w:type="dxa"/>
            <w:vAlign w:val="bottom"/>
          </w:tcPr>
          <w:p>
            <w:pPr>
              <w:spacing w:after="0"/>
              <w:rPr>
                <w:sz w:val="6"/>
                <w:szCs w:val="6"/>
                <w:color w:val="auto"/>
              </w:rPr>
            </w:pPr>
          </w:p>
        </w:tc>
        <w:tc>
          <w:tcPr>
            <w:tcW w:w="3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2015</w:t>
            </w:r>
          </w:p>
        </w:tc>
        <w:tc>
          <w:tcPr>
            <w:tcW w:w="344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38,166</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(296,979)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$(251,627)</w:t>
            </w:r>
          </w:p>
        </w:tc>
        <w:tc>
          <w:tcPr>
            <w:tcW w:w="0" w:type="dxa"/>
            <w:vAlign w:val="bottom"/>
          </w:tcPr>
          <w:p>
            <w:pPr>
              <w:spacing w:after="0"/>
              <w:rPr>
                <w:sz w:val="1"/>
                <w:szCs w:val="1"/>
                <w:color w:val="auto"/>
              </w:rPr>
            </w:pPr>
          </w:p>
        </w:tc>
      </w:tr>
      <w:tr>
        <w:trPr>
          <w:trHeight w:val="324"/>
        </w:trPr>
        <w:tc>
          <w:tcPr>
            <w:tcW w:w="388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5,616</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138,848</w:t>
            </w:r>
          </w:p>
        </w:tc>
        <w:tc>
          <w:tcPr>
            <w:tcW w:w="80" w:type="dxa"/>
            <w:vAlign w:val="bottom"/>
          </w:tcPr>
          <w:p>
            <w:pPr>
              <w:spacing w:after="0"/>
              <w:rPr>
                <w:sz w:val="24"/>
                <w:szCs w:val="2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7,807</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(1,665)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150,606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8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2016</w:t>
            </w:r>
          </w:p>
        </w:tc>
        <w:tc>
          <w:tcPr>
            <w:tcW w:w="344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15,537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177,014</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(289,172)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(101,021)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320" w:type="dxa"/>
            <w:vAlign w:val="bottom"/>
            <w:vMerge w:val="restart"/>
          </w:tcPr>
          <w:p>
            <w:pPr>
              <w:jc w:val="right"/>
              <w:ind w:right="1250"/>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was not material as of June 30, 2016.</w:t>
      </w:r>
    </w:p>
    <w:p>
      <w:pPr>
        <w:spacing w:after="0" w:line="193"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The net effect of interest rate swap agreements was to increase net interest income by $10 million and $11 million for the three-month periods ended June 30, 2016 and 2015, respectively, and $20 million and $22 million for the six-month periods ended June 30, 2016 and 2015, respectively.</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Information about interest rate swap agreements entered into for interest rate risk management purposes summarized by type of financial instrument the swap agreements were intended to hedge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4"/>
                <w:szCs w:val="14"/>
                <w:color w:val="auto"/>
                <w:w w:val="97"/>
              </w:rPr>
              <w:t>Weighted-</w:t>
            </w:r>
          </w:p>
        </w:tc>
        <w:tc>
          <w:tcPr>
            <w:tcW w:w="0" w:type="dxa"/>
            <w:vAlign w:val="bottom"/>
          </w:tcPr>
          <w:p>
            <w:pPr>
              <w:spacing w:after="0"/>
              <w:rPr>
                <w:sz w:val="1"/>
                <w:szCs w:val="1"/>
                <w:color w:val="auto"/>
              </w:rPr>
            </w:pPr>
          </w:p>
        </w:tc>
      </w:tr>
      <w:tr>
        <w:trPr>
          <w:trHeight w:val="167"/>
        </w:trPr>
        <w:tc>
          <w:tcPr>
            <w:tcW w:w="5580" w:type="dxa"/>
            <w:vAlign w:val="bottom"/>
          </w:tcPr>
          <w:p>
            <w:pPr>
              <w:spacing w:after="0"/>
              <w:rPr>
                <w:sz w:val="14"/>
                <w:szCs w:val="14"/>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color w:val="auto"/>
                <w:w w:val="97"/>
              </w:rPr>
              <w:t>Notional</w:t>
            </w: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Average</w:t>
            </w:r>
          </w:p>
        </w:tc>
        <w:tc>
          <w:tcPr>
            <w:tcW w:w="380" w:type="dxa"/>
            <w:vAlign w:val="bottom"/>
          </w:tcPr>
          <w:p>
            <w:pPr>
              <w:spacing w:after="0"/>
              <w:rPr>
                <w:sz w:val="14"/>
                <w:szCs w:val="14"/>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4"/>
                <w:szCs w:val="14"/>
                <w:color w:val="auto"/>
                <w:w w:val="86"/>
              </w:rPr>
              <w:t>average rate</w:t>
            </w: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300" w:type="dxa"/>
            <w:vAlign w:val="bottom"/>
            <w:gridSpan w:val="3"/>
          </w:tcPr>
          <w:p>
            <w:pPr>
              <w:jc w:val="center"/>
              <w:ind w:right="500"/>
              <w:spacing w:after="0" w:line="142" w:lineRule="exact"/>
              <w:rPr>
                <w:sz w:val="20"/>
                <w:szCs w:val="20"/>
                <w:color w:val="auto"/>
              </w:rPr>
            </w:pPr>
            <w:r>
              <w:rPr>
                <w:rFonts w:ascii="Arial" w:cs="Arial" w:eastAsia="Arial" w:hAnsi="Arial"/>
                <w:sz w:val="14"/>
                <w:szCs w:val="14"/>
                <w:color w:val="auto"/>
                <w:w w:val="94"/>
              </w:rPr>
              <w:t>amount</w:t>
            </w:r>
          </w:p>
        </w:tc>
        <w:tc>
          <w:tcPr>
            <w:tcW w:w="104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maturity</w:t>
            </w:r>
          </w:p>
        </w:tc>
        <w:tc>
          <w:tcPr>
            <w:tcW w:w="980" w:type="dxa"/>
            <w:vAlign w:val="bottom"/>
            <w:tcBorders>
              <w:top w:val="single" w:sz="8" w:color="auto"/>
            </w:tcBorders>
            <w:gridSpan w:val="2"/>
          </w:tcPr>
          <w:p>
            <w:pPr>
              <w:jc w:val="right"/>
              <w:ind w:right="548"/>
              <w:spacing w:after="0" w:line="142" w:lineRule="exact"/>
              <w:rPr>
                <w:sz w:val="20"/>
                <w:szCs w:val="20"/>
                <w:color w:val="auto"/>
              </w:rPr>
            </w:pPr>
            <w:r>
              <w:rPr>
                <w:rFonts w:ascii="Arial" w:cs="Arial" w:eastAsia="Arial" w:hAnsi="Arial"/>
                <w:sz w:val="14"/>
                <w:szCs w:val="14"/>
                <w:color w:val="auto"/>
                <w:w w:val="99"/>
              </w:rPr>
              <w:t>Fixed</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Variable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480" w:type="dxa"/>
            <w:vAlign w:val="bottom"/>
            <w:gridSpan w:val="2"/>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(in years)</w:t>
            </w:r>
          </w:p>
        </w:tc>
        <w:tc>
          <w:tcPr>
            <w:tcW w:w="4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Fair value hedges: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rate long-term borrowings (a)</w:t>
            </w: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1,400,000</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w w:val="97"/>
              </w:rPr>
              <w:t>4.42%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December 31, 2015</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5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Fixed rate long-term borrowings (a)</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1,400,000</w:t>
            </w:r>
          </w:p>
        </w:tc>
        <w:tc>
          <w:tcPr>
            <w:tcW w:w="4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980" w:type="dxa"/>
            <w:vAlign w:val="bottom"/>
            <w:gridSpan w:val="2"/>
          </w:tcPr>
          <w:p>
            <w:pPr>
              <w:jc w:val="right"/>
              <w:ind w:right="388"/>
              <w:spacing w:after="0"/>
              <w:rPr>
                <w:sz w:val="20"/>
                <w:szCs w:val="20"/>
                <w:color w:val="auto"/>
              </w:rPr>
            </w:pPr>
            <w:r>
              <w:rPr>
                <w:rFonts w:ascii="Arial" w:cs="Arial" w:eastAsia="Arial" w:hAnsi="Arial"/>
                <w:sz w:val="18"/>
                <w:szCs w:val="18"/>
                <w:color w:val="auto"/>
                <w:w w:val="97"/>
              </w:rPr>
              <w:t>4.42%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66"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$20.1 billion and $18.4 billion at June 30, 2016 and December 31, 2015, respectively. The notional amounts of foreign currency and other option and futures contracts entered into for trading account purposes aggregated $826 million and $1.6 billion at June 30, 2016 and December 31, 2015, respectively.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4"/>
          </w:tcPr>
          <w:p>
            <w:pPr>
              <w:jc w:val="right"/>
              <w:ind w:right="960"/>
              <w:spacing w:after="0"/>
              <w:rPr>
                <w:sz w:val="20"/>
                <w:szCs w:val="20"/>
                <w:color w:val="auto"/>
              </w:rPr>
            </w:pPr>
            <w:r>
              <w:rPr>
                <w:rFonts w:ascii="Arial" w:cs="Arial" w:eastAsia="Arial" w:hAnsi="Arial"/>
                <w:sz w:val="14"/>
                <w:szCs w:val="14"/>
                <w:color w:val="auto"/>
              </w:rPr>
              <w:t>Asset derivatives</w:t>
            </w:r>
          </w:p>
        </w:tc>
        <w:tc>
          <w:tcPr>
            <w:tcW w:w="2020" w:type="dxa"/>
            <w:vAlign w:val="bottom"/>
            <w:gridSpan w:val="5"/>
          </w:tcPr>
          <w:p>
            <w:pPr>
              <w:jc w:val="right"/>
              <w:ind w:right="480"/>
              <w:spacing w:after="0"/>
              <w:rPr>
                <w:sz w:val="20"/>
                <w:szCs w:val="20"/>
                <w:color w:val="auto"/>
              </w:rPr>
            </w:pPr>
            <w:r>
              <w:rPr>
                <w:rFonts w:ascii="Arial" w:cs="Arial" w:eastAsia="Arial" w:hAnsi="Arial"/>
                <w:sz w:val="14"/>
                <w:szCs w:val="14"/>
                <w:color w:val="auto"/>
              </w:rPr>
              <w:t>Liability 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617"/>
              <w:spacing w:after="0" w:line="142" w:lineRule="exact"/>
              <w:rPr>
                <w:sz w:val="20"/>
                <w:szCs w:val="20"/>
                <w:color w:val="auto"/>
              </w:rPr>
            </w:pPr>
            <w:r>
              <w:rPr>
                <w:rFonts w:ascii="Arial" w:cs="Arial" w:eastAsia="Arial" w:hAnsi="Arial"/>
                <w:sz w:val="14"/>
                <w:szCs w:val="14"/>
                <w:color w:val="auto"/>
                <w:w w:val="91"/>
              </w:rPr>
              <w:t>Fair value</w:t>
            </w:r>
          </w:p>
        </w:tc>
        <w:tc>
          <w:tcPr>
            <w:tcW w:w="480" w:type="dxa"/>
            <w:vAlign w:val="bottom"/>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576"/>
              <w:spacing w:after="0" w:line="142" w:lineRule="exact"/>
              <w:rPr>
                <w:sz w:val="20"/>
                <w:szCs w:val="20"/>
                <w:color w:val="auto"/>
              </w:rPr>
            </w:pPr>
            <w:r>
              <w:rPr>
                <w:rFonts w:ascii="Arial" w:cs="Arial" w:eastAsia="Arial" w:hAnsi="Arial"/>
                <w:sz w:val="14"/>
                <w:szCs w:val="14"/>
                <w:color w:val="auto"/>
                <w:w w:val="94"/>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4"/>
              <w:spacing w:after="0" w:line="123" w:lineRule="exact"/>
              <w:rPr>
                <w:sz w:val="20"/>
                <w:szCs w:val="20"/>
                <w:color w:val="auto"/>
              </w:rPr>
            </w:pPr>
            <w:r>
              <w:rPr>
                <w:rFonts w:ascii="Arial" w:cs="Arial" w:eastAsia="Arial" w:hAnsi="Arial"/>
                <w:sz w:val="14"/>
                <w:szCs w:val="14"/>
                <w:color w:val="auto"/>
                <w:w w:val="89"/>
              </w:rPr>
              <w:t>June 30,</w:t>
            </w:r>
          </w:p>
        </w:tc>
        <w:tc>
          <w:tcPr>
            <w:tcW w:w="48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480" w:type="dxa"/>
            <w:vAlign w:val="bottom"/>
          </w:tcPr>
          <w:p>
            <w:pPr>
              <w:spacing w:after="0"/>
              <w:rPr>
                <w:sz w:val="10"/>
                <w:szCs w:val="10"/>
                <w:color w:val="auto"/>
              </w:rPr>
            </w:pPr>
          </w:p>
        </w:tc>
        <w:tc>
          <w:tcPr>
            <w:tcW w:w="660" w:type="dxa"/>
            <w:vAlign w:val="bottom"/>
            <w:gridSpan w:val="2"/>
          </w:tcPr>
          <w:p>
            <w:pPr>
              <w:jc w:val="right"/>
              <w:ind w:right="100"/>
              <w:spacing w:after="0" w:line="123" w:lineRule="exact"/>
              <w:rPr>
                <w:sz w:val="20"/>
                <w:szCs w:val="20"/>
                <w:color w:val="auto"/>
              </w:rPr>
            </w:pPr>
            <w:r>
              <w:rPr>
                <w:rFonts w:ascii="Arial" w:cs="Arial" w:eastAsia="Arial" w:hAnsi="Arial"/>
                <w:sz w:val="14"/>
                <w:szCs w:val="14"/>
                <w:color w:val="auto"/>
              </w:rPr>
              <w:t>June 30,</w:t>
            </w:r>
          </w:p>
        </w:tc>
        <w:tc>
          <w:tcPr>
            <w:tcW w:w="46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2016</w:t>
            </w:r>
          </w:p>
        </w:tc>
        <w:tc>
          <w:tcPr>
            <w:tcW w:w="128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4"/>
                <w:szCs w:val="14"/>
                <w:color w:val="auto"/>
              </w:rPr>
              <w:t>2015</w:t>
            </w: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2016</w:t>
            </w:r>
          </w:p>
        </w:tc>
        <w:tc>
          <w:tcPr>
            <w:tcW w:w="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40" w:type="dxa"/>
            <w:vAlign w:val="bottom"/>
            <w:gridSpan w:val="4"/>
          </w:tcPr>
          <w:p>
            <w:pPr>
              <w:jc w:val="right"/>
              <w:ind w:right="520"/>
              <w:spacing w:after="0" w:line="142" w:lineRule="exact"/>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Fair value hedges: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 agreements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33,648</w:t>
            </w:r>
          </w:p>
        </w:tc>
        <w:tc>
          <w:tcPr>
            <w:tcW w:w="1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43,892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Commitments to sell real estate loans (a)</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w:t>
            </w:r>
          </w:p>
        </w:tc>
        <w:tc>
          <w:tcPr>
            <w:tcW w:w="4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1,844</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8,545</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33,719</w:t>
            </w:r>
          </w:p>
        </w:tc>
        <w:tc>
          <w:tcPr>
            <w:tcW w:w="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45,736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8,545</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Derivatives not designated and qualifying as hedging instruments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Mortgage-related commitments to originate real estate loans for sale (a)</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21,431</w:t>
            </w:r>
          </w:p>
        </w:tc>
        <w:tc>
          <w:tcPr>
            <w:tcW w:w="1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10,282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w:t>
            </w:r>
          </w:p>
        </w:tc>
        <w:tc>
          <w:tcPr>
            <w:tcW w:w="1760" w:type="dxa"/>
            <w:vAlign w:val="bottom"/>
            <w:gridSpan w:val="3"/>
          </w:tcPr>
          <w:p>
            <w:pPr>
              <w:jc w:val="right"/>
              <w:ind w:right="480"/>
              <w:spacing w:after="0"/>
              <w:rPr>
                <w:sz w:val="20"/>
                <w:szCs w:val="20"/>
                <w:color w:val="auto"/>
              </w:rPr>
            </w:pPr>
            <w:r>
              <w:rPr>
                <w:rFonts w:ascii="Arial" w:cs="Arial" w:eastAsia="Arial" w:hAnsi="Arial"/>
                <w:sz w:val="18"/>
                <w:szCs w:val="18"/>
                <w:color w:val="auto"/>
              </w:rPr>
              <w:t>533</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7,720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Interest rate contracts (b)</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401,512</w:t>
            </w:r>
          </w:p>
        </w:tc>
        <w:tc>
          <w:tcPr>
            <w:tcW w:w="1760" w:type="dxa"/>
            <w:vAlign w:val="bottom"/>
            <w:gridSpan w:val="3"/>
          </w:tcPr>
          <w:p>
            <w:pPr>
              <w:jc w:val="right"/>
              <w:ind w:right="480"/>
              <w:spacing w:after="0"/>
              <w:rPr>
                <w:sz w:val="20"/>
                <w:szCs w:val="20"/>
                <w:color w:val="auto"/>
              </w:rPr>
            </w:pPr>
            <w:r>
              <w:rPr>
                <w:rFonts w:ascii="Arial" w:cs="Arial" w:eastAsia="Arial" w:hAnsi="Arial"/>
                <w:sz w:val="18"/>
                <w:szCs w:val="18"/>
                <w:color w:val="auto"/>
              </w:rPr>
              <w:t>203,517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345,681</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153,723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and other option and futures contracts (b)</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1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8,569</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431,210</w:t>
            </w:r>
          </w:p>
        </w:tc>
        <w:tc>
          <w:tcPr>
            <w:tcW w:w="4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222,901</w:t>
            </w:r>
          </w:p>
        </w:tc>
        <w:tc>
          <w:tcPr>
            <w:tcW w:w="4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360,309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464,929</w:t>
            </w:r>
          </w:p>
        </w:tc>
        <w:tc>
          <w:tcPr>
            <w:tcW w:w="1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268,637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368,854</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74" w:right="29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Derivative financial instruments, continued</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color w:val="auto"/>
                <w:w w:val="95"/>
              </w:rPr>
              <w:t>Amount of gain (loss) recognized</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00" w:type="dxa"/>
            <w:vAlign w:val="bottom"/>
            <w:gridSpan w:val="4"/>
          </w:tcPr>
          <w:p>
            <w:pPr>
              <w:jc w:val="right"/>
              <w:ind w:right="900"/>
              <w:spacing w:after="0" w:line="123" w:lineRule="exact"/>
              <w:rPr>
                <w:sz w:val="20"/>
                <w:szCs w:val="20"/>
                <w:color w:val="auto"/>
              </w:rPr>
            </w:pPr>
            <w:r>
              <w:rPr>
                <w:rFonts w:ascii="Arial" w:cs="Arial" w:eastAsia="Arial" w:hAnsi="Arial"/>
                <w:sz w:val="14"/>
                <w:szCs w:val="14"/>
                <w:color w:val="auto"/>
              </w:rPr>
              <w:t>Three months ended</w:t>
            </w:r>
          </w:p>
        </w:tc>
        <w:tc>
          <w:tcPr>
            <w:tcW w:w="190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4"/>
          </w:tcPr>
          <w:p>
            <w:pPr>
              <w:jc w:val="right"/>
              <w:ind w:right="1080"/>
              <w:spacing w:after="0"/>
              <w:rPr>
                <w:sz w:val="20"/>
                <w:szCs w:val="20"/>
                <w:color w:val="auto"/>
              </w:rPr>
            </w:pPr>
            <w:r>
              <w:rPr>
                <w:rFonts w:ascii="Arial" w:cs="Arial" w:eastAsia="Arial" w:hAnsi="Arial"/>
                <w:sz w:val="14"/>
                <w:szCs w:val="14"/>
                <w:color w:val="auto"/>
              </w:rPr>
              <w:t>June 30, 2016</w:t>
            </w:r>
          </w:p>
        </w:tc>
        <w:tc>
          <w:tcPr>
            <w:tcW w:w="2000" w:type="dxa"/>
            <w:vAlign w:val="bottom"/>
            <w:gridSpan w:val="4"/>
          </w:tcPr>
          <w:p>
            <w:pPr>
              <w:jc w:val="center"/>
              <w:ind w:right="80"/>
              <w:spacing w:after="0"/>
              <w:rPr>
                <w:sz w:val="20"/>
                <w:szCs w:val="20"/>
                <w:color w:val="auto"/>
              </w:rPr>
            </w:pPr>
            <w:r>
              <w:rPr>
                <w:rFonts w:ascii="Arial" w:cs="Arial" w:eastAsia="Arial" w:hAnsi="Arial"/>
                <w:sz w:val="14"/>
                <w:szCs w:val="14"/>
                <w:color w:val="auto"/>
                <w:w w:val="90"/>
              </w:rPr>
              <w:t>June 30,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54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color w:val="auto"/>
                <w:w w:val="93"/>
              </w:rPr>
              <w:t>Derivative</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40" w:type="dxa"/>
            <w:vAlign w:val="bottom"/>
            <w:gridSpan w:val="4"/>
          </w:tcPr>
          <w:p>
            <w:pPr>
              <w:jc w:val="right"/>
              <w:ind w:right="1020"/>
              <w:spacing w:after="0" w:line="142" w:lineRule="exact"/>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00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rate long-term borrowings (a)</w:t>
            </w:r>
          </w:p>
        </w:tc>
        <w:tc>
          <w:tcPr>
            <w:tcW w:w="12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97"/>
              </w:rPr>
              <w:t>$ (7,611)</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7,146</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(9,354)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8,952</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Interest rate contracts (b)</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5,782</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1,772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and other option and futures contracts (b)</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2,457</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1,621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8,239</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3,393</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color w:val="auto"/>
                <w:w w:val="94"/>
              </w:rPr>
              <w:t>Amount of gain (loss) recognized</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00" w:type="dxa"/>
            <w:vAlign w:val="bottom"/>
            <w:gridSpan w:val="4"/>
          </w:tcPr>
          <w:p>
            <w:pPr>
              <w:jc w:val="right"/>
              <w:ind w:right="1000"/>
              <w:spacing w:after="0" w:line="123" w:lineRule="exact"/>
              <w:rPr>
                <w:sz w:val="20"/>
                <w:szCs w:val="20"/>
                <w:color w:val="auto"/>
              </w:rPr>
            </w:pPr>
            <w:r>
              <w:rPr>
                <w:rFonts w:ascii="Arial" w:cs="Arial" w:eastAsia="Arial" w:hAnsi="Arial"/>
                <w:sz w:val="14"/>
                <w:szCs w:val="14"/>
                <w:color w:val="auto"/>
              </w:rPr>
              <w:t>Six months ended</w:t>
            </w:r>
          </w:p>
        </w:tc>
        <w:tc>
          <w:tcPr>
            <w:tcW w:w="190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0"/>
              </w:rPr>
              <w:t>Six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4"/>
          </w:tcPr>
          <w:p>
            <w:pPr>
              <w:jc w:val="right"/>
              <w:ind w:right="1120"/>
              <w:spacing w:after="0"/>
              <w:rPr>
                <w:sz w:val="20"/>
                <w:szCs w:val="20"/>
                <w:color w:val="auto"/>
              </w:rPr>
            </w:pPr>
            <w:r>
              <w:rPr>
                <w:rFonts w:ascii="Arial" w:cs="Arial" w:eastAsia="Arial" w:hAnsi="Arial"/>
                <w:sz w:val="14"/>
                <w:szCs w:val="14"/>
                <w:color w:val="auto"/>
              </w:rPr>
              <w:t>June 30, 2016</w:t>
            </w:r>
          </w:p>
        </w:tc>
        <w:tc>
          <w:tcPr>
            <w:tcW w:w="2000" w:type="dxa"/>
            <w:vAlign w:val="bottom"/>
            <w:gridSpan w:val="4"/>
          </w:tcPr>
          <w:p>
            <w:pPr>
              <w:jc w:val="center"/>
              <w:ind w:right="80"/>
              <w:spacing w:after="0"/>
              <w:rPr>
                <w:sz w:val="20"/>
                <w:szCs w:val="20"/>
                <w:color w:val="auto"/>
              </w:rPr>
            </w:pPr>
            <w:r>
              <w:rPr>
                <w:rFonts w:ascii="Arial" w:cs="Arial" w:eastAsia="Arial" w:hAnsi="Arial"/>
                <w:sz w:val="14"/>
                <w:szCs w:val="14"/>
                <w:color w:val="auto"/>
                <w:w w:val="90"/>
              </w:rPr>
              <w:t>June 30,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20" w:type="dxa"/>
            <w:vAlign w:val="bottom"/>
            <w:tcBorders>
              <w:top w:val="single" w:sz="8" w:color="auto"/>
              <w:bottom w:val="single" w:sz="8" w:color="auto"/>
            </w:tcBorders>
            <w:gridSpan w:val="4"/>
          </w:tcPr>
          <w:p>
            <w:pPr>
              <w:ind w:left="40"/>
              <w:spacing w:after="0" w:line="142" w:lineRule="exact"/>
              <w:rPr>
                <w:sz w:val="20"/>
                <w:szCs w:val="20"/>
                <w:color w:val="auto"/>
              </w:rPr>
            </w:pPr>
            <w:r>
              <w:rPr>
                <w:rFonts w:ascii="Arial" w:cs="Arial" w:eastAsia="Arial" w:hAnsi="Arial"/>
                <w:sz w:val="14"/>
                <w:szCs w:val="14"/>
                <w:color w:val="auto"/>
              </w:rPr>
              <w:t>Derivative</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54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color w:val="auto"/>
                <w:w w:val="93"/>
              </w:rPr>
              <w:t>Derivative</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40" w:type="dxa"/>
            <w:vAlign w:val="bottom"/>
            <w:gridSpan w:val="4"/>
          </w:tcPr>
          <w:p>
            <w:pPr>
              <w:jc w:val="right"/>
              <w:ind w:right="1040"/>
              <w:spacing w:after="0" w:line="142" w:lineRule="exact"/>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00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rate long-term borrowings (a)</w:t>
            </w:r>
          </w:p>
        </w:tc>
        <w:tc>
          <w:tcPr>
            <w:tcW w:w="12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(10,244)</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9,016</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(9,750)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9,113</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Interest rate contracts (b)</w:t>
            </w: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6,756</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2,432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and other option and futures contracts (b)</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3,669</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4,410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1"/>
              </w:rPr>
              <w:t>$ 10,425</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6,842</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Reported as other revenues from operations.</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(b)</w:t>
        <w:tab/>
        <w:t>Reported as trading account and foreign exchange gains.</w:t>
      </w:r>
    </w:p>
    <w:p>
      <w:pPr>
        <w:spacing w:after="0" w:line="1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240" w:top="274" w:right="69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2"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The Company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$28 million and $18 million at June 30, 2016 and December 31, 2015, respectively. Changes in unrealized gains and losses are included in mortgage banking revenues and, in general, are realized in subsequent periods as the related loans are sold and commitments satisfied.</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does not offset derivative asset and liability positions in its consolidated financial statements. The Company’s exposure to credit risk by entering into derivative contracts is mitigated through master netting agreements and collateral posting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8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 aggregate fair value of derivative financial instruments in a liability position, which are subject to enforceable master netting arrangements, was $113 million and $59 million at June 30, 2016 and December 31, 2015, respectively. After consideration of such netting arrangements, the net liability positions with counterparties aggregated $108 million and $55 million at June 30, 2016 and December 31, 2015, respectively. The Company was required to post collateral relating to those positions of $102 million and $52 million at June 30, 2016 and December 31, 2015,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June 30, 2016 was $21 million, for which the Company had posted collateral of $17 million in the normal course of business. If the credit risk-related contingent features had been triggered on June 30, 2016, the maximum amount of additional collateral the Company would have been required to post to counterparties was $4 million.</w:t>
      </w:r>
    </w:p>
    <w:p>
      <w:pPr>
        <w:spacing w:after="0" w:line="16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aggregate fair value of derivative financial instruments in an asset position, which are subject to enforceable master netting arrangements, was $14 million and $23 million at June 30, 2016 and December 31, 2015, respectively. After consideration of such netting arrangements, the net asset positions with counterparties aggregated $9 million and $19 million at June 30, 2016 and December 31, 2015, respectively. Counterparties posted collateral relating to those positions of $9 million and $22 million at June 30, 2016 and December 31, 2015, respectively. Trading account interest rate swap agreements entered into with customers are subject to the Company’s credit risk standards and often contain collateral provisions.</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additional collateral for contracts in a net liability position. The net fair values of derivative instruments cleared through clearinghouses at June 30, 2016 was a net liability position of $212 million and at December 31, 2015 was a net liability position of $50 million.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Collateral posted with clearinghouses was $280 million and $99 million at June 30, 2016 and December 31, 2015, respectively.</w:t>
      </w:r>
    </w:p>
    <w:p>
      <w:pPr>
        <w:spacing w:after="0" w:line="37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and asset securitizations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accordance with GAAP, at December 31, 2015 the Company determined that it was the primary beneficiary of a residential mortgage loan securitization trust considering its role as servicer and its retained subordinated interests in the trust. As a result, the Company had included the one-to-four family residential mortgage loans that were included in the trust in its consolidated financial statements. In the first quarter of 2016, the securitization trust was terminated as the Company exercised its right to purchase the underlying mortgage loans pursuant to the clean-up call provisions of the trust. At December 31, 2015, the carrying value of the loans in the securitization trust was $81 million. The outstanding principal amount of mortgage-backed securities issued by the qualified special purpose trust that was held by parties unrelated to the Company at December 31, 2015 was $13 million.</w:t>
      </w:r>
    </w:p>
    <w:p>
      <w:pPr>
        <w:spacing w:after="0" w:line="165"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 xml:space="preserve">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June 30, 2016 and December 31, 2015, the Company included the junior subordinated debentures as “long-term borrowings” in its consolidated balance sheet and recognized $24 million in other assets for its </w:t>
      </w:r>
      <w:r>
        <w:rPr>
          <w:rFonts w:ascii="Arial" w:cs="Arial" w:eastAsia="Arial" w:hAnsi="Arial"/>
          <w:sz w:val="17"/>
          <w:szCs w:val="17"/>
          <w:b w:val="1"/>
          <w:bCs w:val="1"/>
          <w:color w:val="auto"/>
        </w:rPr>
        <w:t>“</w:t>
      </w:r>
      <w:r>
        <w:rPr>
          <w:rFonts w:ascii="Arial" w:cs="Arial" w:eastAsia="Arial" w:hAnsi="Arial"/>
          <w:sz w:val="17"/>
          <w:szCs w:val="17"/>
          <w:color w:val="auto"/>
        </w:rPr>
        <w:t>investment</w:t>
      </w:r>
      <w:r>
        <w:rPr>
          <w:rFonts w:ascii="Arial" w:cs="Arial" w:eastAsia="Arial" w:hAnsi="Arial"/>
          <w:sz w:val="17"/>
          <w:szCs w:val="17"/>
          <w:b w:val="1"/>
          <w:bCs w:val="1"/>
          <w:color w:val="auto"/>
        </w:rPr>
        <w:t>”</w:t>
      </w:r>
      <w:r>
        <w:rPr>
          <w:rFonts w:ascii="Arial" w:cs="Arial" w:eastAsia="Arial" w:hAnsi="Arial"/>
          <w:sz w:val="17"/>
          <w:szCs w:val="17"/>
          <w:color w:val="auto"/>
        </w:rPr>
        <w:t xml:space="preserve">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has invested as a limited partner in various partnerships that collectively had total assets of approximately $1.1 billion at each of June 30, 2016 and December 31, 2015.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$279 million, including $70 million of unfunded commitments, at June 30, 2016 and $295 million, including $78 million of unfunded commitments, at December 31, 2015. Contingent commitments to provide additional capital contributions to these partnerships were not material at June 30, 2016. The Company has not provided financial or other support to the partnerships that was not contractually required. Management currently estimates that no material losses are probable as a result of the Company’s involvement with such entities. The Company, in its position as a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cost is amortized to income taxes in the consolidated statement of income as tax credits and other tax benefits resulting from deductible losses associated with the projects are received. The Company amortized $11 million and $22 million of its investments in qualified affordable housing projects to income tax expense during the three months and six months ended June 30, 2016, respectively, and recognized $14 million and $28</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and asset securitizations, continued</w:t>
      </w:r>
    </w:p>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million of tax credits and other tax benefits during those respective periods. Similarly, for the three months and six months ended June 30, 2015, the Company amortized $11 million and $21 million, respectively, of its investments in qualified affordable housing projects to income tax expense and recognized $15 million and $29 million of tax credits and other tax benefits during those respective periods.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Company serves as investment advisor for certain registered money-market funds. The Company has no explicit arrangement to provide support to those funds, but may waive portions of its allowable management fees as a result of market conditions.</w:t>
      </w:r>
    </w:p>
    <w:p>
      <w:pPr>
        <w:spacing w:after="0" w:line="315"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June 30, 2016.</w:t>
      </w:r>
    </w:p>
    <w:p>
      <w:pPr>
        <w:spacing w:after="0" w:line="170"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87" w:lineRule="exact"/>
        <w:rPr>
          <w:sz w:val="20"/>
          <w:szCs w:val="20"/>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color w:val="auto"/>
        </w:rPr>
      </w:pPr>
    </w:p>
    <w:p>
      <w:pPr>
        <w:ind w:left="440" w:right="80" w:hanging="324"/>
        <w:spacing w:after="0" w:line="277"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75" w:lineRule="exact"/>
        <w:rPr>
          <w:rFonts w:ascii="Arial" w:cs="Arial" w:eastAsia="Arial" w:hAnsi="Arial"/>
          <w:sz w:val="18"/>
          <w:szCs w:val="18"/>
          <w:color w:val="auto"/>
        </w:rPr>
      </w:pPr>
    </w:p>
    <w:p>
      <w:pPr>
        <w:ind w:left="440" w:right="180" w:hanging="324"/>
        <w:spacing w:after="0" w:line="308" w:lineRule="auto"/>
        <w:tabs>
          <w:tab w:leader="none" w:pos="4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4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same or similar securities or through model-based techniques in which all significant inputs are observable and, therefore, such valuations have been classified as Level 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8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Included in collateralized debt obligations are securities backed by trust preferred securities issued by financial institutions and other entities.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June 30, 2016 and December 31, 2015. The modeling techniques included estimating cash flows using bond-specific assumptions about future collateral defaults and related loss severities. The resulting cash flows were then discounted by reference to market yields observed in the single-name trust preferred securities market. In determining a market yield applicable to the estimated cash flows, a margin over LIBOR ranging from 4% to 10%, with a weighted-average of 8%, was used. Significant unobservable inputs used in the determination of estimated fair value of collateralized debt obligations are included in the accompanying table of significant unobservable inputs to Level 3 measurements. At June 30, 2016, the total amortized cost and fair value of securities backed by trust preferred securities issued by financial institutions and other entities were $28 million and $43 million, respectively, and at December 31, 2015 were $28 million and $47 million, respectively. Privately issued mortgage-backed securities and securities backed by trust preferred securities issued by financial institutions and other entities constituted all of the available-for-sale investment securities classified as Level 3 valuations.</w:t>
      </w:r>
    </w:p>
    <w:p>
      <w:pPr>
        <w:spacing w:after="0" w:line="173"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Company ensures an appropriate control framework is in place over the valuation processes and techniques used for significant Level 3 fair value measurements. Internal pricing models used for significant valuation measurements have generally been subjected to validation procedures including testing of mathematical constructs, review of valuation methodology and significant assumptions used.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assets and liabilities at June 30, 2016 and December 31, 2015 measured at estimated fair value on a recurring basis:</w:t>
      </w: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Fair value</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6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8"/>
              </w:rPr>
              <w:t>measurements at</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9"/>
              </w:rPr>
              <w:t>June 30,</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3"/>
              <w:spacing w:after="0"/>
              <w:rPr>
                <w:sz w:val="20"/>
                <w:szCs w:val="20"/>
                <w:color w:val="auto"/>
              </w:rPr>
            </w:pPr>
            <w:r>
              <w:rPr>
                <w:rFonts w:ascii="Arial" w:cs="Arial" w:eastAsia="Arial" w:hAnsi="Arial"/>
                <w:sz w:val="14"/>
                <w:szCs w:val="14"/>
                <w:color w:val="auto"/>
                <w:w w:val="89"/>
              </w:rPr>
              <w:t>2016</w:t>
            </w:r>
          </w:p>
        </w:tc>
        <w:tc>
          <w:tcPr>
            <w:tcW w:w="4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w w:val="93"/>
              </w:rPr>
              <w:t>Level 1 (a)</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Level 2 (a)</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4"/>
          </w:tcPr>
          <w:p>
            <w:pPr>
              <w:jc w:val="right"/>
              <w:ind w:right="1160"/>
              <w:spacing w:after="0"/>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4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506,131</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62,167</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443,964</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400,348</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400,348</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5,241</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5,241</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700"/>
              <w:spacing w:after="0"/>
              <w:rPr>
                <w:sz w:val="20"/>
                <w:szCs w:val="20"/>
                <w:color w:val="auto"/>
              </w:rPr>
            </w:pPr>
            <w:r>
              <w:rPr>
                <w:rFonts w:ascii="Arial" w:cs="Arial" w:eastAsia="Arial" w:hAnsi="Arial"/>
                <w:sz w:val="18"/>
                <w:szCs w:val="18"/>
                <w:color w:val="auto"/>
              </w:rPr>
              <w:t>Government issued or guaranteed</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11,267,278</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11,267,278</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Privately issued</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Collateralized debt obligations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43,305</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43,305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debt securities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114,771</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114,771</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Equity securities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87,974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59,647</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28,327</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11,918,974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59,647</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11,815,965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43,362</w:t>
            </w: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42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602,019</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602,019</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55,442</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34,011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21,431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13,082,566</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121,814</w:t>
            </w:r>
          </w:p>
        </w:tc>
        <w:tc>
          <w:tcPr>
            <w:tcW w:w="4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12,895,959</w:t>
            </w: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64,793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352,541</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352,541</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liabilities (b)</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16,313</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16,265</w:t>
            </w: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368,854</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368,806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780" w:type="dxa"/>
            <w:vAlign w:val="bottom"/>
            <w:vMerge w:val="restart"/>
          </w:tcPr>
          <w:p>
            <w:pPr>
              <w:jc w:val="right"/>
              <w:ind w:right="710"/>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274" w:right="39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Fair value measurements, continued</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Fair value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0"/>
              </w:rPr>
              <w:t>December 31,</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2"/>
              <w:spacing w:after="0"/>
              <w:rPr>
                <w:sz w:val="20"/>
                <w:szCs w:val="20"/>
                <w:color w:val="auto"/>
              </w:rPr>
            </w:pPr>
            <w:r>
              <w:rPr>
                <w:rFonts w:ascii="Arial" w:cs="Arial" w:eastAsia="Arial" w:hAnsi="Arial"/>
                <w:sz w:val="14"/>
                <w:szCs w:val="14"/>
                <w:color w:val="auto"/>
                <w:w w:val="89"/>
              </w:rPr>
              <w:t>2015</w:t>
            </w:r>
          </w:p>
        </w:tc>
        <w:tc>
          <w:tcPr>
            <w:tcW w:w="30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Level 1(a)</w:t>
            </w:r>
          </w:p>
        </w:tc>
        <w:tc>
          <w:tcPr>
            <w:tcW w:w="1160" w:type="dxa"/>
            <w:vAlign w:val="bottom"/>
            <w:gridSpan w:val="2"/>
          </w:tcPr>
          <w:p>
            <w:pPr>
              <w:ind w:left="120"/>
              <w:spacing w:after="0"/>
              <w:rPr>
                <w:sz w:val="20"/>
                <w:szCs w:val="20"/>
                <w:color w:val="auto"/>
              </w:rPr>
            </w:pPr>
            <w:r>
              <w:rPr>
                <w:rFonts w:ascii="Arial" w:cs="Arial" w:eastAsia="Arial" w:hAnsi="Arial"/>
                <w:sz w:val="14"/>
                <w:szCs w:val="14"/>
                <w:color w:val="auto"/>
              </w:rPr>
              <w:t>Level 2(a)</w:t>
            </w: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0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5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273,783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56,763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217,020</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299,997</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299,997</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6,028</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6,028</w:t>
            </w:r>
          </w:p>
        </w:tc>
        <w:tc>
          <w:tcPr>
            <w:tcW w:w="3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Government issued or guaranteed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11,686,628</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11,686,628</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Privately issued</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Collateralized debt obligations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47,393</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debt securities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118,880</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118,880</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Equity securities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83,671</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65,178</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18,493</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12,242,671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65,178</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12,130,026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47,467</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0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392,036</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392,036</w:t>
            </w:r>
          </w:p>
        </w:tc>
        <w:tc>
          <w:tcPr>
            <w:tcW w:w="300" w:type="dxa"/>
            <w:vAlign w:val="bottom"/>
          </w:tcPr>
          <w:p>
            <w:pPr>
              <w:spacing w:after="0"/>
              <w:rPr>
                <w:sz w:val="24"/>
                <w:szCs w:val="24"/>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56,551</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46,269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10,282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12,965,041</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121,941</w:t>
            </w: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12,785,351</w:t>
            </w: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57,749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5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160,745</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160,745</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liabilities (b)</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1,905</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1,502</w:t>
            </w:r>
          </w:p>
        </w:tc>
        <w:tc>
          <w:tcPr>
            <w:tcW w:w="3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5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162,650</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162,247</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58" w:lineRule="auto"/>
        <w:tabs>
          <w:tab w:leader="none" w:pos="4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six months ended June 30, 2016 and the year ended December 31, 2015.</w:t>
      </w:r>
    </w:p>
    <w:p>
      <w:pPr>
        <w:spacing w:after="0" w:line="1" w:lineRule="exact"/>
        <w:rPr>
          <w:rFonts w:ascii="Arial" w:cs="Arial" w:eastAsia="Arial" w:hAnsi="Arial"/>
          <w:sz w:val="18"/>
          <w:szCs w:val="18"/>
          <w:i w:val="1"/>
          <w:iCs w:val="1"/>
          <w:color w:val="auto"/>
        </w:rPr>
      </w:pPr>
    </w:p>
    <w:p>
      <w:pPr>
        <w:ind w:left="460" w:right="80" w:hanging="452"/>
        <w:spacing w:after="0" w:line="261" w:lineRule="auto"/>
        <w:tabs>
          <w:tab w:leader="none" w:pos="4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60"/>
          </w:cols>
          <w:pgMar w:left="240" w:top="274" w:right="59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June 30, 2016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gridSpan w:val="5"/>
          </w:tcPr>
          <w:p>
            <w:pPr>
              <w:jc w:val="right"/>
              <w:ind w:right="1120"/>
              <w:spacing w:after="0"/>
              <w:rPr>
                <w:sz w:val="20"/>
                <w:szCs w:val="20"/>
                <w:color w:val="auto"/>
              </w:rPr>
            </w:pPr>
            <w:r>
              <w:rPr>
                <w:rFonts w:ascii="Arial" w:cs="Arial" w:eastAsia="Arial" w:hAnsi="Arial"/>
                <w:sz w:val="14"/>
                <w:szCs w:val="14"/>
                <w:color w:val="auto"/>
                <w:w w:val="98"/>
              </w:rPr>
              <w:t>Investment securities available for sale</w:t>
            </w:r>
          </w:p>
        </w:tc>
        <w:tc>
          <w:tcPr>
            <w:tcW w:w="1020" w:type="dxa"/>
            <w:vAlign w:val="bottom"/>
            <w:gridSpan w:val="2"/>
            <w:vMerge w:val="restart"/>
          </w:tcPr>
          <w:p>
            <w:pPr>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4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440"/>
              <w:spacing w:after="0" w:line="123" w:lineRule="exact"/>
              <w:rPr>
                <w:sz w:val="20"/>
                <w:szCs w:val="20"/>
                <w:color w:val="auto"/>
              </w:rPr>
            </w:pPr>
            <w:r>
              <w:rPr>
                <w:rFonts w:ascii="Arial" w:cs="Arial" w:eastAsia="Arial" w:hAnsi="Arial"/>
                <w:sz w:val="14"/>
                <w:szCs w:val="14"/>
                <w:color w:val="auto"/>
                <w:w w:val="91"/>
              </w:rPr>
              <w:t>Privately issued</w:t>
            </w:r>
          </w:p>
        </w:tc>
        <w:tc>
          <w:tcPr>
            <w:tcW w:w="3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Collateralized</w:t>
            </w:r>
          </w:p>
        </w:tc>
        <w:tc>
          <w:tcPr>
            <w:tcW w:w="8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46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w w:val="95"/>
              </w:rPr>
              <w:t>mortgage-backed</w:t>
            </w:r>
          </w:p>
        </w:tc>
        <w:tc>
          <w:tcPr>
            <w:tcW w:w="340" w:type="dxa"/>
            <w:vAlign w:val="bottom"/>
          </w:tcPr>
          <w:p>
            <w:pPr>
              <w:spacing w:after="0"/>
              <w:rPr>
                <w:sz w:val="12"/>
                <w:szCs w:val="12"/>
                <w:color w:val="auto"/>
              </w:rPr>
            </w:pPr>
          </w:p>
        </w:tc>
        <w:tc>
          <w:tcPr>
            <w:tcW w:w="182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5"/>
              </w:rPr>
              <w:t>debt</w:t>
            </w: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color w:val="auto"/>
              </w:rPr>
              <w:t>securities</w:t>
            </w:r>
          </w:p>
        </w:tc>
        <w:tc>
          <w:tcPr>
            <w:tcW w:w="340" w:type="dxa"/>
            <w:vAlign w:val="bottom"/>
          </w:tcPr>
          <w:p>
            <w:pPr>
              <w:spacing w:after="0"/>
              <w:rPr>
                <w:sz w:val="14"/>
                <w:szCs w:val="14"/>
                <w:color w:val="auto"/>
              </w:rPr>
            </w:pPr>
          </w:p>
        </w:tc>
        <w:tc>
          <w:tcPr>
            <w:tcW w:w="1820" w:type="dxa"/>
            <w:vAlign w:val="bottom"/>
            <w:gridSpan w:val="2"/>
          </w:tcPr>
          <w:p>
            <w:pPr>
              <w:jc w:val="center"/>
              <w:ind w:right="860"/>
              <w:spacing w:after="0"/>
              <w:rPr>
                <w:sz w:val="20"/>
                <w:szCs w:val="20"/>
                <w:color w:val="auto"/>
              </w:rPr>
            </w:pPr>
            <w:r>
              <w:rPr>
                <w:rFonts w:ascii="Arial" w:cs="Arial" w:eastAsia="Arial" w:hAnsi="Arial"/>
                <w:sz w:val="14"/>
                <w:szCs w:val="14"/>
                <w:color w:val="auto"/>
                <w:w w:val="95"/>
              </w:rPr>
              <w:t>obligations</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gridSpan w:val="3"/>
          </w:tcPr>
          <w:p>
            <w:pPr>
              <w:jc w:val="right"/>
              <w:ind w:right="104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w:t>
            </w:r>
          </w:p>
        </w:tc>
        <w:tc>
          <w:tcPr>
            <w:tcW w:w="216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45,040</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16,885</w:t>
            </w:r>
          </w:p>
        </w:tc>
        <w:tc>
          <w:tcPr>
            <w:tcW w:w="0" w:type="dxa"/>
            <w:vAlign w:val="bottom"/>
          </w:tcPr>
          <w:p>
            <w:pPr>
              <w:spacing w:after="0"/>
              <w:rPr>
                <w:sz w:val="1"/>
                <w:szCs w:val="1"/>
                <w:color w:val="auto"/>
              </w:rPr>
            </w:pPr>
          </w:p>
        </w:tc>
      </w:tr>
      <w:tr>
        <w:trPr>
          <w:trHeight w:val="324"/>
        </w:trPr>
        <w:tc>
          <w:tcPr>
            <w:tcW w:w="494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35,430(b)</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20" w:type="dxa"/>
            <w:vAlign w:val="bottom"/>
            <w:gridSpan w:val="2"/>
          </w:tcPr>
          <w:p>
            <w:pPr>
              <w:jc w:val="right"/>
              <w:ind w:right="620"/>
              <w:spacing w:after="0"/>
              <w:rPr>
                <w:sz w:val="20"/>
                <w:szCs w:val="20"/>
                <w:color w:val="auto"/>
              </w:rPr>
            </w:pPr>
            <w:r>
              <w:rPr>
                <w:rFonts w:ascii="Arial" w:cs="Arial" w:eastAsia="Arial" w:hAnsi="Arial"/>
                <w:sz w:val="18"/>
                <w:szCs w:val="18"/>
                <w:color w:val="auto"/>
              </w:rPr>
              <w:t>(1,070)(c)</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160" w:type="dxa"/>
            <w:vAlign w:val="bottom"/>
            <w:gridSpan w:val="3"/>
          </w:tcPr>
          <w:p>
            <w:pPr>
              <w:jc w:val="right"/>
              <w:ind w:right="820"/>
              <w:spacing w:after="0"/>
              <w:rPr>
                <w:sz w:val="20"/>
                <w:szCs w:val="20"/>
                <w:color w:val="auto"/>
              </w:rPr>
            </w:pPr>
            <w:r>
              <w:rPr>
                <w:rFonts w:ascii="Arial" w:cs="Arial" w:eastAsia="Arial" w:hAnsi="Arial"/>
                <w:sz w:val="18"/>
                <w:szCs w:val="18"/>
                <w:color w:val="auto"/>
              </w:rPr>
              <w:t>(665)</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Transfers in and/or out of Level 3 (a)</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(30,932)(d)</w:t>
            </w:r>
          </w:p>
        </w:tc>
        <w:tc>
          <w:tcPr>
            <w:tcW w:w="0" w:type="dxa"/>
            <w:vAlign w:val="bottom"/>
          </w:tcPr>
          <w:p>
            <w:pPr>
              <w:spacing w:after="0"/>
              <w:rPr>
                <w:sz w:val="1"/>
                <w:szCs w:val="1"/>
                <w:color w:val="auto"/>
              </w:rPr>
            </w:pPr>
          </w:p>
        </w:tc>
      </w:tr>
      <w:tr>
        <w:trPr>
          <w:trHeight w:val="331"/>
        </w:trPr>
        <w:tc>
          <w:tcPr>
            <w:tcW w:w="4940" w:type="dxa"/>
            <w:vAlign w:val="bottom"/>
          </w:tcPr>
          <w:p>
            <w:pPr>
              <w:spacing w:after="0"/>
              <w:rPr>
                <w:sz w:val="20"/>
                <w:szCs w:val="20"/>
                <w:color w:val="auto"/>
              </w:rPr>
            </w:pPr>
            <w:r>
              <w:rPr>
                <w:rFonts w:ascii="Arial" w:cs="Arial" w:eastAsia="Arial" w:hAnsi="Arial"/>
                <w:sz w:val="18"/>
                <w:szCs w:val="18"/>
                <w:color w:val="auto"/>
              </w:rPr>
              <w:t>Balance – June 30, 2016</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43,305</w:t>
            </w:r>
          </w:p>
        </w:tc>
        <w:tc>
          <w:tcPr>
            <w:tcW w:w="880" w:type="dxa"/>
            <w:vAlign w:val="bottom"/>
          </w:tcPr>
          <w:p>
            <w:pPr>
              <w:spacing w:after="0"/>
              <w:rPr>
                <w:sz w:val="24"/>
                <w:szCs w:val="24"/>
                <w:color w:val="auto"/>
              </w:rPr>
            </w:pPr>
          </w:p>
        </w:tc>
        <w:tc>
          <w:tcPr>
            <w:tcW w:w="7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7"/>
              </w:rPr>
              <w:t>21,383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Changes in unrealized gains included in earnings related to</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still held at June 30, 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19,882(b)</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June 30, 2015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40" w:type="dxa"/>
            <w:vAlign w:val="bottom"/>
            <w:gridSpan w:val="5"/>
          </w:tcPr>
          <w:p>
            <w:pPr>
              <w:jc w:val="right"/>
              <w:ind w:right="1060"/>
              <w:spacing w:after="0"/>
              <w:rPr>
                <w:sz w:val="20"/>
                <w:szCs w:val="20"/>
                <w:color w:val="auto"/>
              </w:rPr>
            </w:pPr>
            <w:r>
              <w:rPr>
                <w:rFonts w:ascii="Arial" w:cs="Arial" w:eastAsia="Arial" w:hAnsi="Arial"/>
                <w:sz w:val="14"/>
                <w:szCs w:val="14"/>
                <w:color w:val="auto"/>
                <w:w w:val="98"/>
              </w:rPr>
              <w:t>Investment securities available for sale</w:t>
            </w: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w w:val="85"/>
              </w:rPr>
              <w:t>Other assets</w:t>
            </w:r>
          </w:p>
        </w:tc>
        <w:tc>
          <w:tcPr>
            <w:tcW w:w="0" w:type="dxa"/>
            <w:vAlign w:val="bottom"/>
          </w:tcPr>
          <w:p>
            <w:pPr>
              <w:spacing w:after="0"/>
              <w:rPr>
                <w:sz w:val="1"/>
                <w:szCs w:val="1"/>
                <w:color w:val="auto"/>
              </w:rPr>
            </w:pPr>
          </w:p>
        </w:tc>
      </w:tr>
      <w:tr>
        <w:trPr>
          <w:trHeight w:val="123"/>
        </w:trPr>
        <w:tc>
          <w:tcPr>
            <w:tcW w:w="4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420"/>
              <w:spacing w:after="0" w:line="123" w:lineRule="exact"/>
              <w:rPr>
                <w:sz w:val="20"/>
                <w:szCs w:val="20"/>
                <w:color w:val="auto"/>
              </w:rPr>
            </w:pPr>
            <w:r>
              <w:rPr>
                <w:rFonts w:ascii="Arial" w:cs="Arial" w:eastAsia="Arial" w:hAnsi="Arial"/>
                <w:sz w:val="14"/>
                <w:szCs w:val="14"/>
                <w:color w:val="auto"/>
                <w:w w:val="91"/>
              </w:rPr>
              <w:t>Privately issued</w:t>
            </w:r>
          </w:p>
        </w:tc>
        <w:tc>
          <w:tcPr>
            <w:tcW w:w="3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Collateralized</w:t>
            </w:r>
          </w:p>
        </w:tc>
        <w:tc>
          <w:tcPr>
            <w:tcW w:w="8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w w:val="93"/>
              </w:rPr>
              <w:t>mortgage-backed</w:t>
            </w:r>
          </w:p>
        </w:tc>
        <w:tc>
          <w:tcPr>
            <w:tcW w:w="360" w:type="dxa"/>
            <w:vAlign w:val="bottom"/>
          </w:tcPr>
          <w:p>
            <w:pPr>
              <w:spacing w:after="0"/>
              <w:rPr>
                <w:sz w:val="12"/>
                <w:szCs w:val="12"/>
                <w:color w:val="auto"/>
              </w:rPr>
            </w:pPr>
          </w:p>
        </w:tc>
        <w:tc>
          <w:tcPr>
            <w:tcW w:w="174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87"/>
              </w:rPr>
              <w:t>debt</w:t>
            </w: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color w:val="auto"/>
              </w:rPr>
              <w:t>securities</w:t>
            </w:r>
          </w:p>
        </w:tc>
        <w:tc>
          <w:tcPr>
            <w:tcW w:w="360" w:type="dxa"/>
            <w:vAlign w:val="bottom"/>
          </w:tcPr>
          <w:p>
            <w:pPr>
              <w:spacing w:after="0"/>
              <w:rPr>
                <w:sz w:val="14"/>
                <w:szCs w:val="14"/>
                <w:color w:val="auto"/>
              </w:rPr>
            </w:pPr>
          </w:p>
        </w:tc>
        <w:tc>
          <w:tcPr>
            <w:tcW w:w="1740" w:type="dxa"/>
            <w:vAlign w:val="bottom"/>
            <w:gridSpan w:val="2"/>
          </w:tcPr>
          <w:p>
            <w:pPr>
              <w:jc w:val="center"/>
              <w:ind w:right="820"/>
              <w:spacing w:after="0"/>
              <w:rPr>
                <w:sz w:val="20"/>
                <w:szCs w:val="20"/>
                <w:color w:val="auto"/>
              </w:rPr>
            </w:pPr>
            <w:r>
              <w:rPr>
                <w:rFonts w:ascii="Arial" w:cs="Arial" w:eastAsia="Arial" w:hAnsi="Arial"/>
                <w:sz w:val="14"/>
                <w:szCs w:val="14"/>
                <w:color w:val="auto"/>
                <w:w w:val="95"/>
              </w:rPr>
              <w:t>obligations</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gridSpan w:val="3"/>
          </w:tcPr>
          <w:p>
            <w:pPr>
              <w:jc w:val="right"/>
              <w:ind w:right="100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21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47,278</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26,230</w:t>
            </w:r>
          </w:p>
        </w:tc>
        <w:tc>
          <w:tcPr>
            <w:tcW w:w="0" w:type="dxa"/>
            <w:vAlign w:val="bottom"/>
          </w:tcPr>
          <w:p>
            <w:pPr>
              <w:spacing w:after="0"/>
              <w:rPr>
                <w:sz w:val="1"/>
                <w:szCs w:val="1"/>
                <w:color w:val="auto"/>
              </w:rPr>
            </w:pPr>
          </w:p>
        </w:tc>
      </w:tr>
      <w:tr>
        <w:trPr>
          <w:trHeight w:val="324"/>
        </w:trPr>
        <w:tc>
          <w:tcPr>
            <w:tcW w:w="4440" w:type="dxa"/>
            <w:vAlign w:val="bottom"/>
          </w:tcPr>
          <w:p>
            <w:pPr>
              <w:spacing w:after="0"/>
              <w:rPr>
                <w:sz w:val="20"/>
                <w:szCs w:val="20"/>
                <w:color w:val="auto"/>
              </w:rPr>
            </w:pPr>
            <w:r>
              <w:rPr>
                <w:rFonts w:ascii="Arial" w:cs="Arial" w:eastAsia="Arial" w:hAnsi="Arial"/>
                <w:sz w:val="18"/>
                <w:szCs w:val="18"/>
                <w:color w:val="auto"/>
              </w:rPr>
              <w:t>Total gains realized/unrealized: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16,132(b)</w:t>
            </w: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7,629(c)</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Settlements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100" w:type="dxa"/>
            <w:vAlign w:val="bottom"/>
            <w:gridSpan w:val="3"/>
          </w:tcPr>
          <w:p>
            <w:pPr>
              <w:jc w:val="right"/>
              <w:ind w:right="760"/>
              <w:spacing w:after="0"/>
              <w:rPr>
                <w:sz w:val="20"/>
                <w:szCs w:val="20"/>
                <w:color w:val="auto"/>
              </w:rPr>
            </w:pPr>
            <w:r>
              <w:rPr>
                <w:rFonts w:ascii="Arial" w:cs="Arial" w:eastAsia="Arial" w:hAnsi="Arial"/>
                <w:sz w:val="18"/>
                <w:szCs w:val="18"/>
                <w:color w:val="auto"/>
              </w:rPr>
              <w:t>(4,424)</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Transfers in and/or out of Level 3 (a)</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(31,156)(d)</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440" w:type="dxa"/>
            <w:vAlign w:val="bottom"/>
          </w:tcPr>
          <w:p>
            <w:pPr>
              <w:spacing w:after="0"/>
              <w:rPr>
                <w:sz w:val="20"/>
                <w:szCs w:val="20"/>
                <w:color w:val="auto"/>
              </w:rPr>
            </w:pPr>
            <w:r>
              <w:rPr>
                <w:rFonts w:ascii="Arial" w:cs="Arial" w:eastAsia="Arial" w:hAnsi="Arial"/>
                <w:sz w:val="18"/>
                <w:szCs w:val="18"/>
                <w:color w:val="auto"/>
              </w:rPr>
              <w:t>Balance – June 30, 2015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88</w:t>
            </w:r>
          </w:p>
        </w:tc>
        <w:tc>
          <w:tcPr>
            <w:tcW w:w="2100" w:type="dxa"/>
            <w:vAlign w:val="bottom"/>
            <w:gridSpan w:val="3"/>
          </w:tcPr>
          <w:p>
            <w:pPr>
              <w:jc w:val="right"/>
              <w:ind w:right="820"/>
              <w:spacing w:after="0"/>
              <w:rPr>
                <w:sz w:val="20"/>
                <w:szCs w:val="20"/>
                <w:color w:val="auto"/>
              </w:rPr>
            </w:pPr>
            <w:r>
              <w:rPr>
                <w:rFonts w:ascii="Arial" w:cs="Arial" w:eastAsia="Arial" w:hAnsi="Arial"/>
                <w:sz w:val="18"/>
                <w:szCs w:val="18"/>
                <w:color w:val="auto"/>
              </w:rPr>
              <w:t>50,483</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11,206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Changes in unrealized gains included in earnings related to</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still held at June 30, 2015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6,330(b)</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color w:val="auto"/>
              </w:rPr>
              <w:t>-43-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4" w:right="31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six months ended June 30, 2016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gridSpan w:val="5"/>
          </w:tcPr>
          <w:p>
            <w:pPr>
              <w:jc w:val="right"/>
              <w:ind w:right="1120"/>
              <w:spacing w:after="0"/>
              <w:rPr>
                <w:sz w:val="20"/>
                <w:szCs w:val="20"/>
                <w:color w:val="auto"/>
              </w:rPr>
            </w:pPr>
            <w:r>
              <w:rPr>
                <w:rFonts w:ascii="Arial" w:cs="Arial" w:eastAsia="Arial" w:hAnsi="Arial"/>
                <w:sz w:val="14"/>
                <w:szCs w:val="14"/>
                <w:color w:val="auto"/>
                <w:w w:val="98"/>
              </w:rPr>
              <w:t>Investment securities available for sale</w:t>
            </w: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w w:val="85"/>
              </w:rPr>
              <w:t>Other assets</w:t>
            </w:r>
          </w:p>
        </w:tc>
        <w:tc>
          <w:tcPr>
            <w:tcW w:w="0" w:type="dxa"/>
            <w:vAlign w:val="bottom"/>
          </w:tcPr>
          <w:p>
            <w:pPr>
              <w:spacing w:after="0"/>
              <w:rPr>
                <w:sz w:val="1"/>
                <w:szCs w:val="1"/>
                <w:color w:val="auto"/>
              </w:rPr>
            </w:pPr>
          </w:p>
        </w:tc>
      </w:tr>
      <w:tr>
        <w:trPr>
          <w:trHeight w:val="123"/>
        </w:trPr>
        <w:tc>
          <w:tcPr>
            <w:tcW w:w="4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440"/>
              <w:spacing w:after="0" w:line="123" w:lineRule="exact"/>
              <w:rPr>
                <w:sz w:val="20"/>
                <w:szCs w:val="20"/>
                <w:color w:val="auto"/>
              </w:rPr>
            </w:pPr>
            <w:r>
              <w:rPr>
                <w:rFonts w:ascii="Arial" w:cs="Arial" w:eastAsia="Arial" w:hAnsi="Arial"/>
                <w:sz w:val="14"/>
                <w:szCs w:val="14"/>
                <w:color w:val="auto"/>
                <w:w w:val="91"/>
              </w:rPr>
              <w:t>Privately issued</w:t>
            </w:r>
          </w:p>
        </w:tc>
        <w:tc>
          <w:tcPr>
            <w:tcW w:w="3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Collateralized</w:t>
            </w:r>
          </w:p>
        </w:tc>
        <w:tc>
          <w:tcPr>
            <w:tcW w:w="8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w w:val="95"/>
              </w:rPr>
              <w:t>mortgage-backed</w:t>
            </w:r>
          </w:p>
        </w:tc>
        <w:tc>
          <w:tcPr>
            <w:tcW w:w="340" w:type="dxa"/>
            <w:vAlign w:val="bottom"/>
          </w:tcPr>
          <w:p>
            <w:pPr>
              <w:spacing w:after="0"/>
              <w:rPr>
                <w:sz w:val="12"/>
                <w:szCs w:val="12"/>
                <w:color w:val="auto"/>
              </w:rPr>
            </w:pPr>
          </w:p>
        </w:tc>
        <w:tc>
          <w:tcPr>
            <w:tcW w:w="182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5"/>
              </w:rPr>
              <w:t>debt</w:t>
            </w: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color w:val="auto"/>
              </w:rPr>
              <w:t>securities</w:t>
            </w:r>
          </w:p>
        </w:tc>
        <w:tc>
          <w:tcPr>
            <w:tcW w:w="340" w:type="dxa"/>
            <w:vAlign w:val="bottom"/>
          </w:tcPr>
          <w:p>
            <w:pPr>
              <w:spacing w:after="0"/>
              <w:rPr>
                <w:sz w:val="14"/>
                <w:szCs w:val="14"/>
                <w:color w:val="auto"/>
              </w:rPr>
            </w:pPr>
          </w:p>
        </w:tc>
        <w:tc>
          <w:tcPr>
            <w:tcW w:w="1820" w:type="dxa"/>
            <w:vAlign w:val="bottom"/>
            <w:gridSpan w:val="2"/>
          </w:tcPr>
          <w:p>
            <w:pPr>
              <w:jc w:val="center"/>
              <w:ind w:right="860"/>
              <w:spacing w:after="0"/>
              <w:rPr>
                <w:sz w:val="20"/>
                <w:szCs w:val="20"/>
                <w:color w:val="auto"/>
              </w:rPr>
            </w:pPr>
            <w:r>
              <w:rPr>
                <w:rFonts w:ascii="Arial" w:cs="Arial" w:eastAsia="Arial" w:hAnsi="Arial"/>
                <w:sz w:val="14"/>
                <w:szCs w:val="14"/>
                <w:color w:val="auto"/>
                <w:w w:val="95"/>
              </w:rPr>
              <w:t>obligations</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gridSpan w:val="3"/>
          </w:tcPr>
          <w:p>
            <w:pPr>
              <w:jc w:val="right"/>
              <w:ind w:right="104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w:t>
            </w:r>
          </w:p>
        </w:tc>
        <w:tc>
          <w:tcPr>
            <w:tcW w:w="216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47,393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9,879</w:t>
            </w:r>
          </w:p>
        </w:tc>
        <w:tc>
          <w:tcPr>
            <w:tcW w:w="0" w:type="dxa"/>
            <w:vAlign w:val="bottom"/>
          </w:tcPr>
          <w:p>
            <w:pPr>
              <w:spacing w:after="0"/>
              <w:rPr>
                <w:sz w:val="1"/>
                <w:szCs w:val="1"/>
                <w:color w:val="auto"/>
              </w:rPr>
            </w:pPr>
          </w:p>
        </w:tc>
      </w:tr>
      <w:tr>
        <w:trPr>
          <w:trHeight w:val="324"/>
        </w:trPr>
        <w:tc>
          <w:tcPr>
            <w:tcW w:w="444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59,328(b)</w:t>
            </w: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20" w:type="dxa"/>
            <w:vAlign w:val="bottom"/>
            <w:gridSpan w:val="2"/>
          </w:tcPr>
          <w:p>
            <w:pPr>
              <w:jc w:val="right"/>
              <w:ind w:right="620"/>
              <w:spacing w:after="0"/>
              <w:rPr>
                <w:sz w:val="20"/>
                <w:szCs w:val="20"/>
                <w:color w:val="auto"/>
              </w:rPr>
            </w:pPr>
            <w:r>
              <w:rPr>
                <w:rFonts w:ascii="Arial" w:cs="Arial" w:eastAsia="Arial" w:hAnsi="Arial"/>
                <w:sz w:val="18"/>
                <w:szCs w:val="18"/>
                <w:color w:val="auto"/>
              </w:rPr>
              <w:t>(3,218)(c)</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1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(870)</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Transfers in and/or out of Level 3 (a)</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(47,824)(d)</w:t>
            </w:r>
          </w:p>
        </w:tc>
        <w:tc>
          <w:tcPr>
            <w:tcW w:w="0" w:type="dxa"/>
            <w:vAlign w:val="bottom"/>
          </w:tcPr>
          <w:p>
            <w:pPr>
              <w:spacing w:after="0"/>
              <w:rPr>
                <w:sz w:val="1"/>
                <w:szCs w:val="1"/>
                <w:color w:val="auto"/>
              </w:rPr>
            </w:pPr>
          </w:p>
        </w:tc>
      </w:tr>
      <w:tr>
        <w:trPr>
          <w:trHeight w:val="115"/>
        </w:trPr>
        <w:tc>
          <w:tcPr>
            <w:tcW w:w="4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w:t>
            </w:r>
          </w:p>
        </w:tc>
        <w:tc>
          <w:tcPr>
            <w:tcW w:w="216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43,305</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21,383</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w w:val="93"/>
              </w:rPr>
              <w:t>Changes in unrealized gains included in earnings related to</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assets still held at June 30, 2016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8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20,661(b)</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274" w:right="47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six months ended June 30, 2015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00" w:type="dxa"/>
            <w:vAlign w:val="bottom"/>
            <w:gridSpan w:val="5"/>
          </w:tcPr>
          <w:p>
            <w:pPr>
              <w:ind w:left="160"/>
              <w:spacing w:after="0"/>
              <w:rPr>
                <w:sz w:val="20"/>
                <w:szCs w:val="20"/>
                <w:color w:val="auto"/>
              </w:rPr>
            </w:pPr>
            <w:r>
              <w:rPr>
                <w:rFonts w:ascii="Arial" w:cs="Arial" w:eastAsia="Arial" w:hAnsi="Arial"/>
                <w:sz w:val="14"/>
                <w:szCs w:val="14"/>
                <w:color w:val="auto"/>
              </w:rPr>
              <w:t>Investment securities available for sale</w:t>
            </w: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88"/>
              </w:rPr>
              <w:t>Other assets</w:t>
            </w:r>
          </w:p>
        </w:tc>
        <w:tc>
          <w:tcPr>
            <w:tcW w:w="0" w:type="dxa"/>
            <w:vAlign w:val="bottom"/>
          </w:tcPr>
          <w:p>
            <w:pPr>
              <w:spacing w:after="0"/>
              <w:rPr>
                <w:sz w:val="1"/>
                <w:szCs w:val="1"/>
                <w:color w:val="auto"/>
              </w:rPr>
            </w:pPr>
          </w:p>
        </w:tc>
      </w:tr>
      <w:tr>
        <w:trPr>
          <w:trHeight w:val="123"/>
        </w:trPr>
        <w:tc>
          <w:tcPr>
            <w:tcW w:w="4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420"/>
              <w:spacing w:after="0" w:line="123" w:lineRule="exact"/>
              <w:rPr>
                <w:sz w:val="20"/>
                <w:szCs w:val="20"/>
                <w:color w:val="auto"/>
              </w:rPr>
            </w:pPr>
            <w:r>
              <w:rPr>
                <w:rFonts w:ascii="Arial" w:cs="Arial" w:eastAsia="Arial" w:hAnsi="Arial"/>
                <w:sz w:val="14"/>
                <w:szCs w:val="14"/>
                <w:color w:val="auto"/>
                <w:w w:val="91"/>
              </w:rPr>
              <w:t>Privately issued</w:t>
            </w:r>
          </w:p>
        </w:tc>
        <w:tc>
          <w:tcPr>
            <w:tcW w:w="3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Collateralized</w:t>
            </w:r>
          </w:p>
        </w:tc>
        <w:tc>
          <w:tcPr>
            <w:tcW w:w="8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4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89"/>
              </w:rPr>
              <w:t>mortgage-backed</w:t>
            </w:r>
          </w:p>
        </w:tc>
        <w:tc>
          <w:tcPr>
            <w:tcW w:w="360" w:type="dxa"/>
            <w:vAlign w:val="bottom"/>
          </w:tcPr>
          <w:p>
            <w:pPr>
              <w:spacing w:after="0"/>
              <w:rPr>
                <w:sz w:val="12"/>
                <w:szCs w:val="12"/>
                <w:color w:val="auto"/>
              </w:rPr>
            </w:pPr>
          </w:p>
        </w:tc>
        <w:tc>
          <w:tcPr>
            <w:tcW w:w="1780" w:type="dxa"/>
            <w:vAlign w:val="bottom"/>
            <w:gridSpan w:val="2"/>
          </w:tcPr>
          <w:p>
            <w:pPr>
              <w:jc w:val="center"/>
              <w:ind w:right="840"/>
              <w:spacing w:after="0" w:line="149" w:lineRule="exact"/>
              <w:rPr>
                <w:sz w:val="20"/>
                <w:szCs w:val="20"/>
                <w:color w:val="auto"/>
              </w:rPr>
            </w:pPr>
            <w:r>
              <w:rPr>
                <w:rFonts w:ascii="Arial" w:cs="Arial" w:eastAsia="Arial" w:hAnsi="Arial"/>
                <w:sz w:val="14"/>
                <w:szCs w:val="14"/>
                <w:color w:val="auto"/>
                <w:w w:val="95"/>
              </w:rPr>
              <w:t>debt</w:t>
            </w: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and other</w:t>
            </w:r>
          </w:p>
        </w:tc>
        <w:tc>
          <w:tcPr>
            <w:tcW w:w="0" w:type="dxa"/>
            <w:vAlign w:val="bottom"/>
          </w:tcPr>
          <w:p>
            <w:pPr>
              <w:spacing w:after="0"/>
              <w:rPr>
                <w:sz w:val="1"/>
                <w:szCs w:val="1"/>
                <w:color w:val="auto"/>
              </w:rPr>
            </w:pPr>
          </w:p>
        </w:tc>
      </w:tr>
      <w:tr>
        <w:trPr>
          <w:trHeight w:val="167"/>
        </w:trPr>
        <w:tc>
          <w:tcPr>
            <w:tcW w:w="4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securities</w:t>
            </w:r>
          </w:p>
        </w:tc>
        <w:tc>
          <w:tcPr>
            <w:tcW w:w="360" w:type="dxa"/>
            <w:vAlign w:val="bottom"/>
          </w:tcPr>
          <w:p>
            <w:pPr>
              <w:spacing w:after="0"/>
              <w:rPr>
                <w:sz w:val="14"/>
                <w:szCs w:val="14"/>
                <w:color w:val="auto"/>
              </w:rPr>
            </w:pPr>
          </w:p>
        </w:tc>
        <w:tc>
          <w:tcPr>
            <w:tcW w:w="1780" w:type="dxa"/>
            <w:vAlign w:val="bottom"/>
            <w:gridSpan w:val="2"/>
          </w:tcPr>
          <w:p>
            <w:pPr>
              <w:jc w:val="center"/>
              <w:ind w:right="820"/>
              <w:spacing w:after="0"/>
              <w:rPr>
                <w:sz w:val="20"/>
                <w:szCs w:val="20"/>
                <w:color w:val="auto"/>
              </w:rPr>
            </w:pPr>
            <w:r>
              <w:rPr>
                <w:rFonts w:ascii="Arial" w:cs="Arial" w:eastAsia="Arial" w:hAnsi="Arial"/>
                <w:sz w:val="14"/>
                <w:szCs w:val="14"/>
                <w:color w:val="auto"/>
                <w:w w:val="95"/>
              </w:rPr>
              <w:t>obligations</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gridSpan w:val="3"/>
          </w:tcPr>
          <w:p>
            <w:pPr>
              <w:jc w:val="right"/>
              <w:ind w:right="104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103</w:t>
            </w:r>
          </w:p>
        </w:tc>
        <w:tc>
          <w:tcPr>
            <w:tcW w:w="21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50,316</w:t>
            </w:r>
          </w:p>
        </w:tc>
        <w:tc>
          <w:tcPr>
            <w:tcW w:w="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17,347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80" w:type="dxa"/>
            <w:vAlign w:val="bottom"/>
          </w:tcPr>
          <w:p>
            <w:pPr>
              <w:spacing w:after="0"/>
              <w:rPr>
                <w:sz w:val="20"/>
                <w:szCs w:val="20"/>
                <w:color w:val="auto"/>
              </w:rPr>
            </w:pPr>
            <w:r>
              <w:rPr>
                <w:rFonts w:ascii="Arial" w:cs="Arial" w:eastAsia="Arial" w:hAnsi="Arial"/>
                <w:sz w:val="18"/>
                <w:szCs w:val="18"/>
                <w:color w:val="auto"/>
              </w:rPr>
              <w:t>Total gains realized/unrealized:</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45,902(b)</w:t>
            </w: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80" w:type="dxa"/>
            <w:vAlign w:val="bottom"/>
          </w:tcPr>
          <w:p>
            <w:pPr>
              <w:spacing w:after="0"/>
              <w:rPr>
                <w:sz w:val="18"/>
                <w:szCs w:val="18"/>
                <w:color w:val="auto"/>
              </w:rPr>
            </w:pPr>
          </w:p>
        </w:tc>
        <w:tc>
          <w:tcPr>
            <w:tcW w:w="13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5,625(c)</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1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(5,458)</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Transfers in and/or out of Level 3 (a)</w:t>
            </w:r>
          </w:p>
        </w:tc>
        <w:tc>
          <w:tcPr>
            <w:tcW w:w="80" w:type="dxa"/>
            <w:vAlign w:val="bottom"/>
          </w:tcPr>
          <w:p>
            <w:pPr>
              <w:spacing w:after="0"/>
              <w:rPr>
                <w:sz w:val="18"/>
                <w:szCs w:val="18"/>
                <w:color w:val="auto"/>
              </w:rPr>
            </w:pPr>
          </w:p>
        </w:tc>
        <w:tc>
          <w:tcPr>
            <w:tcW w:w="13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7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w w:val="96"/>
              </w:rPr>
              <w:t>(52,043)(d)</w:t>
            </w:r>
          </w:p>
        </w:tc>
        <w:tc>
          <w:tcPr>
            <w:tcW w:w="0" w:type="dxa"/>
            <w:vAlign w:val="bottom"/>
          </w:tcPr>
          <w:p>
            <w:pPr>
              <w:spacing w:after="0"/>
              <w:rPr>
                <w:sz w:val="1"/>
                <w:szCs w:val="1"/>
                <w:color w:val="auto"/>
              </w:rPr>
            </w:pPr>
          </w:p>
        </w:tc>
      </w:tr>
      <w:tr>
        <w:trPr>
          <w:trHeight w:val="115"/>
        </w:trPr>
        <w:tc>
          <w:tcPr>
            <w:tcW w:w="4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w:t>
            </w:r>
          </w:p>
        </w:tc>
        <w:tc>
          <w:tcPr>
            <w:tcW w:w="21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50,483</w:t>
            </w:r>
          </w:p>
        </w:tc>
        <w:tc>
          <w:tcPr>
            <w:tcW w:w="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11,206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Changes in unrealized gains included in earnings related to</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980" w:type="dxa"/>
            <w:vAlign w:val="bottom"/>
            <w:vMerge w:val="continue"/>
          </w:tcPr>
          <w:p>
            <w:pPr>
              <w:spacing w:after="0"/>
              <w:rPr>
                <w:sz w:val="24"/>
                <w:szCs w:val="24"/>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vMerge w:val="restart"/>
          </w:tcPr>
          <w:p>
            <w:pPr>
              <w:ind w:left="7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780" w:type="dxa"/>
            <w:vAlign w:val="bottom"/>
            <w:gridSpan w:val="2"/>
            <w:vMerge w:val="restart"/>
          </w:tcPr>
          <w:p>
            <w:pPr>
              <w:jc w:val="right"/>
              <w:ind w:right="94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ind w:left="300"/>
              <w:spacing w:after="0"/>
              <w:rPr>
                <w:sz w:val="20"/>
                <w:szCs w:val="20"/>
                <w:color w:val="auto"/>
              </w:rPr>
            </w:pPr>
            <w:r>
              <w:rPr>
                <w:rFonts w:ascii="Arial" w:cs="Arial" w:eastAsia="Arial" w:hAnsi="Arial"/>
                <w:sz w:val="18"/>
                <w:szCs w:val="18"/>
                <w:color w:val="auto"/>
              </w:rPr>
              <w:t>8,763(b)</w:t>
            </w:r>
          </w:p>
        </w:tc>
        <w:tc>
          <w:tcPr>
            <w:tcW w:w="0" w:type="dxa"/>
            <w:vAlign w:val="bottom"/>
          </w:tcPr>
          <w:p>
            <w:pPr>
              <w:spacing w:after="0"/>
              <w:rPr>
                <w:sz w:val="1"/>
                <w:szCs w:val="1"/>
                <w:color w:val="auto"/>
              </w:rPr>
            </w:pPr>
          </w:p>
        </w:tc>
      </w:tr>
      <w:tr>
        <w:trPr>
          <w:trHeight w:val="217"/>
        </w:trPr>
        <w:tc>
          <w:tcPr>
            <w:tcW w:w="4980" w:type="dxa"/>
            <w:vAlign w:val="bottom"/>
          </w:tcPr>
          <w:p>
            <w:pPr>
              <w:ind w:left="180"/>
              <w:spacing w:after="0"/>
              <w:rPr>
                <w:sz w:val="20"/>
                <w:szCs w:val="20"/>
                <w:color w:val="auto"/>
              </w:rPr>
            </w:pPr>
            <w:r>
              <w:rPr>
                <w:rFonts w:ascii="Arial" w:cs="Arial" w:eastAsia="Arial" w:hAnsi="Arial"/>
                <w:sz w:val="18"/>
                <w:szCs w:val="18"/>
                <w:color w:val="auto"/>
              </w:rPr>
              <w:t>assets still held at June 30, 2015</w:t>
            </w:r>
          </w:p>
        </w:tc>
        <w:tc>
          <w:tcPr>
            <w:tcW w:w="8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80" w:hanging="452"/>
        <w:spacing w:after="0" w:line="258" w:lineRule="auto"/>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spacing w:after="0" w:line="1" w:lineRule="exact"/>
        <w:rPr>
          <w:rFonts w:ascii="Arial" w:cs="Arial" w:eastAsia="Arial" w:hAnsi="Arial"/>
          <w:sz w:val="18"/>
          <w:szCs w:val="18"/>
          <w:i w:val="1"/>
          <w:iCs w:val="1"/>
          <w:color w:val="auto"/>
        </w:rPr>
      </w:pPr>
    </w:p>
    <w:p>
      <w:pPr>
        <w:ind w:left="460" w:hanging="452"/>
        <w:spacing w:after="0"/>
        <w:tabs>
          <w:tab w:leader="none" w:pos="46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32" w:lineRule="exact"/>
        <w:rPr>
          <w:rFonts w:ascii="Arial" w:cs="Arial" w:eastAsia="Arial" w:hAnsi="Arial"/>
          <w:sz w:val="16"/>
          <w:szCs w:val="16"/>
          <w:i w:val="1"/>
          <w:iCs w:val="1"/>
          <w:color w:val="auto"/>
        </w:rPr>
      </w:pPr>
    </w:p>
    <w:p>
      <w:pPr>
        <w:ind w:left="460" w:hanging="452"/>
        <w:spacing w:after="0"/>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gains (losses) on investment securities in the consolidated statement of comprehensive income.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80"/>
          </w:cols>
          <w:pgMar w:left="240" w:top="274"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15% to 90% at June 30, 2016. As these discounts are not readily observable and are considered significant, the valuations have been classified as Level 3. Automobile collateral is typically valued by reference to independent pricing sources based on recent sales transactions of similar vehicles, and the related non-recurring fair value measurement adjustments have been classified as Level 2. Collateral values for other consumer installment loans are generally estimated based on historical recovery rates for similar types of loans. As these recovery rates are not readily observable by market participants, such valuation adjustments have been classified as Level 3. Loans subject to nonrecurring fair value measurement were $242 million at June 30, 2016 ($141 million and $101 million of which were classified as Level 2 and Level 3, respectively), $210 million at December 31, 2015 ($106 million and $104 million of which were classified as Level 2 and Level 3, respectively) and $147 million at June 30, 2015 ($89 million and $58 million of which were classified as Level 2 and Level 3,</w:t>
      </w:r>
    </w:p>
    <w:p>
      <w:pPr>
        <w:spacing w:after="0" w:line="1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respectively). Changes in fair value recognized for partial charge-offs of loans and loan impairment reserves on loans held by the Company on June 30, 2016 were decreases of $4 million and $31 million for the three- and six-month periods ended June 30, 2016, respectively. Changes in fair value recognized for partial charge-offs of loans and loan impairment reserves on loans held by the Company on June 30, 2015 were decreases of $34 million and $42 million for the three- and six-month periods ended June 30, 2015,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$33 million and $13 million at June 30, 2016 and 2015, respectively. Changes in fair value recognized for those foreclosed assets held by the Company were not material during the three-month and six-month periods ended June 30, 2016 and 2015.</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tables present quantitative information about significant unobservable inputs used in the fair value measurements for Level 3 assets and liabilities at June 30, 2016 and December 31, 2015:</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0" w:type="dxa"/>
            <w:vAlign w:val="bottom"/>
            <w:gridSpan w:val="3"/>
          </w:tcPr>
          <w:p>
            <w:pPr>
              <w:jc w:val="center"/>
              <w:ind w:right="600"/>
              <w:spacing w:after="0" w:line="149" w:lineRule="exact"/>
              <w:rPr>
                <w:sz w:val="20"/>
                <w:szCs w:val="20"/>
                <w:color w:val="auto"/>
              </w:rPr>
            </w:pPr>
            <w:r>
              <w:rPr>
                <w:rFonts w:ascii="Arial" w:cs="Arial" w:eastAsia="Arial" w:hAnsi="Arial"/>
                <w:sz w:val="14"/>
                <w:szCs w:val="14"/>
                <w:color w:val="auto"/>
                <w:w w:val="93"/>
              </w:rPr>
              <w:t>Fair value at</w:t>
            </w:r>
          </w:p>
        </w:tc>
        <w:tc>
          <w:tcPr>
            <w:tcW w:w="1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Valuation</w:t>
            </w:r>
          </w:p>
        </w:tc>
        <w:tc>
          <w:tcPr>
            <w:tcW w:w="164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2"/>
              </w:rPr>
              <w:t>Unobservable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0" w:type="dxa"/>
            <w:vAlign w:val="bottom"/>
            <w:gridSpan w:val="3"/>
          </w:tcPr>
          <w:p>
            <w:pPr>
              <w:jc w:val="center"/>
              <w:ind w:right="600"/>
              <w:spacing w:after="0"/>
              <w:rPr>
                <w:sz w:val="20"/>
                <w:szCs w:val="20"/>
                <w:color w:val="auto"/>
              </w:rPr>
            </w:pPr>
            <w:r>
              <w:rPr>
                <w:rFonts w:ascii="Arial" w:cs="Arial" w:eastAsia="Arial" w:hAnsi="Arial"/>
                <w:sz w:val="14"/>
                <w:szCs w:val="14"/>
                <w:color w:val="auto"/>
                <w:w w:val="90"/>
              </w:rPr>
              <w:t>June 30, 2016</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technique</w:t>
            </w:r>
          </w:p>
        </w:tc>
        <w:tc>
          <w:tcPr>
            <w:tcW w:w="1640" w:type="dxa"/>
            <w:vAlign w:val="bottom"/>
            <w:gridSpan w:val="2"/>
          </w:tcPr>
          <w:p>
            <w:pPr>
              <w:jc w:val="center"/>
              <w:ind w:right="580"/>
              <w:spacing w:after="0"/>
              <w:rPr>
                <w:sz w:val="20"/>
                <w:szCs w:val="20"/>
                <w:color w:val="auto"/>
              </w:rPr>
            </w:pPr>
            <w:r>
              <w:rPr>
                <w:rFonts w:ascii="Arial" w:cs="Arial" w:eastAsia="Arial" w:hAnsi="Arial"/>
                <w:sz w:val="14"/>
                <w:szCs w:val="14"/>
                <w:color w:val="auto"/>
                <w:w w:val="93"/>
              </w:rPr>
              <w:t>input/assumptions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5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Recurring fair value measurements</w:t>
            </w:r>
          </w:p>
        </w:tc>
        <w:tc>
          <w:tcPr>
            <w:tcW w:w="222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4760" w:type="dxa"/>
            <w:vAlign w:val="bottom"/>
            <w:gridSpan w:val="4"/>
          </w:tcPr>
          <w:p>
            <w:pPr>
              <w:spacing w:after="0"/>
              <w:rPr>
                <w:sz w:val="20"/>
                <w:szCs w:val="20"/>
                <w:color w:val="auto"/>
              </w:rPr>
            </w:pPr>
            <w:r>
              <w:rPr>
                <w:rFonts w:ascii="Arial" w:cs="Arial" w:eastAsia="Arial" w:hAnsi="Arial"/>
                <w:sz w:val="18"/>
                <w:szCs w:val="18"/>
                <w:color w:val="auto"/>
              </w:rPr>
              <w:t>Privately issued mortgage–backed securities</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Two</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independent</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pricing</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gridSpan w:val="4"/>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5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quotes</w:t>
            </w:r>
          </w:p>
        </w:tc>
        <w:tc>
          <w:tcPr>
            <w:tcW w:w="16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Collateralized debt obligations</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Discounted</w:t>
            </w:r>
          </w:p>
        </w:tc>
        <w:tc>
          <w:tcPr>
            <w:tcW w:w="164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Probability</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43,305</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flow</w:t>
            </w:r>
          </w:p>
        </w:tc>
        <w:tc>
          <w:tcPr>
            <w:tcW w:w="1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of default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10%-55% (30%)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Loss severity</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Net other assets (liabilities)(a)</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Discounted</w:t>
            </w:r>
          </w:p>
        </w:tc>
        <w:tc>
          <w:tcPr>
            <w:tcW w:w="164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Commitment</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21,383</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flow</w:t>
            </w:r>
          </w:p>
        </w:tc>
        <w:tc>
          <w:tcPr>
            <w:tcW w:w="1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expirations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0%-93% (36%)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0" w:type="dxa"/>
            <w:vAlign w:val="bottom"/>
            <w:gridSpan w:val="3"/>
          </w:tcPr>
          <w:p>
            <w:pPr>
              <w:jc w:val="center"/>
              <w:ind w:right="600"/>
              <w:spacing w:after="0"/>
              <w:rPr>
                <w:sz w:val="20"/>
                <w:szCs w:val="20"/>
                <w:color w:val="auto"/>
              </w:rPr>
            </w:pPr>
            <w:r>
              <w:rPr>
                <w:rFonts w:ascii="Arial" w:cs="Arial" w:eastAsia="Arial" w:hAnsi="Arial"/>
                <w:sz w:val="14"/>
                <w:szCs w:val="14"/>
                <w:color w:val="auto"/>
                <w:w w:val="93"/>
              </w:rPr>
              <w:t>Fair value at</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0" w:type="dxa"/>
            <w:vAlign w:val="bottom"/>
            <w:gridSpan w:val="3"/>
          </w:tcPr>
          <w:p>
            <w:pPr>
              <w:jc w:val="center"/>
              <w:ind w:right="600"/>
              <w:spacing w:after="0" w:line="149" w:lineRule="exact"/>
              <w:rPr>
                <w:sz w:val="20"/>
                <w:szCs w:val="20"/>
                <w:color w:val="auto"/>
              </w:rPr>
            </w:pPr>
            <w:r>
              <w:rPr>
                <w:rFonts w:ascii="Arial" w:cs="Arial" w:eastAsia="Arial" w:hAnsi="Arial"/>
                <w:sz w:val="14"/>
                <w:szCs w:val="14"/>
                <w:color w:val="auto"/>
                <w:w w:val="90"/>
              </w:rPr>
              <w:t>December 31,</w:t>
            </w:r>
          </w:p>
        </w:tc>
        <w:tc>
          <w:tcPr>
            <w:tcW w:w="1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Valuation</w:t>
            </w:r>
          </w:p>
        </w:tc>
        <w:tc>
          <w:tcPr>
            <w:tcW w:w="164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2"/>
              </w:rPr>
              <w:t>Unobservable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113"/>
              <w:spacing w:after="0"/>
              <w:rPr>
                <w:sz w:val="20"/>
                <w:szCs w:val="20"/>
                <w:color w:val="auto"/>
              </w:rPr>
            </w:pPr>
            <w:r>
              <w:rPr>
                <w:rFonts w:ascii="Arial" w:cs="Arial" w:eastAsia="Arial" w:hAnsi="Arial"/>
                <w:sz w:val="14"/>
                <w:szCs w:val="14"/>
                <w:color w:val="auto"/>
                <w:w w:val="89"/>
              </w:rPr>
              <w:t>2015</w:t>
            </w:r>
          </w:p>
        </w:tc>
        <w:tc>
          <w:tcPr>
            <w:tcW w:w="58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technique</w:t>
            </w:r>
          </w:p>
        </w:tc>
        <w:tc>
          <w:tcPr>
            <w:tcW w:w="1640" w:type="dxa"/>
            <w:vAlign w:val="bottom"/>
            <w:gridSpan w:val="2"/>
          </w:tcPr>
          <w:p>
            <w:pPr>
              <w:jc w:val="center"/>
              <w:ind w:right="580"/>
              <w:spacing w:after="0"/>
              <w:rPr>
                <w:sz w:val="20"/>
                <w:szCs w:val="20"/>
                <w:color w:val="auto"/>
              </w:rPr>
            </w:pPr>
            <w:r>
              <w:rPr>
                <w:rFonts w:ascii="Arial" w:cs="Arial" w:eastAsia="Arial" w:hAnsi="Arial"/>
                <w:sz w:val="14"/>
                <w:szCs w:val="14"/>
                <w:color w:val="auto"/>
                <w:w w:val="93"/>
              </w:rPr>
              <w:t>input/assumptions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5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Recurring fair value measurements</w:t>
            </w:r>
          </w:p>
        </w:tc>
        <w:tc>
          <w:tcPr>
            <w:tcW w:w="222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4760" w:type="dxa"/>
            <w:vAlign w:val="bottom"/>
            <w:gridSpan w:val="4"/>
          </w:tcPr>
          <w:p>
            <w:pPr>
              <w:spacing w:after="0"/>
              <w:rPr>
                <w:sz w:val="20"/>
                <w:szCs w:val="20"/>
                <w:color w:val="auto"/>
              </w:rPr>
            </w:pPr>
            <w:r>
              <w:rPr>
                <w:rFonts w:ascii="Arial" w:cs="Arial" w:eastAsia="Arial" w:hAnsi="Arial"/>
                <w:sz w:val="18"/>
                <w:szCs w:val="18"/>
                <w:color w:val="auto"/>
              </w:rPr>
              <w:t>Privately issued mortgage–backed securities</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Two</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independent</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pricing</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gridSpan w:val="4"/>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5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quotes</w:t>
            </w:r>
          </w:p>
        </w:tc>
        <w:tc>
          <w:tcPr>
            <w:tcW w:w="16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Collateralized debt obligations</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Discounted</w:t>
            </w:r>
          </w:p>
        </w:tc>
        <w:tc>
          <w:tcPr>
            <w:tcW w:w="164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Probability</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47,393</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flow</w:t>
            </w:r>
          </w:p>
        </w:tc>
        <w:tc>
          <w:tcPr>
            <w:tcW w:w="1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of default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10%-56% (31%)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Loss severity</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Net other assets (liabilities) (a)</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Discounted</w:t>
            </w:r>
          </w:p>
        </w:tc>
        <w:tc>
          <w:tcPr>
            <w:tcW w:w="164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Commitment</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5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flow</w:t>
            </w:r>
          </w:p>
        </w:tc>
        <w:tc>
          <w:tcPr>
            <w:tcW w:w="1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expirations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0%-60% (39%)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 increase (decrease) in the probability of default and loss severity for collateralized debt securities would generally result in a lower (higher) fair value measurement.</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274" w:right="29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June 30, 2016</w:t>
            </w: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440"/>
              <w:spacing w:after="0" w:line="123" w:lineRule="exact"/>
              <w:rPr>
                <w:sz w:val="20"/>
                <w:szCs w:val="20"/>
                <w:color w:val="auto"/>
              </w:rPr>
            </w:pPr>
            <w:r>
              <w:rPr>
                <w:rFonts w:ascii="Arial" w:cs="Arial" w:eastAsia="Arial" w:hAnsi="Arial"/>
                <w:sz w:val="14"/>
                <w:szCs w:val="14"/>
                <w:color w:val="auto"/>
              </w:rPr>
              <w:t>Carrying</w:t>
            </w:r>
          </w:p>
        </w:tc>
        <w:tc>
          <w:tcPr>
            <w:tcW w:w="1040" w:type="dxa"/>
            <w:vAlign w:val="bottom"/>
            <w:gridSpan w:val="2"/>
          </w:tcPr>
          <w:p>
            <w:pPr>
              <w:jc w:val="right"/>
              <w:ind w:right="280"/>
              <w:spacing w:after="0" w:line="123" w:lineRule="exact"/>
              <w:rPr>
                <w:sz w:val="20"/>
                <w:szCs w:val="20"/>
                <w:color w:val="auto"/>
              </w:rPr>
            </w:pPr>
            <w:r>
              <w:rPr>
                <w:rFonts w:ascii="Arial" w:cs="Arial" w:eastAsia="Arial" w:hAnsi="Arial"/>
                <w:sz w:val="14"/>
                <w:szCs w:val="14"/>
                <w:color w:val="auto"/>
              </w:rPr>
              <w:t>Estimated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amount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fair value</w:t>
            </w:r>
          </w:p>
        </w:tc>
        <w:tc>
          <w:tcPr>
            <w:tcW w:w="12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Level 1</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Level 2</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color w:val="auto"/>
              </w:rPr>
              <w:t>(in thousands)</w:t>
            </w: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1,284,442</w:t>
            </w:r>
          </w:p>
        </w:tc>
        <w:tc>
          <w:tcPr>
            <w:tcW w:w="940" w:type="dxa"/>
            <w:vAlign w:val="bottom"/>
          </w:tcPr>
          <w:p>
            <w:pPr>
              <w:jc w:val="right"/>
              <w:spacing w:after="0"/>
              <w:rPr>
                <w:sz w:val="20"/>
                <w:szCs w:val="20"/>
                <w:color w:val="auto"/>
              </w:rPr>
            </w:pPr>
            <w:r>
              <w:rPr>
                <w:rFonts w:ascii="Arial" w:cs="Arial" w:eastAsia="Arial" w:hAnsi="Arial"/>
                <w:sz w:val="18"/>
                <w:szCs w:val="18"/>
                <w:color w:val="auto"/>
              </w:rPr>
              <w:t>1,284,442</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1,216,801</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67,641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 deposits at banks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8,474,839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8,474,839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8,474,839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Trading account 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506,131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506,131</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62,167</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443,964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14,963,084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15,011,922</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59,647</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14,779,939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Loans and leases: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loans and leases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21,469,242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21,119,041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21,119,041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Commercial real estate loans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30,711,230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30,553,720</w:t>
            </w:r>
          </w:p>
        </w:tc>
        <w:tc>
          <w:tcPr>
            <w:tcW w:w="12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227,929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30,325,791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real estate loans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24,530,249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24,738,004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4,673,968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20,064,036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Consumer loans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11,811,277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11,713,181</w:t>
            </w:r>
          </w:p>
        </w:tc>
        <w:tc>
          <w:tcPr>
            <w:tcW w:w="12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11,713,181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Allowance for credit losses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(970,496)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1060"/>
              <w:spacing w:after="0"/>
              <w:rPr>
                <w:sz w:val="20"/>
                <w:szCs w:val="20"/>
                <w:color w:val="auto"/>
              </w:rPr>
            </w:pPr>
            <w:r>
              <w:rPr>
                <w:rFonts w:ascii="Arial" w:cs="Arial" w:eastAsia="Arial" w:hAnsi="Arial"/>
                <w:sz w:val="18"/>
                <w:szCs w:val="18"/>
                <w:color w:val="auto"/>
              </w:rPr>
              <w:t>Loans and leases, net</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87,551,502</w:t>
            </w: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88,123,946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4,901,897</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83,222,049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299,158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299,158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299,158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44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 deposits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(30,700,066)</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(30,700,066)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(30,700,066)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Savings and interest-checking deposits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(51,126,237)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(51,126,237)</w:t>
            </w:r>
          </w:p>
        </w:tc>
        <w:tc>
          <w:tcPr>
            <w:tcW w:w="12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(51,126,237)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(12,630,277)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(12,677,606)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(12,677,606)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Deposits at Cayman Islands office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(193,523)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(193,523)</w:t>
            </w:r>
          </w:p>
        </w:tc>
        <w:tc>
          <w:tcPr>
            <w:tcW w:w="12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(193,523)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borrowings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(407,123)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(407,123)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(407,123)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Long-term borrowings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(10,328,751)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(10,382,523)</w:t>
            </w:r>
          </w:p>
        </w:tc>
        <w:tc>
          <w:tcPr>
            <w:tcW w:w="12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(10,382,523)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(80,165)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(80,165)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(80,165)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Trading account liabilities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(352,541)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(352,541)</w:t>
            </w:r>
          </w:p>
        </w:tc>
        <w:tc>
          <w:tcPr>
            <w:tcW w:w="120" w:type="dxa"/>
            <w:vAlign w:val="bottom"/>
          </w:tcPr>
          <w:p>
            <w:pPr>
              <w:spacing w:after="0"/>
              <w:rPr>
                <w:sz w:val="20"/>
                <w:szCs w:val="20"/>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(352,541)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Commitments to originate real estate loans for sale</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21,383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21,383</w:t>
            </w:r>
          </w:p>
        </w:tc>
        <w:tc>
          <w:tcPr>
            <w:tcW w:w="12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to sell real estate loans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(15,902)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(15,902)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(15,902)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Other credit-related commitments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(125,630)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(125,630)</w:t>
            </w:r>
          </w:p>
        </w:tc>
        <w:tc>
          <w:tcPr>
            <w:tcW w:w="12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(125,630)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Interest rate swap agreements used for interest rate risk management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33,648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33,648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33,648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Fair value measurements,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color w:val="auto"/>
                <w:w w:val="97"/>
              </w:rPr>
              <w:t>December 31, 2015</w:t>
            </w: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440"/>
              <w:spacing w:after="0" w:line="123" w:lineRule="exact"/>
              <w:rPr>
                <w:sz w:val="20"/>
                <w:szCs w:val="20"/>
                <w:color w:val="auto"/>
              </w:rPr>
            </w:pPr>
            <w:r>
              <w:rPr>
                <w:rFonts w:ascii="Arial" w:cs="Arial" w:eastAsia="Arial" w:hAnsi="Arial"/>
                <w:sz w:val="14"/>
                <w:szCs w:val="14"/>
                <w:color w:val="auto"/>
              </w:rPr>
              <w:t>Carrying</w:t>
            </w:r>
          </w:p>
        </w:tc>
        <w:tc>
          <w:tcPr>
            <w:tcW w:w="1060" w:type="dxa"/>
            <w:vAlign w:val="bottom"/>
            <w:gridSpan w:val="2"/>
          </w:tcPr>
          <w:p>
            <w:pPr>
              <w:jc w:val="right"/>
              <w:ind w:right="300"/>
              <w:spacing w:after="0" w:line="123" w:lineRule="exact"/>
              <w:rPr>
                <w:sz w:val="20"/>
                <w:szCs w:val="20"/>
                <w:color w:val="auto"/>
              </w:rPr>
            </w:pPr>
            <w:r>
              <w:rPr>
                <w:rFonts w:ascii="Arial" w:cs="Arial" w:eastAsia="Arial" w:hAnsi="Arial"/>
                <w:sz w:val="14"/>
                <w:szCs w:val="14"/>
                <w:color w:val="auto"/>
              </w:rPr>
              <w:t>Estimated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amount</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Level 1</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Level 2</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color w:val="auto"/>
              </w:rPr>
              <w:t>(in thousands)</w:t>
            </w: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1,368,040</w:t>
            </w:r>
          </w:p>
        </w:tc>
        <w:tc>
          <w:tcPr>
            <w:tcW w:w="940" w:type="dxa"/>
            <w:vAlign w:val="bottom"/>
          </w:tcPr>
          <w:p>
            <w:pPr>
              <w:jc w:val="right"/>
              <w:spacing w:after="0"/>
              <w:rPr>
                <w:sz w:val="20"/>
                <w:szCs w:val="20"/>
                <w:color w:val="auto"/>
              </w:rPr>
            </w:pPr>
            <w:r>
              <w:rPr>
                <w:rFonts w:ascii="Arial" w:cs="Arial" w:eastAsia="Arial" w:hAnsi="Arial"/>
                <w:sz w:val="18"/>
                <w:szCs w:val="18"/>
                <w:color w:val="auto"/>
              </w:rPr>
              <w:t>1,368,040</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1,276,678</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91,362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7,594,350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7,594,350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273,783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273,783</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56,763</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217,020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15,656,439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15,660,877</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65,178</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15,406,404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20,422,338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20,146,201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20,146,201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70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29,197,311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29,044,244</w:t>
            </w:r>
          </w:p>
        </w:tc>
        <w:tc>
          <w:tcPr>
            <w:tcW w:w="10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38,774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29,005,470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26,270,103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26,267,771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4,727,816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21,539,955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70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11,599,747</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11,550,270</w:t>
            </w:r>
          </w:p>
        </w:tc>
        <w:tc>
          <w:tcPr>
            <w:tcW w:w="10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11,550,270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(955,992)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106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86,533,507</w:t>
            </w: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87,008,486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4,766,590</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82,241,896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306,496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306,496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306,496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(29,110,635)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(29,110,635)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(29,110,635)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Savings and interest-checking deposits</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(49,566,644)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(49,566,644)</w:t>
            </w:r>
          </w:p>
        </w:tc>
        <w:tc>
          <w:tcPr>
            <w:tcW w:w="10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(49,566,644)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(13,110,392)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(13,135,042)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(13,135,042)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(170,170)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(170,170)</w:t>
            </w:r>
          </w:p>
        </w:tc>
        <w:tc>
          <w:tcPr>
            <w:tcW w:w="10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(170,170)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(2,132,182)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(2,132,182)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(2,132,182)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(10,653,858)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(10,639,556)</w:t>
            </w:r>
          </w:p>
        </w:tc>
        <w:tc>
          <w:tcPr>
            <w:tcW w:w="10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(10,639,556)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(85,145)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(85,145)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(85,145)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(160,745)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(160,745)</w:t>
            </w:r>
          </w:p>
        </w:tc>
        <w:tc>
          <w:tcPr>
            <w:tcW w:w="100" w:type="dxa"/>
            <w:vAlign w:val="bottom"/>
          </w:tcPr>
          <w:p>
            <w:pPr>
              <w:spacing w:after="0"/>
              <w:rPr>
                <w:sz w:val="20"/>
                <w:szCs w:val="20"/>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(160,745)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Commitments to originate real estate 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9,879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9,879</w:t>
            </w:r>
          </w:p>
        </w:tc>
        <w:tc>
          <w:tcPr>
            <w:tcW w:w="10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(122,334)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(122,334)</w:t>
            </w:r>
          </w:p>
        </w:tc>
        <w:tc>
          <w:tcPr>
            <w:tcW w:w="10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 agreements used for interest rate risk management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43,892</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43,892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43,892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The following assumptions, methods and calculations were used in determining the estimated fair value of financial instruments not measured at fair value in the consolidated balance sheet.</w:t>
      </w:r>
    </w:p>
    <w:p>
      <w:pPr>
        <w:spacing w:after="0" w:line="2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Cash and cash equivalents, interest-bearing deposits at banks, deposits at Cayman Islands office, short-term borrowings, accrued interest receivable and accrued interest payable</w:t>
      </w:r>
    </w:p>
    <w:p>
      <w:pPr>
        <w:spacing w:after="0" w:line="6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Due to the nature of cash and cash equivalents and the near maturity of interest-bearing deposits at banks, deposits at Cayman Islands office, short-term borrowings, accrued interest receivable and accrued interest payable, the Company estimated that the carrying amount of such instruments approximated estimated fair value.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interest-checking deposits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6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291"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Arial" w:cs="Arial" w:eastAsia="Arial" w:hAnsi="Arial"/>
                <w:sz w:val="14"/>
                <w:szCs w:val="14"/>
                <w:color w:val="auto"/>
              </w:rPr>
              <w:t>June 30,</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480" w:type="dxa"/>
            <w:vAlign w:val="bottom"/>
            <w:gridSpan w:val="2"/>
          </w:tcPr>
          <w:p>
            <w:pPr>
              <w:jc w:val="right"/>
              <w:ind w:right="468"/>
              <w:spacing w:after="0"/>
              <w:rPr>
                <w:sz w:val="20"/>
                <w:szCs w:val="20"/>
                <w:color w:val="auto"/>
              </w:rPr>
            </w:pPr>
            <w:r>
              <w:rPr>
                <w:rFonts w:ascii="Arial" w:cs="Arial" w:eastAsia="Arial" w:hAnsi="Arial"/>
                <w:sz w:val="14"/>
                <w:szCs w:val="14"/>
                <w:color w:val="auto"/>
              </w:rPr>
              <w:t>2016</w:t>
            </w:r>
          </w:p>
        </w:tc>
        <w:tc>
          <w:tcPr>
            <w:tcW w:w="1080" w:type="dxa"/>
            <w:vAlign w:val="bottom"/>
          </w:tcPr>
          <w:p>
            <w:pPr>
              <w:jc w:val="right"/>
              <w:ind w:right="213"/>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0" w:type="dxa"/>
            <w:vAlign w:val="bottom"/>
            <w:tcBorders>
              <w:top w:val="single" w:sz="8" w:color="auto"/>
            </w:tcBorders>
            <w:gridSpan w:val="2"/>
          </w:tcPr>
          <w:p>
            <w:pPr>
              <w:jc w:val="right"/>
              <w:ind w:right="61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Home equity lines of credit</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$ 5,569,936</w:t>
            </w:r>
          </w:p>
        </w:tc>
        <w:tc>
          <w:tcPr>
            <w:tcW w:w="1080" w:type="dxa"/>
            <w:vAlign w:val="bottom"/>
          </w:tcPr>
          <w:p>
            <w:pPr>
              <w:jc w:val="right"/>
              <w:spacing w:after="0"/>
              <w:rPr>
                <w:sz w:val="20"/>
                <w:szCs w:val="20"/>
                <w:color w:val="auto"/>
              </w:rPr>
            </w:pPr>
            <w:r>
              <w:rPr>
                <w:rFonts w:ascii="Arial" w:cs="Arial" w:eastAsia="Arial" w:hAnsi="Arial"/>
                <w:sz w:val="18"/>
                <w:szCs w:val="18"/>
                <w:color w:val="auto"/>
              </w:rPr>
              <w:t>5,631,680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 loans to be sold</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112,251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Other commercial real estate</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6,325,178</w:t>
            </w:r>
          </w:p>
        </w:tc>
        <w:tc>
          <w:tcPr>
            <w:tcW w:w="1080" w:type="dxa"/>
            <w:vAlign w:val="bottom"/>
          </w:tcPr>
          <w:p>
            <w:pPr>
              <w:jc w:val="right"/>
              <w:spacing w:after="0"/>
              <w:rPr>
                <w:sz w:val="20"/>
                <w:szCs w:val="20"/>
                <w:color w:val="auto"/>
              </w:rPr>
            </w:pPr>
            <w:r>
              <w:rPr>
                <w:rFonts w:ascii="Arial" w:cs="Arial" w:eastAsia="Arial" w:hAnsi="Arial"/>
                <w:sz w:val="18"/>
                <w:szCs w:val="18"/>
                <w:color w:val="auto"/>
              </w:rPr>
              <w:t>5,949,933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 loans to be sold</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638,037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Other residential real estate</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286,848</w:t>
            </w:r>
          </w:p>
        </w:tc>
        <w:tc>
          <w:tcPr>
            <w:tcW w:w="1080" w:type="dxa"/>
            <w:vAlign w:val="bottom"/>
          </w:tcPr>
          <w:p>
            <w:pPr>
              <w:jc w:val="right"/>
              <w:spacing w:after="0"/>
              <w:rPr>
                <w:sz w:val="20"/>
                <w:szCs w:val="20"/>
                <w:color w:val="auto"/>
              </w:rPr>
            </w:pPr>
            <w:r>
              <w:rPr>
                <w:rFonts w:ascii="Arial" w:cs="Arial" w:eastAsia="Arial" w:hAnsi="Arial"/>
                <w:sz w:val="18"/>
                <w:szCs w:val="18"/>
                <w:color w:val="auto"/>
              </w:rPr>
              <w:t>212,619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other</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11,898,046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11,802,850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2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3,343,858</w:t>
            </w:r>
          </w:p>
        </w:tc>
        <w:tc>
          <w:tcPr>
            <w:tcW w:w="1080" w:type="dxa"/>
            <w:vAlign w:val="bottom"/>
          </w:tcPr>
          <w:p>
            <w:pPr>
              <w:jc w:val="right"/>
              <w:spacing w:after="0"/>
              <w:rPr>
                <w:sz w:val="20"/>
                <w:szCs w:val="20"/>
                <w:color w:val="auto"/>
              </w:rPr>
            </w:pPr>
            <w:r>
              <w:rPr>
                <w:rFonts w:ascii="Arial" w:cs="Arial" w:eastAsia="Arial" w:hAnsi="Arial"/>
                <w:sz w:val="18"/>
                <w:szCs w:val="18"/>
                <w:color w:val="auto"/>
              </w:rPr>
              <w:t>3,330,013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46,748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20" w:type="dxa"/>
            <w:vAlign w:val="bottom"/>
            <w:gridSpan w:val="2"/>
          </w:tcPr>
          <w:p>
            <w:pPr>
              <w:spacing w:after="0"/>
              <w:rPr>
                <w:sz w:val="20"/>
                <w:szCs w:val="20"/>
                <w:color w:val="auto"/>
              </w:rPr>
            </w:pPr>
            <w:r>
              <w:rPr>
                <w:rFonts w:ascii="Arial" w:cs="Arial" w:eastAsia="Arial" w:hAnsi="Arial"/>
                <w:sz w:val="18"/>
                <w:szCs w:val="18"/>
                <w:color w:val="auto"/>
              </w:rPr>
              <w:t>Financial guarantees and indemnification contracts</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2,926,230</w:t>
            </w:r>
          </w:p>
        </w:tc>
        <w:tc>
          <w:tcPr>
            <w:tcW w:w="1080" w:type="dxa"/>
            <w:vAlign w:val="bottom"/>
          </w:tcPr>
          <w:p>
            <w:pPr>
              <w:jc w:val="right"/>
              <w:spacing w:after="0"/>
              <w:rPr>
                <w:sz w:val="20"/>
                <w:szCs w:val="20"/>
                <w:color w:val="auto"/>
              </w:rPr>
            </w:pPr>
            <w:r>
              <w:rPr>
                <w:rFonts w:ascii="Arial" w:cs="Arial" w:eastAsia="Arial" w:hAnsi="Arial"/>
                <w:sz w:val="18"/>
                <w:szCs w:val="18"/>
                <w:color w:val="auto"/>
              </w:rPr>
              <w:t>2,794,322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1,155,969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6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recourse associated with loans sold under that program totaled approximately $2.6 billion and $2.5 billion at June 30, 2016 and December 31, 2015, respectively.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70"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225"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Nevertheless, given the outcome of the matter discussed in the following paragraph, at June 30, 2016, the Company’s obligation to loan purchasers was not considered material to the Company’s consolidated financial position.</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Company was the subject of an investigation by government agencies relating to the origination of Federal Housing Administration (“FHA”) insured residential home loans and residential home loans sold to Freddie Mac and Fannie Mae. A number of other U.S. financial institutions have announced similar investigations. Regarding FHA loans, the U.S. Department of Housing and Urban Development (“HUD”) Office of Inspector General and the U.S. Department of Justice (collectively, the “Government”) investigated whether the Company complied with underwriting guidelines concerning certain loans where HUD paid FHA insurance claims. The Company fully cooperated with the investigation. The Government advised the Company that based upon its review of a sample of loans for which an FHA insurance claim was paid by HUD, some of the loans did not meet underwriting guidelines. The Company, based on its own review of the sample, did not agree with the sampling methodology and loan analysis employed by the Government. Regarding loans originated by the Company and sold to Freddie Mac and Fannie Mae, the investigation concerned whether the mortgages sold to Freddie Mac and Fannie Mae complied with applicable underwriting guidelines. The Company also cooperated with that portion of the investigation. In order to bring those investigations to a close, M&amp;T Bank entered into a settlement agreement with the Government under which M&amp;T Bank paid $64 million on May 12, 2016, without admitting liability. As a result, on May 20, 2016, a Joint Stipulation of Dismissal was filed with the United States District Court for the Western District of New York. The settlement did not have a material impact on the Company’s consolidated financial condition or results of operations in the three-month or six-month periods ended June 30, 2016.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and other matters in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claims for monetary damages are asserted. On an on-going basis management, after consultation with legal counsel, assesses the Company’s liabilities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contingencies in connection with such proceedings. For those matters where it is probable that the Company will incur losses and the amounts of the losses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 be reasonably estimated, the Company records an expense and corresponding liability in its consolidated financial statements. To the extent the pending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threatened litigation could result in exposure in excess of that liability, the amount of such excess is not currently estimable. Although not considered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probable, the range of reasonably possible losses for such matters in the aggregate, beyond the existing recorded liability, was between $0 and $40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Although the Company does not believe that the outcome of pending litigations will be material to the Company’s consolidated financial position, 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cannot rule out the possibility that such outcomes will be material to the consolidated results of operations for a particular reporting period in the future.</w:t>
      </w:r>
    </w:p>
    <w:p>
      <w:pPr>
        <w:spacing w:after="0" w:line="367"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Reportable segments have been determined based upon the Company’s internal profitability reporting system, which is organized by strategic business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financial information of the Company’s segments was compiled utilizing the accounting policies described in note 22 of Notes to Financial Statements in the 2015 Annual Report. The management accounting policies and processes utilized in compiling segment financial information are highly subjective and, unlike financial accounting, are not based on authoritative guidance similar to GAAP. As a result, reported segment results are not necessarily comparable with similar information reported by other financial institutions. Furthermore, changes in management structure or allocation methodologies and procedures may result in changes in reported segment financial data. As disclosed in the 2015 Annual Report, effective July 1, 2015, the Company changed its internal profitability reporting to move a builder and developer lending unit from the Residential Mortgage Banking segment to the Commercial Real Estate segment. Accordingly, financial information presented herein for the three-month and six-month periods ended June 30, 2015 have been reclassified to conform to the current presentation. As a result, total revenues and net income decreased in the Residential Mortgage Banking segment and increased in the Commercial Real Estate segment by $6 million and $3 million, respectively, for the three-month period ended June 30, 2015 and by $12 million and $5 million, respectively, for the six-month period ended June 30, 2015 from that which was previously reported. During the second quarter of 2016, the Company revised its funds transfer pricing allocation related to the residential real estate loans obtained in the acquisition of Hudson City, retroactive to November 1, 2015. Accordingly, financial information for the three-month period ended March 31, 2016 has been reclassified to conform to the current methodology. As a result, total revenues and net income increased in the Discretionary Portfolio segment and decreased in the “All Other” category by $25 million and $15 million, respectively, for the three months ended March 31, 2016 from that which was previously reported.</w:t>
      </w:r>
    </w:p>
    <w:p>
      <w:pPr>
        <w:spacing w:after="0" w:line="17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As also described in note 22 in the 2015 Annual Report,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Information about the Company’s segments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color w:val="auto"/>
                <w:w w:val="90"/>
              </w:rPr>
              <w:t>Three months ended June 30</w:t>
            </w: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jc w:val="right"/>
              <w:ind w:right="260"/>
              <w:spacing w:after="0" w:line="123" w:lineRule="exact"/>
              <w:rPr>
                <w:sz w:val="20"/>
                <w:szCs w:val="20"/>
                <w:color w:val="auto"/>
              </w:rPr>
            </w:pPr>
            <w:r>
              <w:rPr>
                <w:rFonts w:ascii="Arial" w:cs="Arial" w:eastAsia="Arial" w:hAnsi="Arial"/>
                <w:sz w:val="14"/>
                <w:szCs w:val="14"/>
                <w:color w:val="auto"/>
              </w:rPr>
              <w:t>Inter-</w:t>
            </w:r>
          </w:p>
        </w:tc>
        <w:tc>
          <w:tcPr>
            <w:tcW w:w="10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rPr>
              <w:t>Net</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Total</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segment</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income</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Total</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color w:val="auto"/>
                <w:w w:val="88"/>
              </w:rPr>
              <w:t>revenues(a)</w:t>
            </w: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revenues</w:t>
            </w: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(loss)</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revenues(a)</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revenues</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(loss)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4"/>
          </w:tcPr>
          <w:p>
            <w:pPr>
              <w:jc w:val="center"/>
              <w:ind w:right="320"/>
              <w:spacing w:after="0"/>
              <w:rPr>
                <w:sz w:val="20"/>
                <w:szCs w:val="20"/>
                <w:color w:val="auto"/>
              </w:rPr>
            </w:pPr>
            <w:r>
              <w:rPr>
                <w:rFonts w:ascii="Arial" w:cs="Arial" w:eastAsia="Arial" w:hAnsi="Arial"/>
                <w:sz w:val="14"/>
                <w:szCs w:val="14"/>
                <w:color w:val="auto"/>
                <w:w w:val="92"/>
              </w:rPr>
              <w:t>(in thousands)</w:t>
            </w: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8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114,360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22,747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111,131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25,354</w:t>
            </w:r>
          </w:p>
        </w:tc>
        <w:tc>
          <w:tcPr>
            <w:tcW w:w="0" w:type="dxa"/>
            <w:vAlign w:val="bottom"/>
          </w:tcPr>
          <w:p>
            <w:pPr>
              <w:spacing w:after="0"/>
              <w:rPr>
                <w:sz w:val="1"/>
                <w:szCs w:val="1"/>
                <w:color w:val="auto"/>
              </w:rPr>
            </w:pPr>
          </w:p>
        </w:tc>
      </w:tr>
      <w:tr>
        <w:trPr>
          <w:trHeight w:val="324"/>
        </w:trPr>
        <w:tc>
          <w:tcPr>
            <w:tcW w:w="390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265,481</w:t>
            </w:r>
          </w:p>
        </w:tc>
        <w:tc>
          <w:tcPr>
            <w:tcW w:w="2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911</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105,392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257,257</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1,099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108,081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192,175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84,088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185,410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82,598</w:t>
            </w:r>
          </w:p>
        </w:tc>
        <w:tc>
          <w:tcPr>
            <w:tcW w:w="0" w:type="dxa"/>
            <w:vAlign w:val="bottom"/>
          </w:tcPr>
          <w:p>
            <w:pPr>
              <w:spacing w:after="0"/>
              <w:rPr>
                <w:sz w:val="1"/>
                <w:szCs w:val="1"/>
                <w:color w:val="auto"/>
              </w:rPr>
            </w:pPr>
          </w:p>
        </w:tc>
      </w:tr>
      <w:tr>
        <w:trPr>
          <w:trHeight w:val="324"/>
        </w:trPr>
        <w:tc>
          <w:tcPr>
            <w:tcW w:w="390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98,460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(14,608)</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46,225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20,477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(5,376)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10,756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103,882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21,244</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19,980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105,568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12,436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24,852</w:t>
            </w:r>
          </w:p>
        </w:tc>
        <w:tc>
          <w:tcPr>
            <w:tcW w:w="0" w:type="dxa"/>
            <w:vAlign w:val="bottom"/>
          </w:tcPr>
          <w:p>
            <w:pPr>
              <w:spacing w:after="0"/>
              <w:rPr>
                <w:sz w:val="1"/>
                <w:szCs w:val="1"/>
                <w:color w:val="auto"/>
              </w:rPr>
            </w:pPr>
          </w:p>
        </w:tc>
      </w:tr>
      <w:tr>
        <w:trPr>
          <w:trHeight w:val="324"/>
        </w:trPr>
        <w:tc>
          <w:tcPr>
            <w:tcW w:w="390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345,665</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3,132</w:t>
            </w:r>
          </w:p>
        </w:tc>
        <w:tc>
          <w:tcPr>
            <w:tcW w:w="120" w:type="dxa"/>
            <w:vAlign w:val="bottom"/>
          </w:tcPr>
          <w:p>
            <w:pPr>
              <w:spacing w:after="0"/>
              <w:rPr>
                <w:sz w:val="24"/>
                <w:szCs w:val="2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71,497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305,573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3,259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68,806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192,050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(12,325)</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(13,898)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194,739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(12,967)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(33,759)</w:t>
            </w:r>
          </w:p>
        </w:tc>
        <w:tc>
          <w:tcPr>
            <w:tcW w:w="0" w:type="dxa"/>
            <w:vAlign w:val="bottom"/>
          </w:tcPr>
          <w:p>
            <w:pPr>
              <w:spacing w:after="0"/>
              <w:rPr>
                <w:sz w:val="1"/>
                <w:szCs w:val="1"/>
                <w:color w:val="auto"/>
              </w:rPr>
            </w:pPr>
          </w:p>
        </w:tc>
      </w:tr>
      <w:tr>
        <w:trPr>
          <w:trHeight w:val="20"/>
        </w:trPr>
        <w:tc>
          <w:tcPr>
            <w:tcW w:w="39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1,312,073</w:t>
            </w:r>
          </w:p>
        </w:tc>
        <w:tc>
          <w:tcPr>
            <w:tcW w:w="2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336,031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1,180,155</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286,688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color w:val="auto"/>
                <w:w w:val="91"/>
              </w:rPr>
              <w:t>Six months ended June 30</w:t>
            </w: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jc w:val="right"/>
              <w:ind w:right="260"/>
              <w:spacing w:after="0" w:line="123" w:lineRule="exact"/>
              <w:rPr>
                <w:sz w:val="20"/>
                <w:szCs w:val="20"/>
                <w:color w:val="auto"/>
              </w:rPr>
            </w:pPr>
            <w:r>
              <w:rPr>
                <w:rFonts w:ascii="Arial" w:cs="Arial" w:eastAsia="Arial" w:hAnsi="Arial"/>
                <w:sz w:val="14"/>
                <w:szCs w:val="14"/>
                <w:color w:val="auto"/>
              </w:rPr>
              <w:t>Inter-</w:t>
            </w:r>
          </w:p>
        </w:tc>
        <w:tc>
          <w:tcPr>
            <w:tcW w:w="10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rPr>
              <w:t>Net</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Total</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segment</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income</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Total</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color w:val="auto"/>
                <w:w w:val="88"/>
              </w:rPr>
              <w:t>revenues(a)</w:t>
            </w: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revenues</w:t>
            </w: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(loss)</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revenues(a)</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revenues</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(loss)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4"/>
          </w:tcPr>
          <w:p>
            <w:pPr>
              <w:jc w:val="center"/>
              <w:ind w:right="320"/>
              <w:spacing w:after="0"/>
              <w:rPr>
                <w:sz w:val="20"/>
                <w:szCs w:val="20"/>
                <w:color w:val="auto"/>
              </w:rPr>
            </w:pPr>
            <w:r>
              <w:rPr>
                <w:rFonts w:ascii="Arial" w:cs="Arial" w:eastAsia="Arial" w:hAnsi="Arial"/>
                <w:sz w:val="14"/>
                <w:szCs w:val="14"/>
                <w:color w:val="auto"/>
                <w:w w:val="92"/>
              </w:rPr>
              <w:t>(in thousands)</w:t>
            </w: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8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228,049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48,195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219,691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50,165</w:t>
            </w:r>
          </w:p>
        </w:tc>
        <w:tc>
          <w:tcPr>
            <w:tcW w:w="0" w:type="dxa"/>
            <w:vAlign w:val="bottom"/>
          </w:tcPr>
          <w:p>
            <w:pPr>
              <w:spacing w:after="0"/>
              <w:rPr>
                <w:sz w:val="1"/>
                <w:szCs w:val="1"/>
                <w:color w:val="auto"/>
              </w:rPr>
            </w:pPr>
          </w:p>
        </w:tc>
      </w:tr>
      <w:tr>
        <w:trPr>
          <w:trHeight w:val="324"/>
        </w:trPr>
        <w:tc>
          <w:tcPr>
            <w:tcW w:w="390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519,098</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24"/>
                <w:szCs w:val="2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206,719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503,838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2,184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204,504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369,555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164,617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354,431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165,189</w:t>
            </w:r>
          </w:p>
        </w:tc>
        <w:tc>
          <w:tcPr>
            <w:tcW w:w="0" w:type="dxa"/>
            <w:vAlign w:val="bottom"/>
          </w:tcPr>
          <w:p>
            <w:pPr>
              <w:spacing w:after="0"/>
              <w:rPr>
                <w:sz w:val="1"/>
                <w:szCs w:val="1"/>
                <w:color w:val="auto"/>
              </w:rPr>
            </w:pPr>
          </w:p>
        </w:tc>
      </w:tr>
      <w:tr>
        <w:trPr>
          <w:trHeight w:val="324"/>
        </w:trPr>
        <w:tc>
          <w:tcPr>
            <w:tcW w:w="390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209,804</w:t>
            </w:r>
          </w:p>
        </w:tc>
        <w:tc>
          <w:tcPr>
            <w:tcW w:w="20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(28,931)</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100,749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35,951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(10,819)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16,710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200,817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40,904</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37,057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211,325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23,823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54,312</w:t>
            </w:r>
          </w:p>
        </w:tc>
        <w:tc>
          <w:tcPr>
            <w:tcW w:w="0" w:type="dxa"/>
            <w:vAlign w:val="bottom"/>
          </w:tcPr>
          <w:p>
            <w:pPr>
              <w:spacing w:after="0"/>
              <w:rPr>
                <w:sz w:val="1"/>
                <w:szCs w:val="1"/>
                <w:color w:val="auto"/>
              </w:rPr>
            </w:pPr>
          </w:p>
        </w:tc>
      </w:tr>
      <w:tr>
        <w:trPr>
          <w:trHeight w:val="324"/>
        </w:trPr>
        <w:tc>
          <w:tcPr>
            <w:tcW w:w="390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684,711</w:t>
            </w:r>
          </w:p>
        </w:tc>
        <w:tc>
          <w:tcPr>
            <w:tcW w:w="620" w:type="dxa"/>
            <w:vAlign w:val="bottom"/>
          </w:tcPr>
          <w:p>
            <w:pPr>
              <w:jc w:val="right"/>
              <w:spacing w:after="0"/>
              <w:rPr>
                <w:sz w:val="20"/>
                <w:szCs w:val="20"/>
                <w:color w:val="auto"/>
              </w:rPr>
            </w:pPr>
            <w:r>
              <w:rPr>
                <w:rFonts w:ascii="Arial" w:cs="Arial" w:eastAsia="Arial" w:hAnsi="Arial"/>
                <w:sz w:val="18"/>
                <w:szCs w:val="18"/>
                <w:color w:val="auto"/>
              </w:rPr>
              <w:t>6,146</w:t>
            </w:r>
          </w:p>
        </w:tc>
        <w:tc>
          <w:tcPr>
            <w:tcW w:w="120" w:type="dxa"/>
            <w:vAlign w:val="bottom"/>
          </w:tcPr>
          <w:p>
            <w:pPr>
              <w:spacing w:after="0"/>
              <w:rPr>
                <w:sz w:val="24"/>
                <w:szCs w:val="2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134,785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605,964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6,396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137,694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392,936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(23,110)</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(57,563)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348,746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(24,260)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(100,273)</w:t>
            </w:r>
          </w:p>
        </w:tc>
        <w:tc>
          <w:tcPr>
            <w:tcW w:w="0" w:type="dxa"/>
            <w:vAlign w:val="bottom"/>
          </w:tcPr>
          <w:p>
            <w:pPr>
              <w:spacing w:after="0"/>
              <w:rPr>
                <w:sz w:val="1"/>
                <w:szCs w:val="1"/>
                <w:color w:val="auto"/>
              </w:rPr>
            </w:pPr>
          </w:p>
        </w:tc>
      </w:tr>
      <w:tr>
        <w:trPr>
          <w:trHeight w:val="20"/>
        </w:trPr>
        <w:tc>
          <w:tcPr>
            <w:tcW w:w="39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2,604,970</w:t>
            </w:r>
          </w:p>
        </w:tc>
        <w:tc>
          <w:tcPr>
            <w:tcW w:w="2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634,559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2,279,946</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528,301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160" w:type="dxa"/>
            <w:vAlign w:val="bottom"/>
            <w:vMerge w:val="restart"/>
          </w:tcPr>
          <w:p>
            <w:pPr>
              <w:jc w:val="right"/>
              <w:ind w:right="110"/>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Segment information, continued</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w w:val="99"/>
              </w:rPr>
              <w:t>Average total assets</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5"/>
          </w:tcPr>
          <w:p>
            <w:pPr>
              <w:jc w:val="right"/>
              <w:ind w:right="920"/>
              <w:spacing w:after="0" w:line="129" w:lineRule="exact"/>
              <w:rPr>
                <w:sz w:val="20"/>
                <w:szCs w:val="20"/>
                <w:color w:val="auto"/>
              </w:rPr>
            </w:pPr>
            <w:r>
              <w:rPr>
                <w:rFonts w:ascii="Arial" w:cs="Arial" w:eastAsia="Arial" w:hAnsi="Arial"/>
                <w:sz w:val="14"/>
                <w:szCs w:val="14"/>
                <w:color w:val="auto"/>
              </w:rPr>
              <w:t>Six months ended</w:t>
            </w:r>
          </w:p>
        </w:tc>
        <w:tc>
          <w:tcPr>
            <w:tcW w:w="780" w:type="dxa"/>
            <w:vAlign w:val="bottom"/>
          </w:tcPr>
          <w:p>
            <w:pPr>
              <w:jc w:val="center"/>
              <w:spacing w:after="0" w:line="129" w:lineRule="exact"/>
              <w:rPr>
                <w:sz w:val="20"/>
                <w:szCs w:val="20"/>
                <w:color w:val="auto"/>
              </w:rPr>
            </w:pPr>
            <w:r>
              <w:rPr>
                <w:rFonts w:ascii="Arial" w:cs="Arial" w:eastAsia="Arial" w:hAnsi="Arial"/>
                <w:sz w:val="14"/>
                <w:szCs w:val="14"/>
                <w:color w:val="auto"/>
                <w:w w:val="88"/>
              </w:rPr>
              <w:t>Year ended</w:t>
            </w:r>
          </w:p>
        </w:tc>
        <w:tc>
          <w:tcPr>
            <w:tcW w:w="100" w:type="dxa"/>
            <w:vAlign w:val="bottom"/>
          </w:tcPr>
          <w:p>
            <w:pPr>
              <w:spacing w:after="0"/>
              <w:rPr>
                <w:sz w:val="11"/>
                <w:szCs w:val="11"/>
                <w:color w:val="auto"/>
              </w:rPr>
            </w:pPr>
          </w:p>
        </w:tc>
      </w:tr>
      <w:tr>
        <w:trPr>
          <w:trHeight w:val="157"/>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5"/>
          </w:tcPr>
          <w:p>
            <w:pPr>
              <w:jc w:val="right"/>
              <w:ind w:right="1220"/>
              <w:spacing w:after="0" w:line="157" w:lineRule="exact"/>
              <w:rPr>
                <w:sz w:val="20"/>
                <w:szCs w:val="20"/>
                <w:color w:val="auto"/>
              </w:rPr>
            </w:pPr>
            <w:r>
              <w:rPr>
                <w:rFonts w:ascii="Arial" w:cs="Arial" w:eastAsia="Arial" w:hAnsi="Arial"/>
                <w:sz w:val="14"/>
                <w:szCs w:val="14"/>
                <w:color w:val="auto"/>
              </w:rPr>
              <w:t>June 30</w:t>
            </w:r>
          </w:p>
        </w:tc>
        <w:tc>
          <w:tcPr>
            <w:tcW w:w="88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2"/>
              </w:rPr>
              <w:t>December 31</w:t>
            </w:r>
          </w:p>
        </w:tc>
      </w:tr>
      <w:tr>
        <w:trPr>
          <w:trHeight w:val="167"/>
        </w:trPr>
        <w:tc>
          <w:tcPr>
            <w:tcW w:w="6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2015</w:t>
            </w: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4"/>
                <w:szCs w:val="14"/>
                <w:color w:val="auto"/>
              </w:rPr>
            </w:pPr>
          </w:p>
        </w:tc>
      </w:tr>
      <w:tr>
        <w:trPr>
          <w:trHeight w:val="176"/>
        </w:trPr>
        <w:tc>
          <w:tcPr>
            <w:tcW w:w="6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74"/>
        </w:trPr>
        <w:tc>
          <w:tcPr>
            <w:tcW w:w="6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5,313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5,339</w:t>
            </w:r>
          </w:p>
        </w:tc>
      </w:tr>
      <w:tr>
        <w:trPr>
          <w:trHeight w:val="324"/>
        </w:trPr>
        <w:tc>
          <w:tcPr>
            <w:tcW w:w="6420" w:type="dxa"/>
            <w:vAlign w:val="bottom"/>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25,195</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23,997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24,143</w:t>
            </w:r>
          </w:p>
        </w:tc>
      </w:tr>
      <w:tr>
        <w:trPr>
          <w:trHeight w:val="108"/>
        </w:trPr>
        <w:tc>
          <w:tcPr>
            <w:tcW w:w="6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18,514(b)</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18,827</w:t>
            </w:r>
          </w:p>
        </w:tc>
      </w:tr>
      <w:tr>
        <w:trPr>
          <w:trHeight w:val="324"/>
        </w:trPr>
        <w:tc>
          <w:tcPr>
            <w:tcW w:w="642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41,900</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23,029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26,648</w:t>
            </w:r>
          </w:p>
        </w:tc>
      </w:tr>
      <w:tr>
        <w:trPr>
          <w:trHeight w:val="108"/>
        </w:trPr>
        <w:tc>
          <w:tcPr>
            <w:tcW w:w="6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3,090(b)</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w:t>
            </w:r>
          </w:p>
        </w:tc>
      </w:tr>
      <w:tr>
        <w:trPr>
          <w:trHeight w:val="324"/>
        </w:trPr>
        <w:tc>
          <w:tcPr>
            <w:tcW w:w="6420" w:type="dxa"/>
            <w:vAlign w:val="bottom"/>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11,640</w:t>
            </w:r>
          </w:p>
        </w:tc>
        <w:tc>
          <w:tcPr>
            <w:tcW w:w="120" w:type="dxa"/>
            <w:vAlign w:val="bottom"/>
          </w:tcPr>
          <w:p>
            <w:pPr>
              <w:spacing w:after="0"/>
              <w:rPr>
                <w:sz w:val="24"/>
                <w:szCs w:val="24"/>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10,830</w:t>
            </w:r>
          </w:p>
        </w:tc>
        <w:tc>
          <w:tcPr>
            <w:tcW w:w="780" w:type="dxa"/>
            <w:vAlign w:val="bottom"/>
          </w:tcPr>
          <w:p>
            <w:pPr>
              <w:jc w:val="right"/>
              <w:spacing w:after="0"/>
              <w:rPr>
                <w:sz w:val="20"/>
                <w:szCs w:val="20"/>
                <w:color w:val="auto"/>
              </w:rPr>
            </w:pPr>
            <w:r>
              <w:rPr>
                <w:rFonts w:ascii="Arial" w:cs="Arial" w:eastAsia="Arial" w:hAnsi="Arial"/>
                <w:sz w:val="18"/>
                <w:szCs w:val="18"/>
                <w:color w:val="auto"/>
              </w:rPr>
              <w:t>11,035</w:t>
            </w:r>
          </w:p>
        </w:tc>
        <w:tc>
          <w:tcPr>
            <w:tcW w:w="100" w:type="dxa"/>
            <w:vAlign w:val="bottom"/>
          </w:tcPr>
          <w:p>
            <w:pPr>
              <w:spacing w:after="0"/>
              <w:rPr>
                <w:sz w:val="24"/>
                <w:szCs w:val="24"/>
                <w:color w:val="auto"/>
              </w:rPr>
            </w:pPr>
          </w:p>
        </w:tc>
      </w:tr>
      <w:tr>
        <w:trPr>
          <w:trHeight w:val="108"/>
        </w:trPr>
        <w:tc>
          <w:tcPr>
            <w:tcW w:w="6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11,977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12,870</w:t>
            </w:r>
          </w:p>
        </w:tc>
      </w:tr>
      <w:tr>
        <w:trPr>
          <w:trHeight w:val="20"/>
        </w:trPr>
        <w:tc>
          <w:tcPr>
            <w:tcW w:w="6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64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123,479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96,750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101,780</w:t>
            </w:r>
          </w:p>
        </w:tc>
      </w:tr>
      <w:tr>
        <w:trPr>
          <w:trHeight w:val="20"/>
        </w:trPr>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67" w:lineRule="auto"/>
        <w:tabs>
          <w:tab w:leader="none" w:pos="460" w:val="left"/>
        </w:tabs>
        <w:numPr>
          <w:ilvl w:val="0"/>
          <w:numId w:val="65"/>
        </w:numPr>
        <w:rPr>
          <w:rFonts w:ascii="Arial" w:cs="Arial" w:eastAsia="Arial" w:hAnsi="Arial"/>
          <w:sz w:val="17"/>
          <w:szCs w:val="17"/>
          <w:i w:val="1"/>
          <w:iCs w:val="1"/>
          <w:color w:val="auto"/>
        </w:rPr>
      </w:pPr>
      <w:r>
        <w:rPr>
          <w:rFonts w:ascii="Arial" w:cs="Arial" w:eastAsia="Arial" w:hAnsi="Arial"/>
          <w:sz w:val="17"/>
          <w:szCs w:val="17"/>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pricing and allocation methodology. Segments are charged a cost to fund any assets (e.g. loans) and are paid a funding credit for any funds provided (e.g. deposits). The taxable-equivalent adjustment aggregated $6,522,000 and $6,020,000 for the three-month periods ended June 30, 2016 and 2015, respectively, and $12,854,000 and $11,858,000 for the six-month periods ended June 30, 2016 and 2015,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4" w:lineRule="exact"/>
        <w:rPr>
          <w:rFonts w:ascii="Arial" w:cs="Arial" w:eastAsia="Arial" w:hAnsi="Arial"/>
          <w:sz w:val="17"/>
          <w:szCs w:val="17"/>
          <w:i w:val="1"/>
          <w:iCs w:val="1"/>
          <w:color w:val="auto"/>
        </w:rPr>
      </w:pPr>
    </w:p>
    <w:p>
      <w:pPr>
        <w:ind w:left="460" w:right="20" w:hanging="452"/>
        <w:spacing w:after="0" w:line="277" w:lineRule="auto"/>
        <w:tabs>
          <w:tab w:leader="none" w:pos="460" w:val="left"/>
        </w:tabs>
        <w:numPr>
          <w:ilvl w:val="0"/>
          <w:numId w:val="65"/>
        </w:numPr>
        <w:rPr>
          <w:rFonts w:ascii="Arial" w:cs="Arial" w:eastAsia="Arial" w:hAnsi="Arial"/>
          <w:sz w:val="17"/>
          <w:szCs w:val="17"/>
          <w:i w:val="1"/>
          <w:iCs w:val="1"/>
          <w:color w:val="auto"/>
        </w:rPr>
      </w:pPr>
      <w:r>
        <w:rPr>
          <w:rFonts w:ascii="Arial" w:cs="Arial" w:eastAsia="Arial" w:hAnsi="Arial"/>
          <w:sz w:val="17"/>
          <w:szCs w:val="17"/>
          <w:i w:val="1"/>
          <w:iCs w:val="1"/>
          <w:color w:val="auto"/>
        </w:rPr>
        <w:t>Average assets of the Commercial Real Estate and Residential Mortgage Banking segments for the six-month period ended June 30, 2015 differ by approximately $323 million from the previously reported balances reflecting the noted change in the Company’s internal profitability reporting to move a builder and developer lending unit from the Residential Mortgage Banking segment to the Commercial Real Estate segment.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74"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with Bayview Lending Group LLC and Bayview Financial Holdings, L.P.</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M&amp;T holds a 20% minority interest in Bayview Lending Group LLC (“BLG”), a privately-held commercial mortgage company. M&amp;T recognizes income or loss from BLG using the equity method of accounting. The carrying value of that investment was $17 million at June 30, 2016.</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$3.8 billion and $4.1 billion at June 30, 2016 and December 31, 2015, respectively. Revenues from those servicing rights were $5 million and $6 million during the three months ended June 30, 2016 and 2015, respectively, and $10 million and $12 million for the six months ended June 30, 2016 and 2015, respectively. The Company sub-services residential mortgage loans for Bayview Financial having outstanding principal balances totaling $34.5 billion and $37.7 billion at June 30, 2016 and December 31, 2015, respectively. Revenues earned for sub-servicing loans for Bayview Financial were $25 million and $30 million for the three-month periods ended June 30, 2016 and 2015, respectively, and $48 million and $65 million for the six-month periods ended June 30, 2016 and 2015, respectively. In addition, the Company held $169 million and $181 million of mortgage-backed securities in its held-to-maturity portfolio at June 30, 2016 and December 31, 2015, respectively, that were securitized by Bayview Financial.</w:t>
      </w:r>
    </w:p>
    <w:p>
      <w:pPr>
        <w:spacing w:after="0" w:line="322"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Sale of trust accounts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April 2015, the Company sold the trade processing business within the retirement services division of its Institutional Client Services business. That sale resulted in an after-tax gain of $23 million ($45 million pre-tax) that reflected the allocation of approximately $11 million of previously recorded goodwill to the divested business. Revenues of the sold business had been included in “trust income” and were $9 million during the three months ended March 31, 2015. There were no revenues from the sold business recognized during the three months ended June 30, 2015 or thereafter. After considering related expenses, net income attributable to the business that was sold was not material to the consolidated results of operations of the Company in any of those periods.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6" w:name="page57"/>
    <w:bookmarkEnd w:id="56"/>
    <w:p>
      <w:pPr>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Net income for M&amp;T Bank Corporation (“M&amp;T”) in the second quarter of 2016 was $336 million, compared with $287 million in the year-earlier quarter. Diluted earnings per common share for each of those periods were $1.98. During the initial quarter of 2016, net income totaled $299 million or $1.73 of diluted earnings per common share. Basic earnings per common share were $1.98 in the recent quarter, $1.99 in the second quarter of 2015 and $1.74 in the first quarter of 2016. For the first half of 2016, net income totaled $635 million or $3.71 of diluted earnings per common share, compared with $528 million or $3.63 of diluted earnings per common share in the year-earlier period. Basic earnings per common share for the six-month periods ended June 30, 2016 and 2015 were $3.72 and $3.65, respectively.</w:t>
      </w:r>
    </w:p>
    <w:p>
      <w:pPr>
        <w:spacing w:after="0" w:line="19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annualized rate of return on average total assets for M&amp;T and its consolidated subsidiaries (“the Company”) in the recent quarter was 1.09%, compared with 1.18% in the year-earlier quarter and .97% in the first quarter of 2016. The annualized rate of return on average common shareholders’ equity was 8.38% in the second quarter of 2016, compared with 9.37% and 7.44% in the three-month periods ended June 30, 2015 and March 31, 2016, respectively. During the six-month period ended June 30, 2016, the annualized rates of return on average assets and average common shareholders’ equity were 1.03% and 7.91%, respectively, compared with 1.10% and 8.69%, respectively, in the first half of 2015.</w:t>
      </w:r>
    </w:p>
    <w:p>
      <w:pPr>
        <w:spacing w:after="0" w:line="17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On June 29, 2016, M&amp;T announced that the Federal Reserve did not object to M&amp;T’s proposed 2016 Capital Plan. That capital plan includes the repurchase of up to $1.15 billion of common shares during the four-quarter period starting on July 1, 2016 and an increase in the quarterly common stock dividend in the first quarter of 2017 of up to $.05 per share to $.75 per share. M&amp;T may also continue to pay dividends and interest on other equity and debt instruments included in regulatory capital, including preferred stock, trust preferred securities and subordinated debt that were outstanding at December 31, 2015, consistent with the contractual terms of those instruments. Dividends are subject to declaration by M&amp;T’s Board of Directors. Furthermore, on July 19, 2016, M&amp;T’s Board of Directors authorized a new stock repurchase program to repurchase up to $1.15 billion of shares of M&amp;T’s common stock subject to all applicable regulatory limitations, including those set forth in M&amp;T’s 2016 Capital Plan.</w:t>
      </w:r>
    </w:p>
    <w:p>
      <w:pPr>
        <w:spacing w:after="0" w:line="17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On November 1, 2015, M&amp;T completed its acquisition of Hudson City Bancorp, Inc. (“Hudson City”). Immediately following completion of the merger, Hudson City Savings Bank merged with and into M&amp;T Bank, the principal bank subsidiary of M&amp;T. Pursuant to the merger agreement, M&amp;T paid cash consideration of $2.1 billion and issued 25,953,950 shares of M&amp;T common stock in exchange for Hudson City shares outstanding at the time of acquisition. Assets acquired totaled approximately $36.7 billion, including $19.0 billion of loans and leases (including approximately $234 million of commercial real estate loans, $18.6 billion of residential real estate loans and $162 million of consumer loans). Liabilities assumed aggregated $31.5 billion, including $17.9 billion of deposits and $13.2 billion of borrowings. Immediately following the acquisition, the Company restructured its balance sheet by selling $5.8 billion of investment securities obtained in the acquisition and repaying $10.6 billion of borrowings assumed in the transaction. The common stock issued added $3.1 billion to M&amp;T’s common shareholders’ equity. In connection with the acquisition, the Company recorded $1.1 billion of goodwill and $132 million of core deposit intangible asset.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274" w:right="2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Supplemental Reporting of Non-GAAP Results of Operations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into the Company, since such items are considered by management to be “nonoperating” in nature. Those merger-related expenses generally consist of professional services and other temporary help fees associated with the actual or planned conversion of systems and/or integration of operations; costs related to branch and office consolidations; costs related to termination of existing contractual arrangements to purchase various services; initial marketing and promotion expenses designed to introduce M&amp;T Bank to its new customers; severance; incentive compensation costs; travel costs; and printing, supplies and other costs of completing the transactions and commencing operations in new markets and offices. Those acquisition and integration-related expenses (herein referred to as merger-related expenses) totaled $13 million ($8 million after-tax effect) in the second quarter of 2016 ($.05 per diluted common share), compared with $23 million ($14 million after-tax effect) in the first quarter of 2016 ($.09 per diluted common share). There were no merger-related expenses in the first half of 2015. Although “net operating income” as defined by M&amp;T is not a GAAP measure, M&amp;T’s management believes that this information helps investors understand the effect of acquisition activity in reported results.</w:t>
      </w:r>
    </w:p>
    <w:p>
      <w:pPr>
        <w:spacing w:after="0" w:line="173"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Net operating income during the second quarter of 2016 aggregated $351 million, compared with $290 million in the second quarter of 2015 and $320 million in the initial 2016 quarter. Diluted net operating earnings per common share were $2.07 for the recent quarter, compared with $2.01 in the year-earlier quarter and $1.87 in the first quarter of 2016. For the first six months of 2016, net operating income and diluted net operating earnings per common share were $671 million and $3.94, respectively, compared with $536 million and $3.69, respectively, in the similar 2015 period.</w:t>
      </w:r>
    </w:p>
    <w:p>
      <w:pPr>
        <w:spacing w:after="0" w:line="17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Net operating income in the second quarter of 2016 expressed as an annualized rate of return on average tangible assets was 1.18%, compared with 1.24% and 1.09% in the second quarter of 2015 and the initial 2016 quarter, respectively. Net operating income represented an annualized return on average tangible common equity of 12.68% in the recent quarter, compared with 13.76% and 11.62% in the quarters ended June 30, 2015 and March 31, 2016, respectively. For the first six months of 2016, net operating income represented an annualized return on average tangible assets and average tangible common shareholders’ equity of 1.14% and 12.15%, respectively, compared with 1.16% and 12.85%, respectively, in the corresponding 2015 period.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Reconciliations of GAAP amounts with corresponding non-GAAP amounts are presented in table 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Taxable-equivalent net interest income was $870 million in the recent quarter, up 26% from $689 million in the second quarter of 2015. That growth resulted predominantly from the impact of higher average earning assets, which rose $24.5 billion, or 28%, to $111.9 billion in the recent quarter from $87.3 billion in the second quarter of 2015. The higher level of average earning assets in the second quarter of 2016 reflected a $20.5 billion increase in average loans and leases (due predominantly to the Hudson City acquisition, which added $17.2 billion to average loans), a $3.4 billion increase in average interest-bearing deposits at the Federal Reserve Bank of New York and a $720 million rise in average balances of investment securities. As compared with 2015’s second quarter, a 4 basis point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0" w:right="259" w:bottom="1440" w:gutter="0" w:footer="0" w:header="0"/>
        </w:sectPr>
      </w:pPr>
    </w:p>
    <w:bookmarkStart w:id="58" w:name="page59"/>
    <w:bookmarkEnd w:id="5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(hundredths of one percent) narrowing in the recent quarter of the Company’s net interest margin, or taxable-equivalent net interest income expressed as an annualized percentage of average earning assets, was due, in part, to higher rates paid on interest-bearing deposits that reflect time deposits obtained in the acquisition of Hudson City. Taxable-equivalent net interest income in the recent quarter declined $8 million from the $878 million recorded in the first quarter of 2016, largely due to a 5 basis point narrowing of the net interest margin. Contributing to that narrowing were lower yields earned on investment securities, higher rates paid on interest-bearing deposits, including the impact of time deposits in the former Hudson City markets, and increased balances on deposit at the Federal Reserve Bank of New York. While those low-yield deposits add to interest income, they have the impact of lowering the reported net interest margin.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first half of 2016, taxable-equivalent net interest income was $1.75 billion, up 29% from $1.35 billion in the first six months of 2015. That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increase was largely attributable to higher average earning assets, which rose $25.3 billion, or 29%, to $111.5 billion in the first six months of 2016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$86.3 billion in the first half of 2015. Loans obtained in the acquisition of Hudson City added $17.6 billion of average earning assets in the first half of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offsetting the rise in earning assets was a 2 basis point narrowing of the net interest margin to 3.15% in 2016 from 3.17% in 2015. That narrowing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reflected higher rates paid on interest-bearing time deposits, largely related to deposits obtained in the acquisition of Hudson City.</w:t>
      </w:r>
    </w:p>
    <w:p>
      <w:pPr>
        <w:spacing w:after="0" w:line="211" w:lineRule="exact"/>
        <w:rPr>
          <w:sz w:val="20"/>
          <w:szCs w:val="20"/>
          <w:color w:val="auto"/>
        </w:rPr>
      </w:pPr>
    </w:p>
    <w:p>
      <w:pPr>
        <w:ind w:right="420" w:firstLine="456"/>
        <w:spacing w:after="0" w:line="274" w:lineRule="auto"/>
        <w:rPr>
          <w:sz w:val="20"/>
          <w:szCs w:val="20"/>
          <w:color w:val="auto"/>
        </w:rPr>
      </w:pPr>
      <w:r>
        <w:rPr>
          <w:rFonts w:ascii="Arial" w:cs="Arial" w:eastAsia="Arial" w:hAnsi="Arial"/>
          <w:sz w:val="17"/>
          <w:szCs w:val="17"/>
          <w:color w:val="auto"/>
        </w:rPr>
        <w:t>Average loans and leases rose $20.5 billion or 30% to $88.2 billion in the recent quarter from $67.7 billion in the second quarter of 2015. Average commercial loans and leases were $21.4 billion in the second quarter of 2016, up $1.4 billion, or 7%, from $20.0 billion in the year-earlier</w:t>
      </w:r>
    </w:p>
    <w:p>
      <w:pPr>
        <w:ind w:right="40"/>
        <w:spacing w:after="0" w:line="292" w:lineRule="auto"/>
        <w:rPr>
          <w:sz w:val="20"/>
          <w:szCs w:val="20"/>
          <w:color w:val="auto"/>
        </w:rPr>
      </w:pPr>
      <w:r>
        <w:rPr>
          <w:rFonts w:ascii="Arial" w:cs="Arial" w:eastAsia="Arial" w:hAnsi="Arial"/>
          <w:sz w:val="16"/>
          <w:szCs w:val="16"/>
          <w:color w:val="auto"/>
        </w:rPr>
        <w:t>quarter. Commercial real estate loans averaged $30.1 billion in the recent quarter, an increase of $1.9 billion, or 7%, from $28.2 billion in the second quarter of 2015. Reflecting average balances of $16.8 billion of loans obtained in the Hudson City acquisition, average residential real estate loans increased to $24.9 billion in the second quarter of 2016 from $8.4 billion in the similar 2015 quarter. Residential real estate loans held for sale averaged $308 million in the recent quarter and $437 million in the year-earlier quarter. Average consumer loans and leases totaled $11.7 billion in the recent quarter, $671 million or 6% higher than $11.0 billion in the corresponding quarter of 2015. That growth reflects a $566 million increase in the average balance of automobile loans.</w:t>
      </w:r>
    </w:p>
    <w:p>
      <w:pPr>
        <w:spacing w:after="0" w:line="16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Average loan and lease balances in the recent quarter rose $572 million from the first quarter of 2016. Average commercial loan and lease balances increased $733 million, or 4%, average commercial real estate loan balances increased $709 million, or 2% and average balances of consumer loans increased $131 million, or 1%, while average residential real estate loans declined $1.0 billion, or 4%, from 2016’s first quarter. The decrease in average residential real estate loans was attributable to paydowns of loans obtained in the Hudson City acquisition. The accompanying table summarizes quarterly changes in the major components of the loan and lease portfolio.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20" w:type="dxa"/>
            <w:vAlign w:val="bottom"/>
            <w:gridSpan w:val="4"/>
          </w:tcPr>
          <w:p>
            <w:pPr>
              <w:jc w:val="right"/>
              <w:ind w:right="480"/>
              <w:spacing w:after="0"/>
              <w:rPr>
                <w:sz w:val="20"/>
                <w:szCs w:val="20"/>
                <w:color w:val="auto"/>
              </w:rPr>
            </w:pPr>
            <w:r>
              <w:rPr>
                <w:rFonts w:ascii="Arial" w:cs="Arial" w:eastAsia="Arial" w:hAnsi="Arial"/>
                <w:sz w:val="14"/>
                <w:szCs w:val="14"/>
                <w:color w:val="auto"/>
              </w:rPr>
              <w:t>Percent increase</w:t>
            </w:r>
          </w:p>
        </w:tc>
      </w:tr>
      <w:tr>
        <w:trPr>
          <w:trHeight w:val="149"/>
        </w:trPr>
        <w:tc>
          <w:tcPr>
            <w:tcW w:w="45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4"/>
          </w:tcPr>
          <w:p>
            <w:pPr>
              <w:jc w:val="right"/>
              <w:ind w:right="500"/>
              <w:spacing w:after="0" w:line="149" w:lineRule="exact"/>
              <w:rPr>
                <w:sz w:val="20"/>
                <w:szCs w:val="20"/>
                <w:color w:val="auto"/>
              </w:rPr>
            </w:pPr>
            <w:r>
              <w:rPr>
                <w:rFonts w:ascii="Arial" w:cs="Arial" w:eastAsia="Arial" w:hAnsi="Arial"/>
                <w:sz w:val="14"/>
                <w:szCs w:val="14"/>
                <w:color w:val="auto"/>
              </w:rPr>
              <w:t>(decrease) from</w:t>
            </w:r>
          </w:p>
        </w:tc>
      </w:tr>
      <w:tr>
        <w:trPr>
          <w:trHeight w:val="149"/>
        </w:trPr>
        <w:tc>
          <w:tcPr>
            <w:tcW w:w="45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2nd Qtr.</w:t>
            </w: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w w:val="90"/>
              </w:rPr>
              <w:t>2nd Qtr.</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1"/>
              </w:rPr>
              <w:t>1st Qtr.</w:t>
            </w:r>
          </w:p>
        </w:tc>
      </w:tr>
      <w:tr>
        <w:trPr>
          <w:trHeight w:val="167"/>
        </w:trPr>
        <w:tc>
          <w:tcPr>
            <w:tcW w:w="458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2016</w:t>
            </w:r>
          </w:p>
        </w:tc>
        <w:tc>
          <w:tcPr>
            <w:tcW w:w="5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2015</w:t>
            </w:r>
          </w:p>
        </w:tc>
        <w:tc>
          <w:tcPr>
            <w:tcW w:w="6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2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$21,450</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3280" w:type="dxa"/>
            <w:vAlign w:val="bottom"/>
            <w:gridSpan w:val="3"/>
          </w:tcPr>
          <w:p>
            <w:pPr>
              <w:jc w:val="right"/>
              <w:ind w:right="500"/>
              <w:spacing w:after="0"/>
              <w:rPr>
                <w:sz w:val="20"/>
                <w:szCs w:val="20"/>
                <w:color w:val="auto"/>
              </w:rPr>
            </w:pPr>
            <w:r>
              <w:rPr>
                <w:rFonts w:ascii="Arial" w:cs="Arial" w:eastAsia="Arial" w:hAnsi="Arial"/>
                <w:sz w:val="18"/>
                <w:szCs w:val="18"/>
                <w:color w:val="auto"/>
              </w:rPr>
              <w:t>30,134</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3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24,858</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Consumer</w:t>
            </w:r>
          </w:p>
        </w:tc>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Automobile</w:t>
            </w:r>
          </w:p>
        </w:tc>
        <w:tc>
          <w:tcPr>
            <w:tcW w:w="3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2,676</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Home equity lines and loans</w:t>
            </w:r>
          </w:p>
        </w:tc>
        <w:tc>
          <w:tcPr>
            <w:tcW w:w="3280" w:type="dxa"/>
            <w:vAlign w:val="bottom"/>
            <w:gridSpan w:val="3"/>
          </w:tcPr>
          <w:p>
            <w:pPr>
              <w:jc w:val="right"/>
              <w:ind w:right="500"/>
              <w:spacing w:after="0"/>
              <w:rPr>
                <w:sz w:val="20"/>
                <w:szCs w:val="20"/>
                <w:color w:val="auto"/>
              </w:rPr>
            </w:pPr>
            <w:r>
              <w:rPr>
                <w:rFonts w:ascii="Arial" w:cs="Arial" w:eastAsia="Arial" w:hAnsi="Arial"/>
                <w:sz w:val="18"/>
                <w:szCs w:val="18"/>
                <w:color w:val="auto"/>
              </w:rPr>
              <w:t>5,823</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3,214</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30"/>
        </w:trPr>
        <w:tc>
          <w:tcPr>
            <w:tcW w:w="4580" w:type="dxa"/>
            <w:vAlign w:val="bottom"/>
          </w:tcPr>
          <w:p>
            <w:pPr>
              <w:ind w:left="720"/>
              <w:spacing w:after="0"/>
              <w:rPr>
                <w:sz w:val="20"/>
                <w:szCs w:val="20"/>
                <w:color w:val="auto"/>
              </w:rPr>
            </w:pPr>
            <w:r>
              <w:rPr>
                <w:rFonts w:ascii="Arial" w:cs="Arial" w:eastAsia="Arial" w:hAnsi="Arial"/>
                <w:sz w:val="18"/>
                <w:szCs w:val="18"/>
                <w:color w:val="auto"/>
              </w:rPr>
              <w:t>Total consumer</w:t>
            </w:r>
          </w:p>
        </w:tc>
        <w:tc>
          <w:tcPr>
            <w:tcW w:w="21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11,713</w:t>
            </w:r>
          </w:p>
        </w:tc>
        <w:tc>
          <w:tcPr>
            <w:tcW w:w="5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r>
      <w:tr>
        <w:trPr>
          <w:trHeight w:val="216"/>
        </w:trPr>
        <w:tc>
          <w:tcPr>
            <w:tcW w:w="4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w:t>
            </w:r>
          </w:p>
        </w:tc>
        <w:tc>
          <w:tcPr>
            <w:tcW w:w="3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88,155</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0"/>
        </w:trPr>
        <w:tc>
          <w:tcPr>
            <w:tcW w:w="4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For the first six months of 2016, average loans and leases totaled $87.9 billion, $20.7 billion, or 31%, higher than in the year-earlier period. The most significant factors contributing to that increase were the residential real estate loans obtained in the Hudson City acquisition and growth in the commercial real estate loan and commercial loan and lease portfolios.</w:t>
      </w:r>
    </w:p>
    <w:p>
      <w:pPr>
        <w:spacing w:after="0" w:line="18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investment securities portfolio averaged $14.9 billion in the second quarter of 2016, up $720 million, or 5%, from $14.2 billion in the year-earlier quarter. Average balances of investment securities declined $434 million, or 3%, from $15.3 billion averaged in the first quarter of 2016. For the first six months of 2016 and 2015, investment securities averaged $15.1 billion and $13.8 billion, respectively. The increases from the year-earlier periods reflect mortgage-backed securities retained from the acquisition of Hudson City and the net effect of purchases, partially offset by maturities and paydowns of mortgage-backed securities. The Company purchased approximately $3.5 billion of Fannie Mae and Ginnie Mae securities during 2015, $305 million of similar securities during the first quarter of 2016, and $200 million of U.S. Treasury notes during the second quarter of 2016. Those purchases reflect increased holdings of investment securities to satisfy the requirements of the U.S. version of the Basel Committee’s Liquidity Coverage Ratio requirements (“LCR”) that became effective in January 2016.</w:t>
      </w:r>
    </w:p>
    <w:p>
      <w:pPr>
        <w:spacing w:after="0" w:line="19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investment securities portfolio is largely comprised of residential mortgage-backed securities, debt securities issued by municipalities, trust preferred securities issued by certain financial institutions, and shorter-term U.S. Treasury and federal agency notes. When purchasing investment securities, the Company also considers its liquidity position and overall interest-rate risk profile as well as the adequacy of expected returns relative to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 The Hudson City acquisition added approximately $7.9 billion to the investment securities portfolio on the November 1, 2015 acquisition date. As noted earlier, immediately following the acquisition of Hudson City, the Company restructured its balance sheet by selling $5.8 billion of those securities.</w:t>
      </w:r>
    </w:p>
    <w:p>
      <w:pPr>
        <w:spacing w:after="0" w:line="179"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Company regularly reviews its investment securities for declines in value below amortized cost that might be characterized as “other than temporary.” There were no other-than-temporary impairment charges recognized in either of the six-month periods ended June 30, 2016 or 2015. Additional information about the investment securities portfolio is included in notes 3 and 12 of Notes to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4" w:right="259" w:bottom="1440" w:gutter="0" w:footer="0" w:header="0"/>
        </w:sectPr>
      </w:pPr>
    </w:p>
    <w:bookmarkStart w:id="60" w:name="page61"/>
    <w:bookmarkEnd w:id="60"/>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earning assets include interest-bearing deposits at the Federal Reserve Bank of New York and other banks, trading account assets and federal funds sold. Those other earning assets in the aggregate averaged $8.8 billion in the recently completed quarter, compared with $5.5 billion and $8.3 billion in the second quarter of 2015 and the first quarter of 2016, respectively. Interest-bearing deposits at banks averaged $8.7 billion in the second quarter of 2016, $5.3 billion in the year-earlier period and $8.2 billion in the first quarter of 2016. For the six-month periods ended June 30, 2016 and 2015, average balances of interest-bearing deposits at banks were $8.5 billion and $5.2 billion, respectively. The amounts of investment securities and other earning assets held by the Company are influenced by such factors as demand for loans, which generally yield more than investment securities and other earning assets, ongoing repayments, the levels of deposits, and management of liquidity (including the LCR) and balance sheet size and resulting capital ratios.</w:t>
      </w:r>
    </w:p>
    <w:p>
      <w:pPr>
        <w:spacing w:after="0" w:line="16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As a result of the changes described herein, average earning assets aggregated $111.9 billion in the recent quarter, compared with $87.3 billion in the corresponding quarter of 2015 and $111.2 billion in the initial quarter of 2016. Average earning assets totaled $111.5 billion and $86.3 billion during the six-month periods ended June 30, 2016 and 2015, respectively.</w:t>
      </w:r>
    </w:p>
    <w:p>
      <w:pPr>
        <w:spacing w:after="0" w:line="181"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$91.5 billion in the second quarter of 2016, up 28% from $71.2 billion in the year-earlier quarter and 2% higher than $89.7 billion in the first quarter of 2016. The Hudson City acquisition added approximately $17.0 billion of core deposits on November 1, 2015, including $9.7 billion of time deposits, $6.6 billion of savings deposits and $691 million of noninterest-bearing deposits. The higher average core deposits in the two most recent quarters as compared with the second quarter of 2015 were predominantly reflective of the impact of the merger with Hudson City. The following table provides an analysis of quarterly changes in the components of average core deposits. For the six-month periods ended June 30, 2016 and 2015, core deposits averaged $90.6 billion and $70.7 billion,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33" w:lineRule="exact"/>
        <w:rPr>
          <w:sz w:val="20"/>
          <w:szCs w:val="20"/>
          <w:color w:val="auto"/>
        </w:rPr>
      </w:pPr>
    </w:p>
    <w:p>
      <w:pPr>
        <w:ind w:left="9020"/>
        <w:spacing w:after="0"/>
        <w:rPr>
          <w:sz w:val="20"/>
          <w:szCs w:val="20"/>
          <w:color w:val="auto"/>
        </w:rPr>
      </w:pPr>
      <w:r>
        <w:rPr>
          <w:rFonts w:ascii="Arial" w:cs="Arial" w:eastAsia="Arial" w:hAnsi="Arial"/>
          <w:sz w:val="14"/>
          <w:szCs w:val="14"/>
          <w:color w:val="auto"/>
        </w:rPr>
        <w:t>Percent increase</w:t>
      </w:r>
    </w:p>
    <w:p>
      <w:pPr>
        <w:ind w:left="9040"/>
        <w:spacing w:after="0"/>
        <w:rPr>
          <w:sz w:val="20"/>
          <w:szCs w:val="20"/>
          <w:color w:val="auto"/>
        </w:rPr>
      </w:pPr>
      <w:r>
        <w:rPr>
          <w:rFonts w:ascii="Arial" w:cs="Arial" w:eastAsia="Arial" w:hAnsi="Arial"/>
          <w:sz w:val="14"/>
          <w:szCs w:val="14"/>
          <w:color w:val="auto"/>
        </w:rPr>
        <w:t>(decrease) from</w:t>
      </w:r>
    </w:p>
    <w:tbl>
      <w:tblPr>
        <w:tblLayout w:type="fixed"/>
        <w:tblInd w:w="920" w:type="dxa"/>
        <w:tblCellMar>
          <w:top w:w="0" w:type="dxa"/>
          <w:left w:w="0" w:type="dxa"/>
          <w:bottom w:w="0" w:type="dxa"/>
          <w:right w:w="0" w:type="dxa"/>
        </w:tblCellMar>
      </w:tblPr>
      <w:tr>
        <w:trPr>
          <w:trHeight w:val="138"/>
        </w:trPr>
        <w:tc>
          <w:tcPr>
            <w:tcW w:w="6700" w:type="dxa"/>
            <w:vAlign w:val="bottom"/>
          </w:tcPr>
          <w:p>
            <w:pPr>
              <w:spacing w:after="0"/>
              <w:rPr>
                <w:sz w:val="11"/>
                <w:szCs w:val="11"/>
                <w:color w:val="auto"/>
              </w:rPr>
            </w:pPr>
          </w:p>
        </w:tc>
        <w:tc>
          <w:tcPr>
            <w:tcW w:w="1120" w:type="dxa"/>
            <w:vAlign w:val="bottom"/>
            <w:gridSpan w:val="3"/>
          </w:tcPr>
          <w:p>
            <w:pPr>
              <w:ind w:left="60"/>
              <w:spacing w:after="0" w:line="138" w:lineRule="exact"/>
              <w:rPr>
                <w:sz w:val="20"/>
                <w:szCs w:val="20"/>
                <w:color w:val="auto"/>
              </w:rPr>
            </w:pPr>
            <w:r>
              <w:rPr>
                <w:rFonts w:ascii="Arial" w:cs="Arial" w:eastAsia="Arial" w:hAnsi="Arial"/>
                <w:sz w:val="14"/>
                <w:szCs w:val="14"/>
                <w:color w:val="auto"/>
              </w:rPr>
              <w:t>2nd Qtr.</w:t>
            </w:r>
          </w:p>
        </w:tc>
        <w:tc>
          <w:tcPr>
            <w:tcW w:w="1080" w:type="dxa"/>
            <w:vAlign w:val="bottom"/>
            <w:gridSpan w:val="2"/>
          </w:tcPr>
          <w:p>
            <w:pPr>
              <w:jc w:val="right"/>
              <w:ind w:right="530"/>
              <w:spacing w:after="0" w:line="138" w:lineRule="exact"/>
              <w:rPr>
                <w:sz w:val="20"/>
                <w:szCs w:val="20"/>
                <w:color w:val="auto"/>
              </w:rPr>
            </w:pPr>
            <w:r>
              <w:rPr>
                <w:rFonts w:ascii="Arial" w:cs="Arial" w:eastAsia="Arial" w:hAnsi="Arial"/>
                <w:sz w:val="14"/>
                <w:szCs w:val="14"/>
                <w:color w:val="auto"/>
                <w:w w:val="86"/>
              </w:rPr>
              <w:t>2nd Qtr.</w:t>
            </w:r>
          </w:p>
        </w:tc>
        <w:tc>
          <w:tcPr>
            <w:tcW w:w="680" w:type="dxa"/>
            <w:vAlign w:val="bottom"/>
            <w:gridSpan w:val="2"/>
          </w:tcPr>
          <w:p>
            <w:pPr>
              <w:jc w:val="center"/>
              <w:ind w:right="260"/>
              <w:spacing w:after="0" w:line="138" w:lineRule="exact"/>
              <w:rPr>
                <w:sz w:val="20"/>
                <w:szCs w:val="20"/>
                <w:color w:val="auto"/>
              </w:rPr>
            </w:pPr>
            <w:r>
              <w:rPr>
                <w:rFonts w:ascii="Arial" w:cs="Arial" w:eastAsia="Arial" w:hAnsi="Arial"/>
                <w:sz w:val="14"/>
                <w:szCs w:val="14"/>
                <w:color w:val="auto"/>
                <w:w w:val="91"/>
              </w:rPr>
              <w:t>1st Qtr.</w:t>
            </w:r>
          </w:p>
        </w:tc>
      </w:tr>
      <w:tr>
        <w:trPr>
          <w:trHeight w:val="167"/>
        </w:trPr>
        <w:tc>
          <w:tcPr>
            <w:tcW w:w="6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2016</w:t>
            </w:r>
          </w:p>
        </w:tc>
        <w:tc>
          <w:tcPr>
            <w:tcW w:w="5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6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260" w:type="dxa"/>
            <w:vAlign w:val="bottom"/>
            <w:tcBorders>
              <w:bottom w:val="single" w:sz="8" w:color="CCEEFF"/>
            </w:tcBorders>
          </w:tcPr>
          <w:p>
            <w:pPr>
              <w:spacing w:after="0"/>
              <w:rPr>
                <w:sz w:val="14"/>
                <w:szCs w:val="14"/>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Interest-checking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87"/>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49,508</w:t>
            </w:r>
          </w:p>
        </w:tc>
        <w:tc>
          <w:tcPr>
            <w:tcW w:w="1080" w:type="dxa"/>
            <w:vAlign w:val="bottom"/>
            <w:gridSpan w:val="2"/>
          </w:tcPr>
          <w:p>
            <w:pPr>
              <w:jc w:val="right"/>
              <w:ind w:right="530"/>
              <w:spacing w:after="0"/>
              <w:rPr>
                <w:sz w:val="20"/>
                <w:szCs w:val="20"/>
                <w:color w:val="auto"/>
              </w:rPr>
            </w:pPr>
            <w:r>
              <w:rPr>
                <w:rFonts w:ascii="Arial" w:cs="Arial" w:eastAsia="Arial" w:hAnsi="Arial"/>
                <w:sz w:val="18"/>
                <w:szCs w:val="18"/>
                <w:color w:val="auto"/>
              </w:rPr>
              <w:t>22</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11,419</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345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29,249</w:t>
            </w:r>
          </w:p>
        </w:tc>
        <w:tc>
          <w:tcPr>
            <w:tcW w:w="520" w:type="dxa"/>
            <w:vAlign w:val="bottom"/>
          </w:tcPr>
          <w:p>
            <w:pPr>
              <w:spacing w:after="0"/>
              <w:rPr>
                <w:sz w:val="18"/>
                <w:szCs w:val="18"/>
                <w:color w:val="auto"/>
              </w:rPr>
            </w:pPr>
          </w:p>
        </w:tc>
        <w:tc>
          <w:tcPr>
            <w:tcW w:w="1080" w:type="dxa"/>
            <w:vAlign w:val="bottom"/>
            <w:gridSpan w:val="2"/>
          </w:tcPr>
          <w:p>
            <w:pPr>
              <w:jc w:val="right"/>
              <w:ind w:right="530"/>
              <w:spacing w:after="0"/>
              <w:rPr>
                <w:sz w:val="20"/>
                <w:szCs w:val="20"/>
                <w:color w:val="auto"/>
              </w:rPr>
            </w:pPr>
            <w:r>
              <w:rPr>
                <w:rFonts w:ascii="Arial" w:cs="Arial" w:eastAsia="Arial" w:hAnsi="Arial"/>
                <w:sz w:val="18"/>
                <w:szCs w:val="18"/>
                <w:color w:val="auto"/>
              </w:rPr>
              <w:t>9</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r>
      <w:tr>
        <w:trPr>
          <w:trHeight w:val="27"/>
        </w:trPr>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91,484</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28%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0"/>
        </w:trPr>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The Company also receives funding from other deposit sources, including branch-related time deposits over $250,000, deposits associated with the Company’s Cayman Islands office, and brokered deposits. Time deposits over $250,000, excluding brokered certificates of deposit, averaged $1.3 billion in the second quarter of 2016, compared with $353 million and $1.2 billion in the year-earlier quarter and the first quarter of 2016, respectively. The higher averages in the two most recent quarters as compared with the second quarter of 2015 were predominantly due to deposits obtained in the acquisition of Hudson City. Cayman Islands office deposits averaged $183 million, $212 million and $187 million for the three-month periods ended June 30, 2016, June 30, 2015 and March 31, 2016, respectively. Brokered time deposits averaged $59 million in each of the two most recent quarters,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61" w:name="page62"/>
    <w:bookmarkEnd w:id="61"/>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compared with $31 million in the second quarter of 2015. The Company also had brokered interest-bearing transaction and brokered money-market deposit accounts, which in the aggregate averaged approximately $1.0 billion in the recent quarter, $1.1 billion in the second quarter of 2015 and $1.2 billion in the first quarter of 2016. The levels of brokered deposit accounts reflect the demand for such deposits, largely resulting from the desire of brokerage firms to earn reasonable yields while ensuring that customer deposits are fully insured. The level of Cayman Islands office deposits are also reflective of customer demand. Additional amounts of Cayman Islands office deposits or brokered deposits may be added in the future depending on market conditions, including demand by customers and other investors for those deposits, and the cost of funds available from alternative sources at the time.</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less than one year. Average short-term borrowings totaled $1.1 billion in the recent quarter, compared with $195 million in the second quarter of 2015 and $2.1 billion in the initial 2016 quarter. The higher level of such borrowings in the two most recent quarters was predominantly due to short-term borrowings from the Federal Home Loan Bank of New York assumed in the Hudson City acquisition. Those short-term fixed-rate borrowings have various maturity dates throughout 2016. Included in short-term borrowings were unsecured federal funds borrowings, which generally mature on the next business day, that averaged $161 million and $153 million in the second quarters of 2016 and 2015, respectively, and $137 million in the first quarter of 2016.</w:t>
      </w:r>
    </w:p>
    <w:p>
      <w:pPr>
        <w:spacing w:after="0" w:line="16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Long-term borrowings averaged $10.3 billion in the recent quarter, compared with $10.2 billion in the second quarter of 2015 and $10.5 billion in the initial 2016 quarter. M&amp;T Bank has a Bank Note Program whereby M&amp;T Bank may offer unsecured senior and subordinated notes. Average balances of notes outstanding under that program were $5.2 billion, $5.5 billion and $5.4 billion during the three-month periods ended June 30, 2016, June 30, 2015 and March 31, 2016, respectively. The proceeds of the issuances of borrowings under the Bank Note Program have been predominantly utilized to purchase high-quality liquid assets that meet the requirements of the LCR. Also included in average long-term borrowings were amounts borrowed from various Federal Home Loan Banks of $1.2 billion in each of the second quarters of 2016 and 2015 and the first quarter of 2016. Subordinated capital notes included in long-term borrowings averaged $1.5 billion during each of the three-month periods ended June 30, 2016, June 30, 2015 and March 31, 2016. Junior subordinated debentures associated with trust preferred securities that were included in average long-term borrowings totaled $515 million in the recent quarter, compared with $562 million in the second quarter of 2015 and $514 million in the first quarter of 2016. In accordance with its 2015 Capital Plan, on April 15, 2015 M&amp;T redeemed the junior subordinated debentures associated with the $310 million of trust preferred securities of M&amp;T Capital Trusts I, II and III. Those borrowings had a weighted-average interest rate of 8.24%. Additional information regarding junior subordinated debentures is provided in note 5 of Notes to Financial Statements. Also included in long-term borrowings were agreements to repurchase securities, which averaged $1.9 billion during the two most recent quarters and $1.4 billion in the second quarter of 2015. The increases from the second quarter of 2015 reflect agreements to repurchase securities assumed in connection with the Hudson City acquisition. The repurchase agreements held at June 30, 2016 have various repurchase dates through 2020, however, the contractual maturities of the underlying securities extend beyond such repurchase dates. The Company has utilized interest rate swap agreements to modify the repricing characteristics of certain components of long-term debt. As of June 30, 2016, interest rate swap agreements were used to hedge approximately $1.4 billion of outstanding fixed rate long-term borrowings. Further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on interest rate swap agreements is provided in note 10 of Notes to Financial Statements.</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2.95% in the second quarter of 2016, compared with 2.97% in the second quarter of 2015. The yield on earning assets during the recent quarter was 3.51%, down slightly from 3.52% during the second quarter of 2015, while the rate paid on interest-bearing liabilities during the second quarter of 2016 was .56%, compared with .55% in the year-earlier quarter. In the initial 2016 quarter, the net interest spread was 3.01%, the yield on earning assets was 3.54% and the rate paid on interest-bearing liabilities was .53%. For the first half of 2016, the net interest spread was 2.98%, up 1 basis point from the corresponding 2015 period. The yield on earning assets and the rate paid on interest-bearing liabilities were 3.53% and .55%, respectively, during the first six months of 2016, compared with 3.53% and .56%, respectively, in the year-earlier period. As compared with the three-month and six-month periods of 2015, the similar 2016 periods reflect the favorable impact of the increase in short-term interest rates initiated by the Federal Reserve in mid-December 2015 that contributed to higher yields on loans and leases. Largely offsetting that benefit were lower yields on investment securities and higher rates paid on interest-bearing deposits. The narrowing of the net interest spread in the recent quarter as compared with the first quarter of 2016 reflects lower yields on investment securities and higher rates paid on interest-bearing deposits.</w:t>
      </w:r>
    </w:p>
    <w:p>
      <w:pPr>
        <w:spacing w:after="0" w:line="169"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$35.7 billion in the second quarter of 2016, compared with $30.8 billion in the year-earlier quarter and $35.1 billion in the initial quarter of 2016. The increases in average net interest-free funds in the two most recent quarters as compared with the second quarter of 2015 reflect higher average balances of noninterest-bearing deposits and shareholders’ equity. Those deposits averaged $29.2 billion in the recent quarter, compared with $26.8 billion and $28.9 billion in the quarters ended June 30, 2015 and March 31, 2016, respectively. During the first six months of 2016 and 2015, average net interest-free funds aggregated $35.4 billion and $30.0 billion, respectively. In connection with the acquisition of Hudson City, the Company added noninterest-bearing deposits of $691 million at the acquisition date. In addition to the impact of the merger, growth in noninterest-bearing deposits since the second quarter of 2015 was due, in part, to higher deposits of commercial and trust customers. The rise in average shareholders’ equity included $3.1 billion of common equity issued in connection with the acquisition of Hudson City as well as net retained earnings. Goodwill and core deposit and other intangible assets averaged $4.7 billion in each of the two most recent quarters, compared with $3.5 billion in the second quarter of 2015. Goodwill of $1.1 billion and core deposit intangible of $132 million resulted from the Hudson City acquisition. The cash surrender value of bank owned life insurance averaged $1.7 billion in each of the three-month periods ended June 30, 2016, June 30, 2015 and March 31, 2016. Increases in the cash surrender value of bank owned life insurance and benefits received are not included in interest income, but rather are recorded in “other revenues from operations.” The contribution of net interest-free funds to net interest margin was .18% in the most recent quarter, compared with .20% in the second quarter of 2015 and .17% in the first quarter of 2016. That contribution for the first six months of 2016 and 2015 was .17% and .20%, respectively.</w:t>
      </w:r>
    </w:p>
    <w:p>
      <w:pPr>
        <w:spacing w:after="0" w:line="181" w:lineRule="exact"/>
        <w:rPr>
          <w:sz w:val="20"/>
          <w:szCs w:val="20"/>
          <w:color w:val="auto"/>
        </w:rPr>
      </w:pPr>
    </w:p>
    <w:p>
      <w:pPr>
        <w:jc w:val="center"/>
        <w:ind w:right="280"/>
        <w:spacing w:after="0" w:line="449" w:lineRule="auto"/>
        <w:rPr>
          <w:sz w:val="20"/>
          <w:szCs w:val="20"/>
          <w:color w:val="auto"/>
        </w:rPr>
      </w:pPr>
      <w:r>
        <w:rPr>
          <w:rFonts w:ascii="Arial" w:cs="Arial" w:eastAsia="Arial" w:hAnsi="Arial"/>
          <w:sz w:val="18"/>
          <w:szCs w:val="18"/>
          <w:color w:val="auto"/>
        </w:rPr>
        <w:t>Reflecting the changes to the net interest spread and the contribution of net interest-free funds as described herein, the Company’s net interest -63-</w:t>
      </w:r>
    </w:p>
    <w:p>
      <w:pPr>
        <w:sectPr>
          <w:pgSz w:w="11900" w:h="16838" w:orient="portrait"/>
          <w:cols w:equalWidth="0" w:num="1">
            <w:col w:w="11400"/>
          </w:cols>
          <w:pgMar w:left="240" w:top="274" w:right="259" w:bottom="1440" w:gutter="0" w:footer="0" w:header="0"/>
        </w:sectPr>
      </w:pPr>
    </w:p>
    <w:bookmarkStart w:id="63" w:name="page64"/>
    <w:bookmarkEnd w:id="63"/>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margin was 3.13% in the recent quarter, down from 3.17% in the year-earlier quarter and 3.18% in the first quarter of 2016. During the first six months of 2016 and 2015, the net interest margin was 3.15% and 3.17%,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interest-bearing liabilities. Periodic settlement amounts arising from these agreements are reflected in the rates paid on interest-bearing liabilities. The notional amount of interest rate swap agreements entered into for interest rate risk management purposes was $1.4 billion at each of June 30, 2016, June 30, 2015 and March 31, 2016. Under the terms of those interest rate swap agreements, the Company received payments based on the outstanding notional amount at fixed rates and made payments at variable rates. Those interest rate swap agreements were designated as fair value hedges of certain fixed rate long-term borrowings. There were no interest rate swap agreements designated as cash flow hedges at those respective dates.</w:t>
      </w:r>
    </w:p>
    <w:p>
      <w:pPr>
        <w:spacing w:after="0" w:line="16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The amounts of hedge ineffectiveness recognized during each of the quarters ended June 30, 2016, June 30, 2015 and March 31, 2016 were not material to the Company’s results of operations. The estimated aggregate fair value of interest rate swap agreements designated as fair value hedges represented gains of approximately $34 million at June 30, 2016, $64 million at June 30, 2015, $41 million at March 31, 2016 and $44 million at December 31, 2015. The fair values of such interest rate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as of June 30, 2016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$9 million of collateral with the Company.</w:t>
      </w:r>
    </w:p>
    <w:p>
      <w:pPr>
        <w:spacing w:after="0" w:line="17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weighted-average rates to be received and paid under interest rate swap agreements currently in effect were 4.42% and 1.63%, respectively, at June 30, 2016.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w:t>
      </w:r>
    </w:p>
    <w:p>
      <w:pPr>
        <w:ind w:right="360"/>
        <w:spacing w:after="0" w:line="261" w:lineRule="auto"/>
        <w:rPr>
          <w:sz w:val="20"/>
          <w:szCs w:val="20"/>
          <w:color w:val="auto"/>
        </w:rPr>
      </w:pPr>
      <w:r>
        <w:rPr>
          <w:rFonts w:ascii="Arial" w:cs="Arial" w:eastAsia="Arial" w:hAnsi="Arial"/>
          <w:sz w:val="18"/>
          <w:szCs w:val="18"/>
          <w:color w:val="auto"/>
        </w:rPr>
        <w:t>table. Additional information about the Company’s use of interest rate swap agreements and other derivatives is included in note 10 of Notes to Financial Statements.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4"/>
                <w:szCs w:val="14"/>
                <w:color w:val="auto"/>
                <w:w w:val="94"/>
              </w:rPr>
              <w:t>Three months ended 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2016</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color w:val="auto"/>
              </w:rPr>
              <w:t>2015</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color w:val="auto"/>
                <w:w w:val="85"/>
              </w:rPr>
              <w:t>Rate(a)</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660"/>
              <w:spacing w:after="0" w:line="142" w:lineRule="exact"/>
              <w:rPr>
                <w:sz w:val="20"/>
                <w:szCs w:val="20"/>
                <w:color w:val="auto"/>
              </w:rPr>
            </w:pPr>
            <w:r>
              <w:rPr>
                <w:rFonts w:ascii="Arial" w:cs="Arial" w:eastAsia="Arial" w:hAnsi="Arial"/>
                <w:sz w:val="14"/>
                <w:szCs w:val="14"/>
                <w:color w:val="auto"/>
              </w:rPr>
              <w:t>Amount</w:t>
            </w:r>
          </w:p>
        </w:tc>
        <w:tc>
          <w:tcPr>
            <w:tcW w:w="440" w:type="dxa"/>
            <w:vAlign w:val="bottom"/>
          </w:tcPr>
          <w:p>
            <w:pPr>
              <w:ind w:left="20"/>
              <w:spacing w:after="0" w:line="142" w:lineRule="exact"/>
              <w:rPr>
                <w:sz w:val="20"/>
                <w:szCs w:val="20"/>
                <w:color w:val="auto"/>
              </w:rPr>
            </w:pPr>
            <w:r>
              <w:rPr>
                <w:rFonts w:ascii="Arial" w:cs="Arial" w:eastAsia="Arial" w:hAnsi="Arial"/>
                <w:sz w:val="14"/>
                <w:szCs w:val="14"/>
                <w:color w:val="auto"/>
                <w:w w:val="85"/>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(9,798)</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(11,143)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300" w:type="dxa"/>
            <w:vAlign w:val="bottom"/>
          </w:tcPr>
          <w:p>
            <w:pPr>
              <w:ind w:left="360"/>
              <w:spacing w:after="0"/>
              <w:rPr>
                <w:sz w:val="20"/>
                <w:szCs w:val="20"/>
                <w:color w:val="auto"/>
              </w:rPr>
            </w:pPr>
            <w:r>
              <w:rPr>
                <w:rFonts w:ascii="Arial" w:cs="Arial" w:eastAsia="Arial" w:hAnsi="Arial"/>
                <w:sz w:val="18"/>
                <w:szCs w:val="18"/>
                <w:color w:val="auto"/>
              </w:rPr>
              <w:t>Net interest income/margin</w:t>
            </w:r>
          </w:p>
        </w:tc>
        <w:tc>
          <w:tcPr>
            <w:tcW w:w="19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9,798</w:t>
            </w:r>
          </w:p>
        </w:tc>
        <w:tc>
          <w:tcPr>
            <w:tcW w:w="280" w:type="dxa"/>
            <w:vAlign w:val="bottom"/>
          </w:tcPr>
          <w:p>
            <w:pPr>
              <w:spacing w:after="0"/>
              <w:rPr>
                <w:sz w:val="19"/>
                <w:szCs w:val="19"/>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11,143</w:t>
            </w:r>
          </w:p>
        </w:tc>
        <w:tc>
          <w:tcPr>
            <w:tcW w:w="4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1,400,000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1,400,000</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Rate received(b)</w:t>
            </w: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line="20" w:lineRule="exact"/>
              <w:rPr>
                <w:sz w:val="1"/>
                <w:szCs w:val="1"/>
                <w:color w:val="auto"/>
              </w:rPr>
            </w:pPr>
          </w:p>
        </w:tc>
      </w:tr>
      <w:tr>
        <w:trPr>
          <w:trHeight w:val="210"/>
        </w:trPr>
        <w:tc>
          <w:tcPr>
            <w:tcW w:w="430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4"/>
                <w:szCs w:val="14"/>
                <w:color w:val="auto"/>
                <w:w w:val="98"/>
              </w:rPr>
              <w:t>Six months ended June 30</w:t>
            </w:r>
          </w:p>
        </w:tc>
        <w:tc>
          <w:tcPr>
            <w:tcW w:w="4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2016</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color w:val="auto"/>
              </w:rPr>
              <w:t>2015</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color w:val="auto"/>
                <w:w w:val="85"/>
              </w:rPr>
              <w:t>Rate(a)</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660"/>
              <w:spacing w:after="0" w:line="142" w:lineRule="exact"/>
              <w:rPr>
                <w:sz w:val="20"/>
                <w:szCs w:val="20"/>
                <w:color w:val="auto"/>
              </w:rPr>
            </w:pPr>
            <w:r>
              <w:rPr>
                <w:rFonts w:ascii="Arial" w:cs="Arial" w:eastAsia="Arial" w:hAnsi="Arial"/>
                <w:sz w:val="14"/>
                <w:szCs w:val="14"/>
                <w:color w:val="auto"/>
              </w:rPr>
              <w:t>Amount</w:t>
            </w:r>
          </w:p>
        </w:tc>
        <w:tc>
          <w:tcPr>
            <w:tcW w:w="440" w:type="dxa"/>
            <w:vAlign w:val="bottom"/>
          </w:tcPr>
          <w:p>
            <w:pPr>
              <w:ind w:left="20"/>
              <w:spacing w:after="0" w:line="142" w:lineRule="exact"/>
              <w:rPr>
                <w:sz w:val="20"/>
                <w:szCs w:val="20"/>
                <w:color w:val="auto"/>
              </w:rPr>
            </w:pPr>
            <w:r>
              <w:rPr>
                <w:rFonts w:ascii="Arial" w:cs="Arial" w:eastAsia="Arial" w:hAnsi="Arial"/>
                <w:sz w:val="14"/>
                <w:szCs w:val="14"/>
                <w:color w:val="auto"/>
                <w:w w:val="85"/>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(20,131)</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(22,420)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300" w:type="dxa"/>
            <w:vAlign w:val="bottom"/>
          </w:tcPr>
          <w:p>
            <w:pPr>
              <w:ind w:left="360"/>
              <w:spacing w:after="0"/>
              <w:rPr>
                <w:sz w:val="20"/>
                <w:szCs w:val="20"/>
                <w:color w:val="auto"/>
              </w:rPr>
            </w:pPr>
            <w:r>
              <w:rPr>
                <w:rFonts w:ascii="Arial" w:cs="Arial" w:eastAsia="Arial" w:hAnsi="Arial"/>
                <w:sz w:val="18"/>
                <w:szCs w:val="18"/>
                <w:color w:val="auto"/>
              </w:rPr>
              <w:t>Net interest income/margin</w:t>
            </w:r>
          </w:p>
        </w:tc>
        <w:tc>
          <w:tcPr>
            <w:tcW w:w="19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20,131</w:t>
            </w:r>
          </w:p>
        </w:tc>
        <w:tc>
          <w:tcPr>
            <w:tcW w:w="280" w:type="dxa"/>
            <w:vAlign w:val="bottom"/>
          </w:tcPr>
          <w:p>
            <w:pPr>
              <w:spacing w:after="0"/>
              <w:rPr>
                <w:sz w:val="19"/>
                <w:szCs w:val="19"/>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22,420</w:t>
            </w:r>
          </w:p>
        </w:tc>
        <w:tc>
          <w:tcPr>
            <w:tcW w:w="4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1,400,000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1,400,000</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Rate received(b)</w:t>
            </w: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line="20" w:lineRule="exact"/>
              <w:rPr>
                <w:sz w:val="1"/>
                <w:szCs w:val="1"/>
                <w:color w:val="auto"/>
              </w:rPr>
            </w:pPr>
          </w:p>
        </w:tc>
      </w:tr>
      <w:tr>
        <w:trPr>
          <w:trHeight w:val="210"/>
        </w:trPr>
        <w:tc>
          <w:tcPr>
            <w:tcW w:w="430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21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The Company has, from time to time, issued subordinated capital notes and junior subordinated debentures associated with trust preferred securities to provide liquidity and enhance regulatory capital ratios. However, pursuant to the Dodd-Frank Wall Street Reform and Consumer Protection Act (“Dodd-Frank Act”), the Company’s junior subordinated debentures associated with trust preferred securities have been phased-out of the definition of Tier 1</w:t>
      </w:r>
    </w:p>
    <w:p>
      <w:pPr>
        <w:spacing w:after="0" w:line="5"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capital. Effective January 1, 2015, 75% of such securities were excluded from the Company’s Tier 1 capital, and beginning January 1, 2016, 100% were excluded. The amounts excluded from Tier 1 capital are includable in total capital. In accordance with its 2015 Capital Plan, in April 2015 M&amp;T redeemed the junior subordinated debentures associated with the trust preferred securities of M&amp;T Capital Trusts I, II and III.</w:t>
      </w:r>
    </w:p>
    <w:p>
      <w:pPr>
        <w:spacing w:after="0" w:line="173"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Company has informal and sometimes reciprocal sources of funding available through various arrangements for unsecured short-term borrowings from a wide group of banks and other financial institutions. Short-term federal funds borrowings aggregated $156 million, $111 million and $99 million at June 30, 2016, June 30, 2015 and December 31, 2015, respectively. In general, those borrowings were unsecured and matured on the next business day. In addition to satisfying customer demand, Cayman Islands office deposits may be used by the Company as an alternative to short-term borrowings. Cayman Islands office deposits totaled $194 million at June 30, 2016, $167 million at June 30, 2015, and $170 million at December 31, 2015.</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65" w:name="page66"/>
    <w:bookmarkEnd w:id="65"/>
    <w:p>
      <w:pPr>
        <w:ind w:right="4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also benefited from the placement of brokered deposits. The Company has brokered interest-bearing transaction and brokered money-market deposit accounts which aggregated approximately $1.0 billion at June 30, 2016, $1.1 billion at June 30, 2015 and $1.2 billion at December 31, 2015. Brokered time deposits were not a significant source of funding as of those dates.</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6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totaled $17 million at June 30, 2016 and less than $1 million at December 31, 2015, while there were no VRDBs in the Company’s trading account at June 30, 2015. The total amount of VRDBs outstanding backed by M&amp;T Bank letters of credit was $1.7 billion at each of June 30, 2016 and December 31, 2015, compared with $1.8 billion at June 30, 2015. M&amp;T Bank also serves as remarketing agent for most of those bonds.</w:t>
      </w:r>
    </w:p>
    <w:p>
      <w:pPr>
        <w:spacing w:after="0" w:line="16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15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June 30, 2016 approximately $1.3 billion was available for payment of dividends to M&amp;T from banking subsidiaries. Information regarding the long-term debt obligations of M&amp;T is included in note 5 of Notes to Financial Statements.</w:t>
      </w:r>
    </w:p>
    <w:p>
      <w:pPr>
        <w:spacing w:after="0" w:line="188"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66" w:name="page67"/>
    <w:bookmarkEnd w:id="6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strain on liquidity at either M&amp;T or its subsidiary banks. Banking regulators have finalized rules requiring a banking company to maintain a minimum amount of liquid assets to withstand a standardized supervisory liquidity stress scenario. The effective date for those rules for the Company was January 1, 2016, subject to a phase-in period. The Company has taken steps as noted herein to enhance its liquidity and is in compliance with the phase-in requirements of the rules.</w:t>
      </w:r>
    </w:p>
    <w:p>
      <w:pPr>
        <w:spacing w:after="0" w:line="18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6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projections of net interest income calculated under the varying interest rate scenarios are compared to a base interest rate scenario that is reflective of current interest rates.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83"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accompanying table as of June 30, 2016 and December 31, 2015 displays the estimated impact on net interest income from non-trading financial instruments in the base scenario described above resulting from parallel changes in interest rates across repricing categories during the first modeling year.</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274" w:right="31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760" w:type="dxa"/>
            <w:vAlign w:val="bottom"/>
            <w:gridSpan w:val="5"/>
          </w:tcPr>
          <w:p>
            <w:pPr>
              <w:jc w:val="right"/>
              <w:ind w:right="560"/>
              <w:spacing w:after="0"/>
              <w:rPr>
                <w:sz w:val="20"/>
                <w:szCs w:val="20"/>
                <w:color w:val="auto"/>
              </w:rPr>
            </w:pPr>
            <w:r>
              <w:rPr>
                <w:rFonts w:ascii="Arial" w:cs="Arial" w:eastAsia="Arial" w:hAnsi="Arial"/>
                <w:sz w:val="14"/>
                <w:szCs w:val="14"/>
                <w:color w:val="auto"/>
              </w:rPr>
              <w:t>Calculated increase (decrease)</w:t>
            </w:r>
          </w:p>
        </w:tc>
        <w:tc>
          <w:tcPr>
            <w:tcW w:w="0" w:type="dxa"/>
            <w:vAlign w:val="bottom"/>
          </w:tcPr>
          <w:p>
            <w:pPr>
              <w:spacing w:after="0"/>
              <w:rPr>
                <w:sz w:val="1"/>
                <w:szCs w:val="1"/>
                <w:color w:val="auto"/>
              </w:rPr>
            </w:pPr>
          </w:p>
        </w:tc>
      </w:tr>
      <w:tr>
        <w:trPr>
          <w:trHeight w:val="162"/>
        </w:trPr>
        <w:tc>
          <w:tcPr>
            <w:tcW w:w="1420" w:type="dxa"/>
            <w:vAlign w:val="bottom"/>
            <w:vMerge w:val="restart"/>
          </w:tcPr>
          <w:p>
            <w:pPr>
              <w:spacing w:after="0"/>
              <w:rPr>
                <w:sz w:val="20"/>
                <w:szCs w:val="20"/>
                <w:color w:val="auto"/>
              </w:rPr>
            </w:pPr>
            <w:r>
              <w:rPr>
                <w:rFonts w:ascii="Arial" w:cs="Arial" w:eastAsia="Arial" w:hAnsi="Arial"/>
                <w:sz w:val="14"/>
                <w:szCs w:val="14"/>
                <w:color w:val="auto"/>
                <w:w w:val="89"/>
              </w:rPr>
              <w:t>Changes in interest rates</w:t>
            </w:r>
          </w:p>
        </w:tc>
        <w:tc>
          <w:tcPr>
            <w:tcW w:w="4500" w:type="dxa"/>
            <w:vAlign w:val="bottom"/>
          </w:tcPr>
          <w:p>
            <w:pPr>
              <w:spacing w:after="0"/>
              <w:rPr>
                <w:sz w:val="14"/>
                <w:szCs w:val="14"/>
                <w:color w:val="auto"/>
              </w:rPr>
            </w:pPr>
          </w:p>
        </w:tc>
        <w:tc>
          <w:tcPr>
            <w:tcW w:w="2760" w:type="dxa"/>
            <w:vAlign w:val="bottom"/>
            <w:gridSpan w:val="5"/>
          </w:tcPr>
          <w:p>
            <w:pPr>
              <w:jc w:val="right"/>
              <w:ind w:right="540"/>
              <w:spacing w:after="0"/>
              <w:rPr>
                <w:sz w:val="20"/>
                <w:szCs w:val="20"/>
                <w:color w:val="auto"/>
              </w:rPr>
            </w:pPr>
            <w:r>
              <w:rPr>
                <w:rFonts w:ascii="Arial" w:cs="Arial" w:eastAsia="Arial" w:hAnsi="Arial"/>
                <w:sz w:val="14"/>
                <w:szCs w:val="14"/>
                <w:color w:val="auto"/>
              </w:rPr>
              <w:t>in projected net interest income</w:t>
            </w:r>
          </w:p>
        </w:tc>
        <w:tc>
          <w:tcPr>
            <w:tcW w:w="0" w:type="dxa"/>
            <w:vAlign w:val="bottom"/>
          </w:tcPr>
          <w:p>
            <w:pPr>
              <w:spacing w:after="0"/>
              <w:rPr>
                <w:sz w:val="1"/>
                <w:szCs w:val="1"/>
                <w:color w:val="auto"/>
              </w:rPr>
            </w:pPr>
          </w:p>
        </w:tc>
      </w:tr>
      <w:tr>
        <w:trPr>
          <w:trHeight w:val="174"/>
        </w:trPr>
        <w:tc>
          <w:tcPr>
            <w:tcW w:w="1420" w:type="dxa"/>
            <w:vAlign w:val="bottom"/>
            <w:tcBorders>
              <w:bottom w:val="single" w:sz="8" w:color="auto"/>
            </w:tcBorders>
            <w:vMerge w:val="continue"/>
          </w:tcPr>
          <w:p>
            <w:pPr>
              <w:spacing w:after="0"/>
              <w:rPr>
                <w:sz w:val="15"/>
                <w:szCs w:val="15"/>
                <w:color w:val="auto"/>
              </w:rPr>
            </w:pPr>
          </w:p>
        </w:tc>
        <w:tc>
          <w:tcPr>
            <w:tcW w:w="5680" w:type="dxa"/>
            <w:vAlign w:val="bottom"/>
            <w:gridSpan w:val="3"/>
          </w:tcPr>
          <w:p>
            <w:pPr>
              <w:jc w:val="right"/>
              <w:ind w:right="380"/>
              <w:spacing w:after="0" w:line="154" w:lineRule="exact"/>
              <w:rPr>
                <w:sz w:val="20"/>
                <w:szCs w:val="20"/>
                <w:color w:val="auto"/>
              </w:rPr>
            </w:pPr>
            <w:r>
              <w:rPr>
                <w:rFonts w:ascii="Arial" w:cs="Arial" w:eastAsia="Arial" w:hAnsi="Arial"/>
                <w:sz w:val="14"/>
                <w:szCs w:val="14"/>
                <w:color w:val="auto"/>
              </w:rPr>
              <w:t>June 30, 2016</w:t>
            </w:r>
          </w:p>
        </w:tc>
        <w:tc>
          <w:tcPr>
            <w:tcW w:w="1580" w:type="dxa"/>
            <w:vAlign w:val="bottom"/>
            <w:gridSpan w:val="3"/>
          </w:tcPr>
          <w:p>
            <w:pPr>
              <w:jc w:val="right"/>
              <w:ind w:right="120"/>
              <w:spacing w:after="0" w:line="154" w:lineRule="exact"/>
              <w:rPr>
                <w:sz w:val="20"/>
                <w:szCs w:val="20"/>
                <w:color w:val="auto"/>
              </w:rPr>
            </w:pPr>
            <w:r>
              <w:rPr>
                <w:rFonts w:ascii="Arial" w:cs="Arial" w:eastAsia="Arial" w:hAnsi="Arial"/>
                <w:sz w:val="14"/>
                <w:szCs w:val="14"/>
                <w:color w:val="auto"/>
              </w:rPr>
              <w:t>December 31, 2015</w:t>
            </w:r>
          </w:p>
        </w:tc>
        <w:tc>
          <w:tcPr>
            <w:tcW w:w="0" w:type="dxa"/>
            <w:vAlign w:val="bottom"/>
          </w:tcPr>
          <w:p>
            <w:pPr>
              <w:spacing w:after="0"/>
              <w:rPr>
                <w:sz w:val="1"/>
                <w:szCs w:val="1"/>
                <w:color w:val="auto"/>
              </w:rPr>
            </w:pPr>
          </w:p>
        </w:tc>
      </w:tr>
      <w:tr>
        <w:trPr>
          <w:trHeight w:val="203"/>
        </w:trPr>
        <w:tc>
          <w:tcPr>
            <w:tcW w:w="14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+200 basis points</w:t>
            </w:r>
          </w:p>
        </w:tc>
        <w:tc>
          <w:tcPr>
            <w:tcW w:w="4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295,378</w:t>
            </w: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243,958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w w:val="99"/>
              </w:rPr>
              <w:t>+100 basis points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168,194</w:t>
            </w:r>
          </w:p>
        </w:tc>
        <w:tc>
          <w:tcPr>
            <w:tcW w:w="3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145,169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-50 basis points</w:t>
            </w:r>
          </w:p>
        </w:tc>
        <w:tc>
          <w:tcPr>
            <w:tcW w:w="5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(118,987)</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(99,603)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increases in interest rates during a twelve-month period of 100 and 200 basis points, as compared with the assumed base scenario, as well as a gradual decrease of 50 basis points. In the declining rate scenario, the rate changes may be limited to lesser amounts such that interest rates remain positive at all points on the yield curve. In 2016, the Company suspended the -100 basis point scenario due to the persistent low level of interest rates. This scenario will be reinstated if and when interest rates rise sufficiently to make the analysis more meaningful.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183"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3 and 12 of Notes to Financial Statements.</w:t>
      </w:r>
    </w:p>
    <w:p>
      <w:pPr>
        <w:spacing w:after="0" w:line="166"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Company engages in limited trading account activities to meet the financial needs of customers and to fund the Company’s obligations under certain deferred compensation plans. Financial instruments utilized in trading account activities consist predominantly of interest rate contracts, such as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the offsetting trading account positions associated with interest rate contracts and foreign currency and other option and futures contracts are presented in note 10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68" w:name="page69"/>
    <w:bookmarkEnd w:id="68"/>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notional amounts of interest rate contracts entered into for trading account purposes totaled $20.1 billion at June 30, 2016, compared with $17.2 billion at June 30, 2015 and $18.4 billion at December 31, 2015. The notional amounts of foreign currency and other option and futures contracts entered into for trading account purposes aggregated $826 million at June 30, 2016, compared with $1.6 billion at each of June 30, 2015 and December 31, 2015. Although the notional amounts of these contracts are not recorded in the consolidated balance sheet, the fair values of all financial instruments used for trading account activities are recorded in the consolidated balance sheet. The fair values of all trading account assets and liabilities totaled $506 million and $353 million, respectively, at June 30, 2016, $277 million and $172 million, respectively, at June 30, 2015, and $274 million and $161 million, respectively, at December 31, 2015. Included in trading account assets were assets related to deferred compensation plans totaling $22 million at June 30, 2016 and $24 million at each of June 30, 2015 and December 31, 2015. Changes in the fair value of such assets are recorded as “trading account and foreign exchange gains” in the consolidated statement of income. Included in “other liabilities” in the consolidated balance sheet at June 30, 2016 were $26 million of liabilities related to deferred compensation plans, compared with $28 million at each of June 30, 2015 and December 31, 2015.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$40 million, $25 million and $33 million at June 30, 2016, June 30, 2015 and December 31, 2015, respectively.</w:t>
      </w:r>
    </w:p>
    <w:p>
      <w:pPr>
        <w:spacing w:after="0" w:line="1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10 of Notes to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was $32 million in the second quarter of 2016, compared with $30 million in the second quarter of 2015 and $49 million in the initial 2016 quarter. For the six-month periods ended June 30, 2016 and 2015, the provision for credit losses was $81 million and $68 million, respectively. Net charge-offs of loans were $24 million in the recently completed quarter, compared with $21 million in the year-earlier quarter and $42 million in the first quarter of 2016. Net charge-offs as an annualized percentage of average loans and leases were .11% in the recent quarter, compared with .13% in the year-earlier quarter and .19% in the initial 2016 quarter. Net charge-offs for the six-month periods ended June 30 aggregated $66 million in 2016 and $58 million in 2015, representing an annualized rate of .15% and .17% of average loans and leases in those respective periods. A summary of net charge-offs by loan type is presented in the table that follows.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CHARGE-OFFS (RECOVERIES)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2016</w:t>
            </w:r>
          </w:p>
        </w:tc>
        <w:tc>
          <w:tcPr>
            <w:tcW w:w="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7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jc w:val="center"/>
              <w:spacing w:after="0" w:line="123" w:lineRule="exact"/>
              <w:rPr>
                <w:sz w:val="20"/>
                <w:szCs w:val="20"/>
                <w:color w:val="auto"/>
              </w:rPr>
            </w:pPr>
            <w:r>
              <w:rPr>
                <w:rFonts w:ascii="Arial" w:cs="Arial" w:eastAsia="Arial" w:hAnsi="Arial"/>
                <w:sz w:val="14"/>
                <w:szCs w:val="14"/>
                <w:color w:val="auto"/>
                <w:w w:val="87"/>
              </w:rPr>
              <w:t>Year</w:t>
            </w:r>
          </w:p>
        </w:tc>
        <w:tc>
          <w:tcPr>
            <w:tcW w:w="100" w:type="dxa"/>
            <w:vAlign w:val="bottom"/>
          </w:tcPr>
          <w:p>
            <w:pPr>
              <w:spacing w:after="0"/>
              <w:rPr>
                <w:sz w:val="10"/>
                <w:szCs w:val="10"/>
                <w:color w:val="auto"/>
              </w:rPr>
            </w:pPr>
          </w:p>
        </w:tc>
      </w:tr>
      <w:tr>
        <w:trPr>
          <w:trHeight w:val="167"/>
        </w:trPr>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jc w:val="right"/>
              <w:ind w:right="380"/>
              <w:spacing w:after="0"/>
              <w:rPr>
                <w:sz w:val="20"/>
                <w:szCs w:val="20"/>
                <w:color w:val="auto"/>
              </w:rPr>
            </w:pPr>
            <w:r>
              <w:rPr>
                <w:rFonts w:ascii="Arial" w:cs="Arial" w:eastAsia="Arial" w:hAnsi="Arial"/>
                <w:sz w:val="14"/>
                <w:szCs w:val="14"/>
                <w:color w:val="auto"/>
              </w:rPr>
              <w:t>1st Qtr.</w:t>
            </w:r>
          </w:p>
        </w:tc>
        <w:tc>
          <w:tcPr>
            <w:tcW w:w="86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2nd Qtr.</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to-date</w:t>
            </w: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(3,132)</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4"/>
              </w:rPr>
              <w:t>(1,141)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(3,007)</w:t>
            </w: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5,085</w:t>
            </w:r>
          </w:p>
        </w:tc>
        <w:tc>
          <w:tcPr>
            <w:tcW w:w="2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3,115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8,200</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37,394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26,139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63,533</w:t>
            </w:r>
          </w:p>
        </w:tc>
      </w:tr>
      <w:tr>
        <w:trPr>
          <w:trHeight w:val="223"/>
        </w:trPr>
        <w:tc>
          <w:tcPr>
            <w:tcW w:w="7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42,240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24,256</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66,496</w:t>
            </w:r>
          </w:p>
        </w:tc>
        <w:tc>
          <w:tcPr>
            <w:tcW w:w="10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2015</w:t>
            </w: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7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jc w:val="center"/>
              <w:spacing w:after="0" w:line="123" w:lineRule="exact"/>
              <w:rPr>
                <w:sz w:val="20"/>
                <w:szCs w:val="20"/>
                <w:color w:val="auto"/>
              </w:rPr>
            </w:pPr>
            <w:r>
              <w:rPr>
                <w:rFonts w:ascii="Arial" w:cs="Arial" w:eastAsia="Arial" w:hAnsi="Arial"/>
                <w:sz w:val="14"/>
                <w:szCs w:val="14"/>
                <w:color w:val="auto"/>
                <w:w w:val="87"/>
              </w:rPr>
              <w:t>Year</w:t>
            </w:r>
          </w:p>
        </w:tc>
        <w:tc>
          <w:tcPr>
            <w:tcW w:w="100" w:type="dxa"/>
            <w:vAlign w:val="bottom"/>
          </w:tcPr>
          <w:p>
            <w:pPr>
              <w:spacing w:after="0"/>
              <w:rPr>
                <w:sz w:val="10"/>
                <w:szCs w:val="10"/>
                <w:color w:val="auto"/>
              </w:rPr>
            </w:pPr>
          </w:p>
        </w:tc>
      </w:tr>
      <w:tr>
        <w:trPr>
          <w:trHeight w:val="167"/>
        </w:trPr>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jc w:val="right"/>
              <w:ind w:right="380"/>
              <w:spacing w:after="0"/>
              <w:rPr>
                <w:sz w:val="20"/>
                <w:szCs w:val="20"/>
                <w:color w:val="auto"/>
              </w:rPr>
            </w:pPr>
            <w:r>
              <w:rPr>
                <w:rFonts w:ascii="Arial" w:cs="Arial" w:eastAsia="Arial" w:hAnsi="Arial"/>
                <w:sz w:val="14"/>
                <w:szCs w:val="14"/>
                <w:color w:val="auto"/>
              </w:rPr>
              <w:t>1st Qtr.</w:t>
            </w:r>
          </w:p>
        </w:tc>
        <w:tc>
          <w:tcPr>
            <w:tcW w:w="86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2nd Qtr.</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to-date</w:t>
            </w: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8,523</w:t>
            </w: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2,129</w:t>
            </w:r>
          </w:p>
        </w:tc>
        <w:tc>
          <w:tcPr>
            <w:tcW w:w="2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2,071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4,200</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19,555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12,830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32,385</w:t>
            </w:r>
          </w:p>
        </w:tc>
      </w:tr>
      <w:tr>
        <w:trPr>
          <w:trHeight w:val="223"/>
        </w:trPr>
        <w:tc>
          <w:tcPr>
            <w:tcW w:w="7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36,189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21,386</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57,575</w:t>
            </w:r>
          </w:p>
        </w:tc>
        <w:tc>
          <w:tcPr>
            <w:tcW w:w="10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Reflected in net charge-offs of commercial loans and leases in the recent quarter was a $7 million recovery of a previously charged-off loan. Included in net charge-offs of consumer loans were net charge-offs during the quarters ended June 30, 2016, June 30, 2015 and March 31, 2016, respectively, of: automobile loans of $6 million, $2 million and $11 million; recreational vehicle loans of $3 million, $2 million and $12 million; and home equity loans and lines of credit of $4 million, $3 million and $5 million. During the first two quarters of 2016, the Company charged off consumer loans associated with customers who were either deceased or had filed for bankruptcy that, in accordance with GAAP, had previously been considered when determining the level of the allowance for credit losses. Such charge-offs totaled $5 million in the recent quarter and $14 million in the initial 2016 quarter and included $2 million and $11 million, respectively, of loan balances with a current payment status at the time of charge-off. In addition, reflected in consumer loan charge-offs in the recent quarter was a $6 million charge-off of a personal usage loan.</w:t>
      </w:r>
    </w:p>
    <w:p>
      <w:pPr>
        <w:spacing w:after="0" w:line="17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Loans acquired in connection with acquisition transactions subsequent to 2008 were recorded at fair value with no carry-over of any previously recorded allowance for credit losses. Determining the fair value of acquired loans requires estimating cash flows expected to be collected on the loans and discounting those cash flows at then-current interest rates. For acquired loans where fair value was less than outstanding principal as of the acquisition date and the resulting discount was due, at least in part, to credit deterioration, the excess of expected cash flows over the carrying value of the loans is recognized as interest income over the lives of the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associated with such loans. Any decreases to the expected cash flows require the Company to evaluate the need for an additional allowance for credit losses and could lead to charge-offs of</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274" w:right="299" w:bottom="1440" w:gutter="0" w:footer="0" w:header="0"/>
        </w:sectPr>
      </w:pPr>
    </w:p>
    <w:bookmarkStart w:id="70" w:name="page71"/>
    <w:bookmarkEnd w:id="70"/>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loan balances. Any significant increases in expected cash flows result in additional interest income to be recognized over the then-remaining lives of the loans. The carrying amount of loans acquired at a discount subsequent to 2008 and accounted for based on expected cash flows was $2.2 billion at each of June 30, 2016 and June 30, 2015 and $2.5 billion at December 31, 2015. The decrease in the recent quarter as compared with December 31, 2015 was largely attributable to payments received. The nonaccretable balance related to remaining principal losses associated with loans acquired at a discount as of June 30, 2016 and December 31, 2015 is presented in the accompanying table.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NONACCRETABLE BALANCE - PRINCIPAL</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ind w:left="360"/>
              <w:spacing w:after="0"/>
              <w:rPr>
                <w:sz w:val="20"/>
                <w:szCs w:val="20"/>
                <w:color w:val="auto"/>
              </w:rPr>
            </w:pPr>
            <w:r>
              <w:rPr>
                <w:rFonts w:ascii="Arial" w:cs="Arial" w:eastAsia="Arial" w:hAnsi="Arial"/>
                <w:sz w:val="14"/>
                <w:szCs w:val="14"/>
                <w:color w:val="auto"/>
              </w:rPr>
              <w:t>Remaining balance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38"/>
              <w:spacing w:after="0" w:line="123" w:lineRule="exact"/>
              <w:rPr>
                <w:sz w:val="20"/>
                <w:szCs w:val="20"/>
                <w:color w:val="auto"/>
              </w:rPr>
            </w:pPr>
            <w:r>
              <w:rPr>
                <w:rFonts w:ascii="Arial" w:cs="Arial" w:eastAsia="Arial" w:hAnsi="Arial"/>
                <w:sz w:val="14"/>
                <w:szCs w:val="14"/>
                <w:color w:val="auto"/>
                <w:w w:val="85"/>
              </w:rPr>
              <w:t>June 30,</w:t>
            </w:r>
          </w:p>
        </w:tc>
        <w:tc>
          <w:tcPr>
            <w:tcW w:w="132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2016</w:t>
            </w:r>
          </w:p>
        </w:tc>
        <w:tc>
          <w:tcPr>
            <w:tcW w:w="13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3"/>
          </w:tcPr>
          <w:p>
            <w:pPr>
              <w:jc w:val="right"/>
              <w:ind w:right="51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5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financing, leasing, etc.</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46,959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48,173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Consumer</w:t>
            </w:r>
          </w:p>
        </w:tc>
        <w:tc>
          <w:tcPr>
            <w:tcW w:w="1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12,410</w:t>
            </w:r>
          </w:p>
        </w:tc>
        <w:tc>
          <w:tcPr>
            <w:tcW w:w="5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148,921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 acquired loans where the fair value exceeded the outstanding principal balance, the resulting premium is recognized as a reduction of interest income over the lives of the loans. Immediately following the acquisition date and thereafter, an allowance for credit losses is recorded for incurred losses inherent in the portfolio, consistent with the accounting for originated loans and leases. The carrying amount of Hudson City loans acquired at a premium was $16.1 billion and $17.8 billion at June 30, 2016 and December 31, 2015, respectively. A $21 million provision for credit losses was recorded in the fourth quarter of 2015 for incurred losses inherent in those loans. GAAP does not allow the credit loss component of the net premium associated with those loans to be bifurcated and accounted for as a nonaccreting balance as is the case with purchased impaired loans and other loans acquired at a discount. Despite the fact that the determination of aggregate fair value reflects the impact of expected credit losses, GAAP provides that incurred losses in a portfolio of loans acquired at a premium be recognized even though in a relatively homogenous portfolio of residential mortgage loans the specific loans to which the losses relate cannot be individually identified at the acquisition date.</w:t>
      </w:r>
    </w:p>
    <w:p>
      <w:pPr>
        <w:spacing w:after="0" w:line="18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Nonaccrual loans totaled $849 million or .96% of total loans and leases outstanding at June 30, 2016, compared with $797 million or 1.17% a year earlier, $799 million or .91% at December 31, 2015 and $877 million or 1.00% at March 31, 2016. The increase in nonaccrual loans at the two most recent quarter-ends as compared with June 30, 2015 and December 31, 2015 reflects the normal migration of $113 million of previously performing residential real estate loans obtained in the acquisition of Hudson City that became over 90 days past due during the first six months of 2016 and, as such, were not identifiable as purchased impaired as of the acquisition date.</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Accruing loans past due 90 days or more (excluding loans acquired at a discount) totaled $298 million or .34% of total loans and leases at June 30, 2016, compared with $239 million or .35% at June 30, 2015, $317 million or .36% at December 31, 2015 and $336 million or .38% at March 31, 2016. Those loans included loans guaranteed by government-related entities of $270 million, $207 million, $276 million and $279 million at June 30, 2016, June 30, 2015, December 31, 2015 and March 31, 2016, respectively. Such guaranteed loans obtained in the acquisition of Hudson City totaled $45 million at June 30, 2016 and $44 million at each of December 31, 2015 and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74" w:right="259" w:bottom="1440" w:gutter="0" w:footer="0" w:header="0"/>
        </w:sectPr>
      </w:pPr>
    </w:p>
    <w:bookmarkStart w:id="71" w:name="page72"/>
    <w:bookmarkEnd w:id="71"/>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March 31, 2016. Guaranteed loans also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$218 million at June 30, 2016, $195 million at June 30, 2015, $221 million at December 31, 2015 and $226 million at March 31, 2016. The remaining accruing loans past due 90 days or more not guaranteed by government-related entities were loans considered to be with creditworthy borrowers that were in the process of collection or renewal.</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$662 million at June 30, 2016, or approximately .7% of total loans. Of that amount, $582 million was related to the Hudson City acquisition. Purchased impaired loans totaled $169 million and $768 million at June 30 and December 31, 2015, respectively.</w:t>
      </w:r>
    </w:p>
    <w:p>
      <w:pPr>
        <w:spacing w:after="0" w:line="16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Accruing loans acquired at a discount past due 90 days or more are loans that could not be specifically identified as impaired as of the acquisition date, but were recorded at estimated fair value as of such date. Such loans totaled $69 million at June 30, 2016, compared with $79 million at June 30, 2015 and $68 million at December 31, 2015.</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an effort to assist borrowers, the Company modified the terms of select loans.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aggregated $162 million, $156 million and $147 million at June 30, 2016, June 30, 2015 and December 31, 2015, respectively.</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Nonaccrual commercial loans and leases aggregated $241 million at June 30, 2016, $210 million at June 30, 2015, $242 million at December 31, 2015 and $280 million at March 31, 2016. The largest commercial loans placed in nonaccrual status since June 30, 2015 were a $21 million relationship with a commercial maintenance services provider with operations in New Jersey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72" w:name="page73"/>
    <w:bookmarkEnd w:id="72"/>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Pennsylvania that was placed in nonaccrual status in the third quarter of 2015 and a $37 million relationship with a multi-regional manufacturer of refractory brick and other cast-able products placed in nonaccrual status in the first quarter of 2016. The decline in nonaccrual commercial loans from March 31 to June 30, 2016 was due largely to payments received on such loans.</w:t>
      </w:r>
    </w:p>
    <w:p>
      <w:pPr>
        <w:spacing w:after="0" w:line="18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Commercial real estate loans classified as nonaccrual totaled $218 million at June 30, 2016, $246 million at June 30, 2015 and $224 million at each of December 31, 2015 and March 31, 2016. Nonaccrual commercial real estate loans included construction-related loans of $46 million, $78 million, $45 million and $53 million at June 30, 2016, June 30, 2015, December 31, 2015 and March 31, 2016, respectively. Those nonaccrual construction loans included loans to residential builders and developers of $24 million, $57 million, $28 million and $32 million at June 30, 2016, June 30, 2015, December 31, 2015 and March 31, 2016, respectively. Information about the location of nonaccrual and charged-off loans to residential real estate builders and developers as of and for the three-month period ended June 30, 2016 is presented in the accompanying table.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center"/>
              <w:ind w:right="34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4"/>
                <w:szCs w:val="14"/>
                <w:color w:val="auto"/>
              </w:rPr>
              <w:t>June 30, 2016</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center"/>
              <w:ind w:right="360"/>
              <w:spacing w:after="0"/>
              <w:rPr>
                <w:sz w:val="20"/>
                <w:szCs w:val="20"/>
                <w:color w:val="auto"/>
              </w:rPr>
            </w:pPr>
            <w:r>
              <w:rPr>
                <w:rFonts w:ascii="Arial" w:cs="Arial" w:eastAsia="Arial" w:hAnsi="Arial"/>
                <w:sz w:val="14"/>
                <w:szCs w:val="14"/>
                <w:color w:val="auto"/>
                <w:w w:val="90"/>
              </w:rPr>
              <w:t>June 30, 2016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3"/>
          </w:tcPr>
          <w:p>
            <w:pPr>
              <w:jc w:val="center"/>
              <w:spacing w:after="0" w:line="123" w:lineRule="exact"/>
              <w:rPr>
                <w:sz w:val="20"/>
                <w:szCs w:val="20"/>
                <w:color w:val="auto"/>
              </w:rPr>
            </w:pPr>
            <w:r>
              <w:rPr>
                <w:rFonts w:ascii="Arial" w:cs="Arial" w:eastAsia="Arial" w:hAnsi="Arial"/>
                <w:sz w:val="14"/>
                <w:szCs w:val="14"/>
                <w:color w:val="auto"/>
                <w:w w:val="93"/>
              </w:rPr>
              <w:t>Net charge-offs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5"/>
          </w:tcPr>
          <w:p>
            <w:pPr>
              <w:jc w:val="right"/>
              <w:ind w:right="1100"/>
              <w:spacing w:after="0"/>
              <w:rPr>
                <w:sz w:val="20"/>
                <w:szCs w:val="20"/>
                <w:color w:val="auto"/>
              </w:rPr>
            </w:pPr>
            <w:r>
              <w:rPr>
                <w:rFonts w:ascii="Arial" w:cs="Arial" w:eastAsia="Arial" w:hAnsi="Arial"/>
                <w:sz w:val="14"/>
                <w:szCs w:val="14"/>
                <w:color w:val="auto"/>
              </w:rPr>
              <w:t>Nonaccrual</w:t>
            </w:r>
          </w:p>
        </w:tc>
        <w:tc>
          <w:tcPr>
            <w:tcW w:w="100" w:type="dxa"/>
            <w:vAlign w:val="bottom"/>
          </w:tcPr>
          <w:p>
            <w:pPr>
              <w:spacing w:after="0"/>
              <w:rPr>
                <w:sz w:val="14"/>
                <w:szCs w:val="14"/>
                <w:color w:val="auto"/>
              </w:rPr>
            </w:pPr>
          </w:p>
        </w:tc>
        <w:tc>
          <w:tcPr>
            <w:tcW w:w="1880" w:type="dxa"/>
            <w:vAlign w:val="bottom"/>
            <w:gridSpan w:val="4"/>
          </w:tcPr>
          <w:p>
            <w:pPr>
              <w:jc w:val="center"/>
              <w:ind w:right="360"/>
              <w:spacing w:after="0"/>
              <w:rPr>
                <w:sz w:val="20"/>
                <w:szCs w:val="20"/>
                <w:color w:val="auto"/>
              </w:rPr>
            </w:pPr>
            <w:r>
              <w:rPr>
                <w:rFonts w:ascii="Arial" w:cs="Arial" w:eastAsia="Arial" w:hAnsi="Arial"/>
                <w:sz w:val="14"/>
                <w:szCs w:val="14"/>
                <w:color w:val="auto"/>
                <w:w w:val="91"/>
              </w:rPr>
              <w:t>(recoveries)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Annualized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3"/>
              </w:rPr>
              <w:t>Percent of</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9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Outstanding</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3"/>
              </w:rPr>
              <w:t>outstanding</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color w:val="auto"/>
              </w:rPr>
              <w:t>balances(b)</w:t>
            </w:r>
          </w:p>
        </w:tc>
        <w:tc>
          <w:tcPr>
            <w:tcW w:w="32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4"/>
                <w:szCs w:val="14"/>
                <w:color w:val="auto"/>
                <w:w w:val="90"/>
              </w:rPr>
              <w:t>Balances</w:t>
            </w:r>
          </w:p>
        </w:tc>
        <w:tc>
          <w:tcPr>
            <w:tcW w:w="36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w w:val="89"/>
              </w:rPr>
              <w:t>balances</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w w:val="93"/>
              </w:rPr>
              <w:t>Balances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balances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4"/>
                <w:szCs w:val="14"/>
                <w:color w:val="auto"/>
                <w:w w:val="95"/>
              </w:rPr>
              <w:t>(dollars in thousands)</w:t>
            </w: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806,003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Pennsylvania</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124,102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19,643</w:t>
            </w:r>
          </w:p>
        </w:tc>
        <w:tc>
          <w:tcPr>
            <w:tcW w:w="1600" w:type="dxa"/>
            <w:vAlign w:val="bottom"/>
            <w:gridSpan w:val="3"/>
          </w:tcPr>
          <w:p>
            <w:pPr>
              <w:jc w:val="right"/>
              <w:ind w:right="560"/>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(70)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Mid-Atlantic(a)</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463,954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3,177</w:t>
            </w:r>
          </w:p>
        </w:tc>
        <w:tc>
          <w:tcPr>
            <w:tcW w:w="16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(1,580)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504,769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1,554</w:t>
            </w:r>
          </w:p>
        </w:tc>
        <w:tc>
          <w:tcPr>
            <w:tcW w:w="1600" w:type="dxa"/>
            <w:vAlign w:val="bottom"/>
            <w:gridSpan w:val="3"/>
          </w:tcPr>
          <w:p>
            <w:pPr>
              <w:jc w:val="right"/>
              <w:ind w:right="5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1,898,828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26,287</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Delaware, Maryland, New Jersey, Virginia, West Virginia and the District of Columbia.</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$15 million of loans not secured by real estate, of which approximately $2 million are in nonaccrual status.</w:t>
      </w:r>
    </w:p>
    <w:p>
      <w:pPr>
        <w:spacing w:after="0" w:line="21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Residential real estate loans in nonaccrual status at June 30, 2016 were $282 million, compared with $233 million at June 30, 2015, $215 million at December 31, 2015 and $263 million at March 31, 2016. The increase in residential real estate loans classified as nonaccrual at the two most recent quarter-ends as compared with December 31, 2015 reflects the normal migration of previously performing loans obtained with the acquisition of Hudson City that became more than 90 days delinquent during the first six months of 2016. Such loans increased nonaccrual residential real estate loans by $79 million at March 31, 2016 and by $113 million at June 30, 2016. Those loans could not be identified as purchased impaired loans at the acquisition date because the borrowers were making current loan payments at the time and the loans were not recorded at a discount. Included in residential real estate loans classified as nonaccrual were limited documentation first mortgage loans of $79 million, $68 million, $62 million and $76 million at June 30, 2016, June 30, 2015, December 31, 2015 and March 31, 2016 respectively. Limited documentation first mortgage loans represent loans secured by residential real estate that at origination typically included some form of limited borrower documentation requirements as compared with more traditional loans.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73" w:name="page74"/>
    <w:bookmarkEnd w:id="7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loans in the Company’s portfolio prior to the Hudson City transaction were originated by the Company before 2008. Hudson City discontinued its limited documentation loan program in January 2014. Residential real estate loans past due 90 days or more and accruing interest (excluding loans acquired at a discount) totaled $271 million (including $46 million obtained in the acquisition of Hudson City) at June 30, 2016, compared with $207 million at June 30, 2015, $284 million at December 31, 2015 and $279 million at March 31, 2016. A substantial portion of such amounts related to guaranteed loans repurchased from government-related entities. Information about the location of nonaccrual and charged-off residential real estate loans as of and for the quarter ended June 30, 2016 is presented in the accompanying table.</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Nonaccrual consumer loans totaled $108 million at each of June 30, 2016 and June 30, 2015, $118 million at December 31, 2015 and $110 million at March 31, 2016. Included in nonaccrual consumer loans at June 30, 2016, June 30, 2015, December 31, 2015 and March 31, 2016 were: automobile loans of $12 million, $15 million, $17 million and $15 million, respectively; recreational vehicle loans of $5 million, $8 million, $9 million and $10 million, respectively; and outstanding balances of home equity loans and lines of credit of $87 million, $78 million, $84 million and $79 million, respectively. Information about the location of nonaccrual and charged-off home equity loans and lines of credit as of and for the quarter ended June 30, 2016 is presented in the accompanying table.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4"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SELECTED RESIDENTIAL REAL ESTATE-RELATED LOAN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right="36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ind w:left="100"/>
              <w:spacing w:after="0"/>
              <w:rPr>
                <w:sz w:val="20"/>
                <w:szCs w:val="20"/>
                <w:color w:val="auto"/>
              </w:rPr>
            </w:pPr>
            <w:r>
              <w:rPr>
                <w:rFonts w:ascii="Arial" w:cs="Arial" w:eastAsia="Arial" w:hAnsi="Arial"/>
                <w:sz w:val="14"/>
                <w:szCs w:val="14"/>
                <w:color w:val="auto"/>
              </w:rPr>
              <w:t>June 30, 2016</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right="380"/>
              <w:spacing w:after="0"/>
              <w:rPr>
                <w:sz w:val="20"/>
                <w:szCs w:val="20"/>
                <w:color w:val="auto"/>
              </w:rPr>
            </w:pPr>
            <w:r>
              <w:rPr>
                <w:rFonts w:ascii="Arial" w:cs="Arial" w:eastAsia="Arial" w:hAnsi="Arial"/>
                <w:sz w:val="14"/>
                <w:szCs w:val="14"/>
                <w:color w:val="auto"/>
                <w:w w:val="90"/>
              </w:rPr>
              <w:t>June 30, 2016</w:t>
            </w:r>
          </w:p>
        </w:tc>
        <w:tc>
          <w:tcPr>
            <w:tcW w:w="0" w:type="dxa"/>
            <w:vAlign w:val="bottom"/>
          </w:tcPr>
          <w:p>
            <w:pPr>
              <w:spacing w:after="0"/>
              <w:rPr>
                <w:sz w:val="1"/>
                <w:szCs w:val="1"/>
                <w:color w:val="auto"/>
              </w:rPr>
            </w:pPr>
          </w:p>
        </w:tc>
      </w:tr>
      <w:tr>
        <w:trPr>
          <w:trHeight w:val="123"/>
        </w:trPr>
        <w:tc>
          <w:tcPr>
            <w:tcW w:w="6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tcPr>
          <w:p>
            <w:pPr>
              <w:jc w:val="center"/>
              <w:ind w:right="12"/>
              <w:spacing w:after="0" w:line="123" w:lineRule="exact"/>
              <w:rPr>
                <w:sz w:val="20"/>
                <w:szCs w:val="20"/>
                <w:color w:val="auto"/>
              </w:rPr>
            </w:pPr>
            <w:r>
              <w:rPr>
                <w:rFonts w:ascii="Arial" w:cs="Arial" w:eastAsia="Arial" w:hAnsi="Arial"/>
                <w:sz w:val="14"/>
                <w:szCs w:val="14"/>
                <w:color w:val="auto"/>
                <w:w w:val="93"/>
              </w:rPr>
              <w:t>Net charge-offs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1020"/>
              <w:spacing w:after="0"/>
              <w:rPr>
                <w:sz w:val="20"/>
                <w:szCs w:val="20"/>
                <w:color w:val="auto"/>
              </w:rPr>
            </w:pPr>
            <w:r>
              <w:rPr>
                <w:rFonts w:ascii="Arial" w:cs="Arial" w:eastAsia="Arial" w:hAnsi="Arial"/>
                <w:sz w:val="14"/>
                <w:szCs w:val="14"/>
                <w:color w:val="auto"/>
              </w:rPr>
              <w:t>Nonaccrual</w:t>
            </w:r>
          </w:p>
        </w:tc>
        <w:tc>
          <w:tcPr>
            <w:tcW w:w="120" w:type="dxa"/>
            <w:vAlign w:val="bottom"/>
          </w:tcPr>
          <w:p>
            <w:pPr>
              <w:spacing w:after="0"/>
              <w:rPr>
                <w:sz w:val="14"/>
                <w:szCs w:val="14"/>
                <w:color w:val="auto"/>
              </w:rPr>
            </w:pPr>
          </w:p>
        </w:tc>
        <w:tc>
          <w:tcPr>
            <w:tcW w:w="1740" w:type="dxa"/>
            <w:vAlign w:val="bottom"/>
            <w:gridSpan w:val="4"/>
          </w:tcPr>
          <w:p>
            <w:pPr>
              <w:jc w:val="center"/>
              <w:ind w:right="360"/>
              <w:spacing w:after="0"/>
              <w:rPr>
                <w:sz w:val="20"/>
                <w:szCs w:val="20"/>
                <w:color w:val="auto"/>
              </w:rPr>
            </w:pPr>
            <w:r>
              <w:rPr>
                <w:rFonts w:ascii="Arial" w:cs="Arial" w:eastAsia="Arial" w:hAnsi="Arial"/>
                <w:sz w:val="14"/>
                <w:szCs w:val="14"/>
                <w:color w:val="auto"/>
                <w:w w:val="94"/>
              </w:rPr>
              <w:t>(recoveries)</w:t>
            </w:r>
          </w:p>
        </w:tc>
        <w:tc>
          <w:tcPr>
            <w:tcW w:w="0" w:type="dxa"/>
            <w:vAlign w:val="bottom"/>
          </w:tcPr>
          <w:p>
            <w:pPr>
              <w:spacing w:after="0"/>
              <w:rPr>
                <w:sz w:val="1"/>
                <w:szCs w:val="1"/>
                <w:color w:val="auto"/>
              </w:rPr>
            </w:pPr>
          </w:p>
        </w:tc>
      </w:tr>
      <w:tr>
        <w:trPr>
          <w:trHeight w:val="123"/>
        </w:trPr>
        <w:tc>
          <w:tcPr>
            <w:tcW w:w="6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Annualized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percent of</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7"/>
              </w:rPr>
              <w:t>Percent of</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Outstanding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1"/>
              </w:rPr>
              <w:t>outstanding</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outstanding</w:t>
            </w:r>
          </w:p>
        </w:tc>
        <w:tc>
          <w:tcPr>
            <w:tcW w:w="0" w:type="dxa"/>
            <w:vAlign w:val="bottom"/>
          </w:tcPr>
          <w:p>
            <w:pPr>
              <w:spacing w:after="0"/>
              <w:rPr>
                <w:sz w:val="1"/>
                <w:szCs w:val="1"/>
                <w:color w:val="auto"/>
              </w:rPr>
            </w:pPr>
          </w:p>
        </w:tc>
      </w:tr>
      <w:tr>
        <w:trPr>
          <w:trHeight w:val="167"/>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balances</w:t>
            </w:r>
          </w:p>
        </w:tc>
        <w:tc>
          <w:tcPr>
            <w:tcW w:w="28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4"/>
                <w:szCs w:val="14"/>
                <w:color w:val="auto"/>
              </w:rPr>
              <w:t>Balances</w:t>
            </w:r>
          </w:p>
        </w:tc>
        <w:tc>
          <w:tcPr>
            <w:tcW w:w="1160" w:type="dxa"/>
            <w:vAlign w:val="bottom"/>
            <w:gridSpan w:val="2"/>
          </w:tcPr>
          <w:p>
            <w:pPr>
              <w:jc w:val="right"/>
              <w:ind w:right="560"/>
              <w:spacing w:after="0"/>
              <w:rPr>
                <w:sz w:val="20"/>
                <w:szCs w:val="20"/>
                <w:color w:val="auto"/>
              </w:rPr>
            </w:pPr>
            <w:r>
              <w:rPr>
                <w:rFonts w:ascii="Arial" w:cs="Arial" w:eastAsia="Arial" w:hAnsi="Arial"/>
                <w:sz w:val="14"/>
                <w:szCs w:val="14"/>
                <w:color w:val="auto"/>
              </w:rPr>
              <w:t>balances</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Balances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balances</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4"/>
          </w:tcPr>
          <w:p>
            <w:pPr>
              <w:jc w:val="right"/>
              <w:ind w:right="320"/>
              <w:spacing w:after="0" w:line="142" w:lineRule="exact"/>
              <w:rPr>
                <w:sz w:val="20"/>
                <w:szCs w:val="20"/>
                <w:color w:val="auto"/>
              </w:rPr>
            </w:pPr>
            <w:r>
              <w:rPr>
                <w:rFonts w:ascii="Arial" w:cs="Arial" w:eastAsia="Arial" w:hAnsi="Arial"/>
                <w:sz w:val="14"/>
                <w:szCs w:val="14"/>
                <w:color w:val="auto"/>
              </w:rPr>
              <w:t>(dollars in thousands)</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6,602,947</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70,130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476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1,747,161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19,068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Maryland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1,302,399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15,293</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Jersey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5,745,014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31,819</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1,678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Other Mid-Atlantic(a)</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1,104,550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13,698</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4,069,810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52,153</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20,571,881</w:t>
            </w:r>
          </w:p>
        </w:tc>
        <w:tc>
          <w:tcPr>
            <w:tcW w:w="1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202,161</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2,479</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7,968</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Maryland</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Jersey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Other Mid-Atlantic(a)</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27,562</w:t>
            </w:r>
          </w:p>
        </w:tc>
        <w:tc>
          <w:tcPr>
            <w:tcW w:w="1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788</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Limited documentation first mortgages: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1,655,680</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25,693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349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5,217</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Maryland</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48,136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2,977</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Jersey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1,536,823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16,139</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Other Mid-Atlantic(a)</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42,993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2,810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26,192</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3,930,806</w:t>
            </w: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79,028</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626</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 and lines of credit: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1,323,782</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16,866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969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10,621</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Maryland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695,324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8,217</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Jersey</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Other Mid-Atlantic(a)</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210,089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1,662</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1,277</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3,137,118</w:t>
            </w:r>
          </w:p>
        </w:tc>
        <w:tc>
          <w:tcPr>
            <w:tcW w:w="1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39,031</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1,110</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 and lines of credit: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933,175</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27,313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790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5,226</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Maryland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848,125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9,786</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951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Jersey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Other Mid-Atlantic(a)</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315,860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1,511</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1,715</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2,650,339</w:t>
            </w: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47,499</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3,163</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Limited documentation junior lien: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Maryland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Jersey</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Other Mid-Atlantic(a)</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0"/>
              <w:spacing w:after="0"/>
              <w:rPr>
                <w:sz w:val="20"/>
                <w:szCs w:val="20"/>
                <w:color w:val="auto"/>
              </w:rPr>
            </w:pPr>
            <w:r>
              <w:rPr>
                <w:rFonts w:ascii="Arial" w:cs="Arial" w:eastAsia="Arial" w:hAnsi="Arial"/>
                <w:sz w:val="16"/>
                <w:szCs w:val="16"/>
                <w:color w:val="auto"/>
                <w:w w:val="74"/>
              </w:rPr>
              <w:t>)</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8,862</w:t>
            </w: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340</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Includes Delaware, Virginia, West Virginia and the District of Columbia.</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75" w:name="page76"/>
    <w:bookmarkEnd w:id="75"/>
    <w:p>
      <w:pPr>
        <w:ind w:left="20" w:right="4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NONPERFORMING ASSET AND PAST DUE, RENEGOTIATED AND IMPAIRED LOAN DATA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tcPr>
          <w:p>
            <w:pPr>
              <w:jc w:val="right"/>
              <w:ind w:right="980"/>
              <w:spacing w:after="0"/>
              <w:rPr>
                <w:sz w:val="20"/>
                <w:szCs w:val="20"/>
                <w:color w:val="auto"/>
              </w:rPr>
            </w:pPr>
            <w:r>
              <w:rPr>
                <w:rFonts w:ascii="Arial" w:cs="Arial" w:eastAsia="Arial" w:hAnsi="Arial"/>
                <w:sz w:val="14"/>
                <w:szCs w:val="14"/>
                <w:color w:val="auto"/>
              </w:rPr>
              <w:t>2016 Quarters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ind w:left="120"/>
              <w:spacing w:after="0"/>
              <w:rPr>
                <w:sz w:val="20"/>
                <w:szCs w:val="20"/>
                <w:color w:val="auto"/>
              </w:rPr>
            </w:pPr>
            <w:r>
              <w:rPr>
                <w:rFonts w:ascii="Arial" w:cs="Arial" w:eastAsia="Arial" w:hAnsi="Arial"/>
                <w:sz w:val="14"/>
                <w:szCs w:val="14"/>
                <w:color w:val="auto"/>
              </w:rPr>
              <w:t>2015 Quarters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color w:val="auto"/>
              </w:rPr>
              <w:t>Second</w:t>
            </w:r>
          </w:p>
        </w:tc>
        <w:tc>
          <w:tcPr>
            <w:tcW w:w="1180" w:type="dxa"/>
            <w:vAlign w:val="bottom"/>
            <w:gridSpan w:val="2"/>
          </w:tcPr>
          <w:p>
            <w:pPr>
              <w:jc w:val="right"/>
              <w:ind w:right="660"/>
              <w:spacing w:after="0"/>
              <w:rPr>
                <w:sz w:val="20"/>
                <w:szCs w:val="20"/>
                <w:color w:val="auto"/>
              </w:rPr>
            </w:pPr>
            <w:r>
              <w:rPr>
                <w:rFonts w:ascii="Arial" w:cs="Arial" w:eastAsia="Arial" w:hAnsi="Arial"/>
                <w:sz w:val="14"/>
                <w:szCs w:val="14"/>
                <w:color w:val="auto"/>
              </w:rPr>
              <w:t>First</w:t>
            </w:r>
          </w:p>
        </w:tc>
        <w:tc>
          <w:tcPr>
            <w:tcW w:w="900" w:type="dxa"/>
            <w:vAlign w:val="bottom"/>
            <w:gridSpan w:val="2"/>
          </w:tcPr>
          <w:p>
            <w:pPr>
              <w:ind w:left="200"/>
              <w:spacing w:after="0"/>
              <w:rPr>
                <w:sz w:val="20"/>
                <w:szCs w:val="20"/>
                <w:color w:val="auto"/>
              </w:rPr>
            </w:pPr>
            <w:r>
              <w:rPr>
                <w:rFonts w:ascii="Arial" w:cs="Arial" w:eastAsia="Arial" w:hAnsi="Arial"/>
                <w:sz w:val="14"/>
                <w:szCs w:val="14"/>
                <w:color w:val="auto"/>
              </w:rPr>
              <w:t>Fourth</w:t>
            </w:r>
          </w:p>
        </w:tc>
        <w:tc>
          <w:tcPr>
            <w:tcW w:w="26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color w:val="auto"/>
              </w:rPr>
              <w:t>Third</w:t>
            </w:r>
          </w:p>
        </w:tc>
        <w:tc>
          <w:tcPr>
            <w:tcW w:w="860" w:type="dxa"/>
            <w:vAlign w:val="bottom"/>
            <w:gridSpan w:val="2"/>
          </w:tcPr>
          <w:p>
            <w:pPr>
              <w:ind w:left="120"/>
              <w:spacing w:after="0"/>
              <w:rPr>
                <w:sz w:val="20"/>
                <w:szCs w:val="20"/>
                <w:color w:val="auto"/>
              </w:rPr>
            </w:pPr>
            <w:r>
              <w:rPr>
                <w:rFonts w:ascii="Arial" w:cs="Arial" w:eastAsia="Arial" w:hAnsi="Arial"/>
                <w:sz w:val="14"/>
                <w:szCs w:val="14"/>
                <w:color w:val="auto"/>
              </w:rPr>
              <w:t>Second</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848,855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876,691</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799,409</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787,098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797,146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172,473</w:t>
            </w:r>
          </w:p>
        </w:tc>
        <w:tc>
          <w:tcPr>
            <w:tcW w:w="780" w:type="dxa"/>
            <w:vAlign w:val="bottom"/>
          </w:tcPr>
          <w:p>
            <w:pPr>
              <w:jc w:val="right"/>
              <w:spacing w:after="0"/>
              <w:rPr>
                <w:sz w:val="20"/>
                <w:szCs w:val="20"/>
                <w:color w:val="auto"/>
              </w:rPr>
            </w:pPr>
            <w:r>
              <w:rPr>
                <w:rFonts w:ascii="Arial" w:cs="Arial" w:eastAsia="Arial" w:hAnsi="Arial"/>
                <w:sz w:val="18"/>
                <w:szCs w:val="18"/>
                <w:color w:val="auto"/>
              </w:rPr>
              <w:t>188,004</w:t>
            </w:r>
          </w:p>
        </w:tc>
        <w:tc>
          <w:tcPr>
            <w:tcW w:w="4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195,085</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66,144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63,734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9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1,021,328</w:t>
            </w:r>
          </w:p>
        </w:tc>
        <w:tc>
          <w:tcPr>
            <w:tcW w:w="40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1,064,695</w:t>
            </w:r>
          </w:p>
        </w:tc>
        <w:tc>
          <w:tcPr>
            <w:tcW w:w="40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994,494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853,242</w:t>
            </w: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860,880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8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more(a)</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298,449</w:t>
            </w:r>
          </w:p>
        </w:tc>
        <w:tc>
          <w:tcPr>
            <w:tcW w:w="780" w:type="dxa"/>
            <w:vAlign w:val="bottom"/>
          </w:tcPr>
          <w:p>
            <w:pPr>
              <w:jc w:val="right"/>
              <w:spacing w:after="0"/>
              <w:rPr>
                <w:sz w:val="20"/>
                <w:szCs w:val="20"/>
                <w:color w:val="auto"/>
              </w:rPr>
            </w:pPr>
            <w:r>
              <w:rPr>
                <w:rFonts w:ascii="Arial" w:cs="Arial" w:eastAsia="Arial" w:hAnsi="Arial"/>
                <w:sz w:val="18"/>
                <w:szCs w:val="18"/>
                <w:color w:val="auto"/>
              </w:rPr>
              <w:t>336,170</w:t>
            </w:r>
          </w:p>
        </w:tc>
        <w:tc>
          <w:tcPr>
            <w:tcW w:w="4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317,441</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231,465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238,568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Nonaccrual loans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52,486</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49,688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47,052</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48,955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58,259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Accruing loans past due 90 days or more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269,962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279,340</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276,285</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193,998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206,775</w:t>
            </w: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80" w:type="dxa"/>
            <w:vAlign w:val="bottom"/>
            <w:gridSpan w:val="2"/>
          </w:tcPr>
          <w:p>
            <w:pPr>
              <w:spacing w:after="0"/>
              <w:rPr>
                <w:sz w:val="20"/>
                <w:szCs w:val="20"/>
                <w:color w:val="auto"/>
              </w:rPr>
            </w:pPr>
            <w:r>
              <w:rPr>
                <w:rFonts w:ascii="Arial" w:cs="Arial" w:eastAsia="Arial" w:hAnsi="Arial"/>
                <w:sz w:val="18"/>
                <w:szCs w:val="18"/>
                <w:color w:val="auto"/>
              </w:rPr>
              <w:t>Renegotiated loans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211,159</w:t>
            </w:r>
          </w:p>
        </w:tc>
        <w:tc>
          <w:tcPr>
            <w:tcW w:w="780" w:type="dxa"/>
            <w:vAlign w:val="bottom"/>
          </w:tcPr>
          <w:p>
            <w:pPr>
              <w:jc w:val="right"/>
              <w:spacing w:after="0"/>
              <w:rPr>
                <w:sz w:val="20"/>
                <w:szCs w:val="20"/>
                <w:color w:val="auto"/>
              </w:rPr>
            </w:pPr>
            <w:r>
              <w:rPr>
                <w:rFonts w:ascii="Arial" w:cs="Arial" w:eastAsia="Arial" w:hAnsi="Arial"/>
                <w:sz w:val="18"/>
                <w:szCs w:val="18"/>
                <w:color w:val="auto"/>
              </w:rPr>
              <w:t>200,771</w:t>
            </w:r>
          </w:p>
        </w:tc>
        <w:tc>
          <w:tcPr>
            <w:tcW w:w="4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182,865</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189,639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197,145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Acquired accruing loans past due 90 days or more(b)</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68,591</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61,767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68,473</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80,827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78,591</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Purchased impaired loans(c):</w:t>
            </w: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8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customer balance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1,040,678</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1,124,776</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1,204,004</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278,979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312,507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Carrying amount</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662,059</w:t>
            </w:r>
          </w:p>
        </w:tc>
        <w:tc>
          <w:tcPr>
            <w:tcW w:w="780" w:type="dxa"/>
            <w:vAlign w:val="bottom"/>
          </w:tcPr>
          <w:p>
            <w:pPr>
              <w:jc w:val="right"/>
              <w:spacing w:after="0"/>
              <w:rPr>
                <w:sz w:val="20"/>
                <w:szCs w:val="20"/>
                <w:color w:val="auto"/>
              </w:rPr>
            </w:pPr>
            <w:r>
              <w:rPr>
                <w:rFonts w:ascii="Arial" w:cs="Arial" w:eastAsia="Arial" w:hAnsi="Arial"/>
                <w:sz w:val="18"/>
                <w:szCs w:val="18"/>
                <w:color w:val="auto"/>
              </w:rPr>
              <w:t>715,874</w:t>
            </w:r>
          </w:p>
        </w:tc>
        <w:tc>
          <w:tcPr>
            <w:tcW w:w="4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768,329</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149,421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169,240</w:t>
            </w: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r>
      <w:tr>
        <w:trPr>
          <w:trHeight w:val="202"/>
        </w:trPr>
        <w:tc>
          <w:tcPr>
            <w:tcW w:w="5960" w:type="dxa"/>
            <w:vAlign w:val="bottom"/>
          </w:tcPr>
          <w:p>
            <w:pPr>
              <w:spacing w:after="0" w:line="201" w:lineRule="exact"/>
              <w:rPr>
                <w:sz w:val="20"/>
                <w:szCs w:val="20"/>
                <w:color w:val="auto"/>
              </w:rPr>
            </w:pPr>
            <w:r>
              <w:rPr>
                <w:rFonts w:ascii="Arial" w:cs="Arial" w:eastAsia="Arial" w:hAnsi="Arial"/>
                <w:sz w:val="18"/>
                <w:szCs w:val="18"/>
                <w:color w:val="auto"/>
                <w:w w:val="97"/>
              </w:rPr>
              <w:t>Nonperforming assets to total net loans and leases and real estate and other</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foreclosed assets</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1.21%</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r>
      <w:tr>
        <w:trPr>
          <w:trHeight w:val="202"/>
        </w:trPr>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Accruing loans past due 90 days or more (a) to total loans and leases, net of</w:t>
            </w: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discount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0"/>
        </w:trPr>
        <w:tc>
          <w:tcPr>
            <w:tcW w:w="5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 Predominantly residential mortgage loans.</w:t>
      </w:r>
    </w:p>
    <w:p>
      <w:pPr>
        <w:spacing w:after="0" w:line="23" w:lineRule="exact"/>
        <w:rPr>
          <w:rFonts w:ascii="Arial" w:cs="Arial" w:eastAsia="Arial" w:hAnsi="Arial"/>
          <w:sz w:val="18"/>
          <w:szCs w:val="18"/>
          <w:i w:val="1"/>
          <w:iCs w:val="1"/>
          <w:color w:val="auto"/>
        </w:rPr>
      </w:pPr>
    </w:p>
    <w:p>
      <w:pPr>
        <w:ind w:left="460" w:right="360" w:hanging="452"/>
        <w:spacing w:after="0" w:line="250" w:lineRule="auto"/>
        <w:tabs>
          <w:tab w:leader="none" w:pos="46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ind w:left="460" w:hanging="452"/>
        <w:spacing w:after="0"/>
        <w:tabs>
          <w:tab w:leader="none" w:pos="46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76" w:name="page77"/>
    <w:bookmarkEnd w:id="76"/>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Real estate and other foreclosed assets totaled $172 million at June 30, 2016, compared with $64 million at June 30, 2015, $195 million at December 31, 2015 and $188 million at March 31, 2016. The higher levels of real estate and other foreclosed assets at June 30, 2016, December 31, 2015 and March 31, 2016 reflect residential real estate properties associated with the Hudson City acquisition, which totaled $109 million, $126 million and $121 million at those respective dates. Gains or losses resulting from the sales of real estate and other foreclosed assets were not material in the three-month periods ended June 30, 2016, June 30, 2015 or March 31, 2016. At June 30, 2016, the Company’s holding of residential real estate-related properties comprised approximately 92% of foreclosed assets.</w:t>
      </w:r>
    </w:p>
    <w:p>
      <w:pPr>
        <w:spacing w:after="0" w:line="193"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expected repayment performance associated with the Company’s first and second lien loans secured by residential real estate, including loans obtained in the acquisition of Hudson City that were not classified as purchased impaired;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7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Management cautiously and conservatively evaluated the allowance for credit losses as of June 30, 2016 in light of: (i) residential real estate values and the level of delinquencies of loans secured by residential real estate; (ii) economic conditions in the markets served by the Company; (iii) slower growth in private sector employment in upstate New York and central Pennsylvania than in other regions served by the Company and nationally; (iv) the significant subjectivity involved in commercial real estate valuations; and (v) the amount of loan growth experienced by the Company. While there has been general improvement in economic conditions, concerns continue to exist about the strength and sustainability of such improvements; the troubled state of global commodity and export markets, including the impact international economic conditions could have on the U.S. economy; Federal Reserve positioning of monetary policy; and continued stagnant population growth in the upstate New York and central Pennsylvania regions (approximately 55% of the Company’s loans are to customers in New York State and Pennsylvania).</w:t>
      </w:r>
    </w:p>
    <w:p>
      <w:pPr>
        <w:spacing w:after="0" w:line="17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Company utilizes a loan grading system that is applied to all commercial loans and commercial real estate loans. Loan grades are utilized to differentiate risk within the portfolio and consider the expectations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74" w:right="259" w:bottom="1440" w:gutter="0" w:footer="0" w:header="0"/>
        </w:sectPr>
      </w:pPr>
    </w:p>
    <w:bookmarkStart w:id="77" w:name="page78"/>
    <w:bookmarkEnd w:id="7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were $2.4 billion at June 30, 2016, compared with $2.3 billion at each of June 30, 2015 and March 31, 2016 and $2.1 billion at December 31, 2015. The increase in criticized loan balances since December 31, 2015 reflected $206 million related to commercial real estate loans, including a $63 million loan to a retail outlet and a $56 million loan for condominium development, both in New York City. Approximately 97% of loan balances added to the criticized category during the recent quarter were less than 90 days past due and 95% had a current payment status.</w:t>
      </w:r>
    </w:p>
    <w:p>
      <w:pPr>
        <w:spacing w:after="0" w:line="197"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Loan officers with the support of loan review personnel in different geographic locations are responsible to continuously review and reassign loan grades to pass and criticized loans based on their detailed knowledge of individual borrowers and their judgment of the impact on such borrowers resulting from changing conditions in their respective geographic regions. At least annually, updated financial information is obtained from commercial borrowers associated with pass grade loans and additional analysis is performed. On a quarterly basis, the Company’s centralized loan review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74" w:right="259" w:bottom="1440" w:gutter="0" w:footer="0" w:header="0"/>
        </w:sectPr>
      </w:pPr>
    </w:p>
    <w:bookmarkStart w:id="78" w:name="page79"/>
    <w:bookmarkEnd w:id="78"/>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external parties that are generally obtained shortly after a loan becomes nonaccrual. Loans to consumers that file for bankruptcy are generally charged-off to estimated net collateral value shortly after the Company is notified of such filings. At June 30, 2016, approximately 54% of the Company’s home equity portfolio consisted of first lien loans and lines of credit. Of the remaining junior lien loans in the portfolio, approximately 71% (or approximately 33%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June 30, 2016, the balance of junior lien loans and lines that were in nonaccrual status solely as a result of first lien loan performance was $16 million, compared with $22 million at each of June 30, 2015 and December 31, 2015 and $23 million at March 31, 2016.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if the Company does not know the amount of the remaining first lien mortgage loan (typically because the Company does not own or service the first lien loan), the Company assumes that the first lien mortgage loan has had no principal amortization since the origination of the junior lien loan. Similarly, data used in estimating incurred losses for purposes of determining the allowance for credit losses also assumes no reductions in outstanding principal of first lien loans since the origination of the junior lien loan. Home equity line of credit terms vary but such lines are generally originated with an open draw period of ten years followed by an amortization period of up to twenty years. At June 30, 2016, approximately 85% of all outstanding balances of home equity lines of credit related to lines that were still in the draw period, the weighted-average remaining draw periods were approximately five years, and approximately 9% were making contractually allowed payments that do not include repayment of principal.</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9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79" w:name="page80"/>
    <w:bookmarkEnd w:id="79"/>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46% of the Company’s home equity portfolio consists of junior lien loans and lines of credit. Except for consumer loans and residential real estate loans that are considered smaller balance homogeneous loans and are evaluated collectively and loans obtained at a discount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For loans acquired at a discount, the impact of estimated future credit losses represents the predominant difference between contractually required payments and the cash flows expected to be collected.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4 of Notes to Financial Statements.</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Management believes that the allowance for credit losses at June 30, 2016 appropriately reflected credit losses inherent in the portfolio as of that date. The allowance for credit losses was $970 million, or 1.10% of total loans and leases at June 30, 2016, compared with $930 million or 1.36% at June 30, 2015 and $956 million or 1.09% at December 31, 2015. The ratio of the allowance to total loans and leases at each respective date reflects the impact of loans obtained in acquisition transactions subsequent to 2008 that have been recorded at estimated fair value. As noted earlier, GAAP prohibits any carry-over of an allowance for credit losses for acquired loans recorded at fair value. However, for loans acquired at a premium, GAAP provides that an allowance for credit losses be recognized for incurred losses inherent in the portfolio. The declines in the ratio of the allowance to total loans and leases at June 30, 2016 and December 31, 2015 as compared with June 30, 2015 reflects the impact of loans (predominantly residential real estate loans) obtained in the acquisition of Hudson City.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portfolios also change, the level of the allowance as a percentage of loans could increase or decrease in future periods. The ratio of the allowance to nonaccrual loans at June 30, 2016 was 114%, compared with 117% a year earlier and 120% at December 31, 2015. Given the Company’s general position as a secured lender and its practice of charging-off loan balances when collection is deemed doubtful, that ratio and changes in that ratio are generally not an indicative measure of the adequacy of the Company’s allowance for credit losses, nor does management rely upon that ratio in assessing the adequacy of the allowance. The level of the allowance reflects management’s evaluation of the loan and lease portfolio as of each respective date.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74"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Income</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Other income totaled $448 million in the second quarter of 2016, compared with $497 million in the year-earlier quarter and $421 million in the first quarter of 2016. The increase in other income in the recent quarter as compared with the first quarter of 2016 resulted from higher trust income, mortgage banking revenues, and trading account and foreign exchange gains. The decline in the recent quarter as compared with the year-earlier quarter reflects a $45 million gain in the second quarter of 2015 from the divestiture of the trade processing business within the retirement services business of the Company and lower mortgage banking revenues that were partially offset by higher trading account and foreign exchange gains.</w:t>
      </w:r>
    </w:p>
    <w:p>
      <w:pPr>
        <w:spacing w:after="0" w:line="173"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Mortgage banking revenues were $89 million in the recently completed quarter, down from $103 million in the second quarter of 2015 but improved from $82 million in the initial 2016 quarter.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$65 million in the second quarter of 2016, compared with $75 million in the second quarter of 2015 and $60 million in the initial quarter of 2016. The lower level of residential mortgage banking revenues in the recent quarter as compared with the year-earlier quarter reflects declines in revenues associated with servicing residential real estate loans for others and lower gains from origination activities, while the increase from 2016’s first quarter was predominantly attributable to higher gains from origination activities, due primarily to increased volumes of loans originated for sale.</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New commitments to originate residential real estate loans to be sold were approximately $858 million in the recent quarter, compared with $995 million and $659 million in the second quarter of 2015 and the first quarter of 2016, respectively. Realized gains from sales of residential real estate loans and loan servicing rights and recognized net unrealized gains and losses attributable to residential real estate loans held for sale, commitments to originate loans for sale and commitments to sell loans totaled to gains of $19 million in the recent quarter, compared with gains of $21 million in the second quarter of 2015 and $14 million in the first quarter of 2016.</w:t>
      </w:r>
    </w:p>
    <w:p>
      <w:pPr>
        <w:spacing w:after="0" w:line="18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Company is contractually obligated to repurchase previously sold loans that do not ultimately meet investor sale criteria related to underwriting procedures or loan documentation. When required to do so, the Company may reimburse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during each of the three-month periods ended June 30, 2016, June 30, 2015 and March 31, 2016 were reduced by approximately $1 million related to actual or anticipated settlement of repurchase obligations.</w:t>
      </w:r>
    </w:p>
    <w:p>
      <w:pPr>
        <w:spacing w:after="0" w:line="16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Loans held for sale that were secured by residential real estate totaled $374 million at June 30, 2016, $479 million at June 30, 2015 and $353 million at December 31, 2015. Commitments to sell residential real estate loans and commitments to originate residential real estate loans for sale at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70" w:right="279" w:bottom="1440" w:gutter="0" w:footer="0" w:header="0"/>
        </w:sectPr>
      </w:pPr>
    </w:p>
    <w:bookmarkStart w:id="81" w:name="page82"/>
    <w:bookmarkEnd w:id="81"/>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pre-determined rates were $816 million and $638 million, respectively, at June 30, 2016, $930 million and $672 million, respectively, at June 30, 2015, and $687 million and $489 million, respectively, at December 31, 2015. Net recognized unrealized gains on residential real estate loans held for sale, commitments to sell loans, and commitments to originate loans for sale were $19 million at each of June 30, 2016 and June 30, 2015, compared with $16 million at December 31, 2015. Changes in such net unrealized gains are recorded in mortgage banking revenues and resulted in net increases in revenue of $3 million and $1 million in the recent quarter and the initial quarter of 2016, respectively, compared with a net decrease in revenue of $2 million in the second quarter of 2015.</w:t>
      </w:r>
    </w:p>
    <w:p>
      <w:pPr>
        <w:spacing w:after="0" w:line="19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Revenues from servicing residential real estate loans for others were $46 million in the recent quarter, compared with $53 million and $45 million during the quarters ended June 30, 2015 and March 31, 2016, respectively. The decline in the two most recent quarters as compared with the second quarter of 2015 reflects lower revenues from sub-servicing activities. Residential real estate loans serviced for others totaled $57.8 billion at June 30, 2016, compared with $66.5 billion at June 30, 2015, $61.7 billion at December 31, 2015 and $60.0 billion at March 31, 2016. Reflected in residential real estate loans serviced for others were loans sub-serviced for others of $34.6 billion at June 30, 2016, $42.3 billion at June 30, 2015, $37.8 billion at December 31, 2015 and $36.3 billion at March 31, 2016. Revenues earned for sub-servicing loans were $25 million and $30 million for the three-month periods ended June 30, 2016 and 2015, respectively, and $23 million for the three-month period ended March 31, 2016. The contractual servicing rights associated with loans sub-serviced by the Company were predominantly held by affiliates of Bayview Lending Group LLC (“BLG”).</w:t>
      </w:r>
    </w:p>
    <w:p>
      <w:pPr>
        <w:spacing w:after="0" w:line="179"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Capitalized servicing rights consist largely of servicing associated with loans sold by the Company. Capitalized residential mortgage loan servicing assets totaled $117 million at June 30, 2016, compared with $114 million a year earlier and $118 million at each of December 31, 2015 and March 31, 2016.</w:t>
      </w:r>
    </w:p>
    <w:p>
      <w:pPr>
        <w:spacing w:after="0" w:line="124"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Commercial mortgage banking revenues were $24 million in the second quarter of 2016, compared with $28 million in the year-earlier period and $22 million in the first quarter of 2016. Included in such amounts were revenues from loan origination and sales activities of $14 million in the recent quarter, compared with $17 million and $12 million in the second quarter of 2015 and the initial 2016 quarter, respectively. Commercial real estate loans originated for sale to other investors totaled $567 million in the second quarter of 2016, compared with $890 million and $355 million in the year-earlier quarter and the first quarter of 2016, respectively. Loan servicing revenues were $10 million in each of the first two quarters of 2016, compared with $11 million in the second quarter of 2015. Capitalized commercial mortgage servicing assets totaled $86 million and $78 million at June 30, 2016 and 2015, respectively, and $84 million at December 31, 2015. Commercial real estate loans serviced for other investors totaled $11.1 billion, $11.3 billion and $11.0 billion at June 30, 2016, June 30, 2015 and December 31, 2015, respectively, and included $2.6 billion, $2.5 billion and $2.5 billion, respectively, of loan balances for which investors had recourse to the Company if such balances are ultimately uncollectible. Commitments to sell commercial real estate loans and commitments to originate commercial real estate loans for sale were $340 million and $112 million, respectively, at June 30, 2016, $425 million and $105 million, respectively, at June 30, 2015 and $96 million and $58 million, respectively, at December 31, 2015. Commercial real estate loans held for sale at June 30, 2016, June 30, 2015 and December 31, 2015 were $228 million, $320 million and $39 million, respectively.</w:t>
      </w:r>
    </w:p>
    <w:p>
      <w:pPr>
        <w:spacing w:after="0" w:line="16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Service charges on deposit accounts totaled $104 million in the second quarter of 2016, compared with $105 million and $102 million in the second quarter of 2015 and the first quarter of 2016, respectively. The higher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level of fees in the recent quarter as compared with the first quarter of 2016 was due to higher consumer deposit service fees.</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totaled $120 million in the second quarter of 2016, compared with $119 million in the second quarter of 2015 and $111 million in the first quarter of 2016. Revenues associated with the ICS business were approximately $58 million during the quarter ended June 30, 2016, compared with $52 million in each of the quarters ended June 30, 2015 and March 31, 2016. The higher ICS revenue in the most recent quarter as compared with the second quarter of 2015 and the first quarter of 2016 reflects stronger sales activities and higher fees earned from money-market mutual funds. Revenues attributable to WAS were approximately $55 million and $58 million for the three-month periods ended June 30, 2016 and 2015, respectively, and $51 million for the three-month period ended March 31, 2016. The decline in such recent quarter revenues as compared with the second quarter of 2015 was due largely to lower customer balances and market performance. The improvement in WAS revenues as compared with the initial 2016 quarter was largely due to annual tax preparation fees recognized in the recent quarter and improved market performance impacting customer balances. Total trust assets, which include assets under management and assets under administration, aggregated $203.6 billion at June 30, 2016, compared with $205.0 billion and $199.2 billion at June 30, 2015 and December 31, 2015, respectively. Trust assets under management were $67.0 billion, $68.3 billion and $66.7 billion at June 30, 2016, June 30, 2015 and December 31, 2015, respectively. Additional trust income from investment management activities totaled $7 million in the recent quarter, $9 million in the second quarter of 2015 and $8 million in the first quarter of 2016. That income largely relates to fees earned from retail customer investment accounts and from an affiliated investment manager. Assets managed by that affiliated manager were $6.7 billion at June 30, 2016, $8.5 billion at June 30, 2015 and $7.1 billion at December 31, 2015. The Company’s trust income from that affiliate was not material for any of the quarters then-ended. The Company’s proprietary mutual funds had assets of $11.2 billion, $11.9 billion and $12.2 billion at June 30, 2016, June 30, 2015 and December 31, 2015, respectively.</w:t>
      </w:r>
    </w:p>
    <w:p>
      <w:pPr>
        <w:spacing w:after="0" w:line="16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Brokerage services income, which includes revenues from the sale of mutual funds and annuities and securities brokerage fees, totaled $16 million in each of the two most recent quarters, little changed from $17 million in the second quarter of 2015. Gains from trading account and foreign exchange activity totaled $13 million in the second quarter of 2016, compared with $6 million in the year-earlier quarter and $7 million in the first quarter of 2016. The recent quarter increase as compared with those earlier periods resulted predominantly from higher activity related to interest rate swap transactions executed on behalf of commercial customers.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165"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Other revenues from operations totaled $105 million in the second quarter of 2016, compared with $148 million in the year-earlier quarter and $102 million in the first quarter of 2016. The decrease in the recent quarter as compared with the year-earlier quarter reflects the $45 million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74" w:right="259" w:bottom="1440" w:gutter="0" w:footer="0" w:header="0"/>
        </w:sectPr>
      </w:pPr>
    </w:p>
    <w:bookmarkStart w:id="83" w:name="page84"/>
    <w:bookmarkEnd w:id="83"/>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gain associated with the April 2015 sale of the trade processing business in the retirement services division. Included in other revenues from operations were the following significant components. Letter of credit and other credit-related fees totaled $30 million in the recent quarter, compared with $37 million in the second quarter of 2015 and $28 million in the first quarter of 2016. The higher revenues in 2015’s second quarter were largely attributable to fees for providing loan syndication services. Tax-exempt income from bank owned life insurance, which includes increases in the cash surrender value of life insurance policies and benefits received, totaled $13 million during the recent quarter, compared with $15 million in the second quarter of 2015 and $16 million in the first quarter of 2016. Revenues from merchant discount and credit card fees were $27 million in the quarter ended June 30, 2016, compared with $26 million in each of the quarters ended June 30, 2015 and March 31, 2016. Insurance-related sales commissions and other revenues totaled $9 million in the second quarter of 2016, compared with $8 million in the year-earlier quarter and $12 million in the first quarter of 2016. The 2016 initial quarter reflects seasonally higher revenues. M&amp;T’s share of the operating losses of BLG recognized using the equity method of accounting was $3 million in each of the second quarters of 2016 and 2015 and $4 million in the first quarter of 2016. Information about the Company’s relationship with BLG and its affiliates is included in note 15 of Notes to Financial Statements. Other miscellaneous revenues and the changes in such revenues from period-to-period were not individually significant.</w:t>
      </w:r>
    </w:p>
    <w:p>
      <w:pPr>
        <w:spacing w:after="0" w:line="18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Other income totaled $869 million in the first half of 2016, compared with $937 million in the year-earlier period. Excluding the gain on the divestiture of the trade processing business, other income aggregated $892 million in the first six months of 2015. The most significant contributors to the decrease in other income during the 2016 period were lower mortgage banking revenues and trust income offset, in part, by higher gains from trading account and foreign exchange activity.</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Mortgage banking revenues were $171 million during the first half of 2016, compared with $204 million in the year-earlier period. Residential mortgage banking revenues totaled $124 million in the first six months of 2016, down from $154 million in the first half of 2015. New commitments to originate residential real estate loans to be sold were $1.5 billion and $1.9 billion during the first six months of 2016 and 2015, respectively. Realized gains from sales of residential real estate loans and loan servicing rights and recognized unrealized gains and losses on residential real estate loans held for sale, commitments to originate loans for sale and commitments to sell loans totaled to gains of $33 million and $42 million during the six-month periods ended June 30, 2016 and 2015, respectively. Revenues from servicing residential mortgage loans for others were $91 million and $111 million for the first six months of 2016 and 2015, respectively. That decline was attributable to lower sub-servicing revenues that totaled $48 million and $65 million in the 2016 and 2015 periods, respectively. The decline in servicing revenues resulted from lower balances of loans serviced for others. Commercial mortgage banking revenues totaled $47 million and $51 million during the six-month periods ended June 30, 2016 and 2015, respectively. That decrease resulted predominantly from revenues associated with loan origination and sales activities. Commercial real estate loans originated for sale to other investors were $922 million in the first half of 2016, compared with $1.3 billion in the similar 2015 period.</w:t>
      </w:r>
    </w:p>
    <w:p>
      <w:pPr>
        <w:spacing w:after="0" w:line="18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Service charges on deposit accounts totaled $206 million and $208 million during the six-month periods ended June 30, 2016 and 2015, respectively. Trust income aggregated $232 million in the first half of 2016, compared with $242 million in the year-earlier period. That decline was largely attributable to revenues of $9 million associated with the trade processing business sold in April 2015 that were recognized in the first quarter of 2015. Brokerage services income totaled $32 million during each of the first six months of 2016 and 2015. Trading account and foreign exchange activity resulted in gains of $21 million and $12 million for the six-month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84" w:name="page85"/>
    <w:bookmarkEnd w:id="84"/>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periods ended June 30, 2016 and 2015, respectively. That increase was predominantly the result of higher activity related to interest rate swap transactions executed on behalf of commercial customers.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Other revenues from operations were $207 million in the first half of 2016 and $239 million in the year-earlier period. Excluding the $45 million gain on sale of the trade processing business, other revenues from operations were $194 million for the first half of 2015. Included in other revenues from operations were the following significant components. Letter of credit and other credit-related fees totaled $58 million in 2016 and $63 million in 2015. Income from bank owned life insurance was $29 million and $26 million in 2016 and 2015, respectively. Merchant discount and credit card fees aggregated $53 million in 2016 and $50 million in 2015. Insurance-related sales commissions and other revenues totaled $22 million and $19 million in the first six months of 2016 and 2015, respectively. M&amp;T’s investment in BLG resulted in losses of $6 million and $7 million for the first half of 2016 and 2015, respectively. Also contributing to the increase in other revenues from operations in the first half of 2016 as compared with the year-earlier period were higher corporate advisory fees of $4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Other expense totaled $750 million in the second quarter of 2016, compared with $697 million in the year-earlier quarter and $776 million in the first quarter of 2016. Included in those amounts are expenses considered by management to be “nonoperating” in nature consisting of (i) amortization of core deposit and other intangible assets of $11 million in the most recent quarter, $6 million in the second quarter of 2015 and $12 million in the first quarter of 2016 and (ii) merger-related expenses of $13 million in the second quarter of 2016 and $23 million in the first quarter of 2016. There were no merger-related expenses during the second quarter of 2015. Exclusive of those nonoperating expenses, noninterest operating expenses totaled $726 million in the second quarter of 2016, compared with $691 million in the year-earlier quarter and $741 million in the first quarter of 2016. The most significant factors for the higher level of operating expenses in the recent quarter as compared with the second quarter of 2015 was the impact of operations obtained in the Hudson City acquisition and increased Federal Deposit Insurance Corporation (“FDIC”) assessments, which were partially offset by a $40 million cash contribution to The M&amp;T Charitable Foundation in the second quarter of 2015. The recent quarter’s lower level of noninterest operating expenses as compared with 2016’s first quarter was due, in large part, to a decline in personnel costs, including stock-based compensation, which were seasonably higher in the initial 2016 period, offset, in part, by higher professional services costs.</w:t>
      </w:r>
    </w:p>
    <w:p>
      <w:pPr>
        <w:spacing w:after="0" w:line="18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Other expense for the first six months of 2016 aggregated $1.53 billion, compared with $1.38 billion in the year-earlier period. Included in those amounts are expenses considered to be “nonoperating” in nature consisting of amortization of core deposit and other intangible assets of $24 million and $13 million in the six-month periods ended June 30, 2016 and 2015, respectively, and merger-related expenses of $36 million in the first half of 2016. There were no merger-related expenses during the first half of 2015. Exclusive of those nonoperating expenses, noninterest operating expenses for the six-month period ended June 30, 2016 increased 7% to $1.47 billion from $1.37 billion in the first six months of 2015. That $96 million increase was attributable to costs associated with acquired operations of Hudson City. Table 2 provides a reconciliation of other expense to noninterest operating expense.</w:t>
      </w:r>
    </w:p>
    <w:p>
      <w:pPr>
        <w:spacing w:after="0" w:line="16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Salaries and employee benefits expense totaled $399 million in the recent quarter, compared with $362 million in the second quarter of 2015 and $432 million in the initial 2016 quarter. During the first six months of 2016 and 2015, salaries and employee benefits expense aggregated $830 million and $752 million, respectively. As compared with the 2015 periods,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274" w:right="319" w:bottom="1440" w:gutter="0" w:footer="0" w:header="0"/>
        </w:sectPr>
      </w:pPr>
    </w:p>
    <w:bookmarkStart w:id="85" w:name="page86"/>
    <w:bookmarkEnd w:id="8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increases during the three months and six months ended June 30, 2016 were predominantly the result of additional employees associated with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Company’s expanded operations and annual merit increases for employees. The higher level of salaries and employee benefits expense in 2016’s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as compared with the recent quarter reflects the accelerated recognition of compensation costs in the earlier quarter for stock-based awards granted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retirement-eligible employees as well as the seasonally higher unemployment insurance, payroll-related taxes and the Company’s contributions for retirement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savings plan benefits related to annual incentive compensation payments. Stock-based compensation totaled $17 million during each of quarters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2016 and June 30, 2015 and $29 million during the quarter ended March 31, 2016, and $45 million and $44 million for the six-month periods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June 30, 2016 and 2015, respectively. The number of full-time equivalent employees was 16,814 at June 30, 2016, 15,380 at June 30, 2015, 16,979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16,718 at March 31, 2016.</w:t>
      </w:r>
    </w:p>
    <w:p>
      <w:pPr>
        <w:spacing w:after="0" w:line="21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Excluding the nonoperating expenses described earlier from each quarter, nonpersonnel operating expenses were $327 million and $329 million in the quarters ended June 30, 2016 and June 30, 2015, respectively, and $314 million in the first quarter of 2016. On the same basis, such expenses were $641 million and $619 million during the first six months of 2016 and 2015, respectively. The expenses in the 2016 periods as compared with the 2015 periods reflected higher equipment and net occupancy expenses and increased FDIC assessments, each due largely to the impact of the acquisition of Hudson City, partially offset by a $40 million cash contribution made in the second quarter of 2015 to The M&amp;T Charitable Foundation. As compared with the initial 2016 quarter, the recent quarter increase in nonpersonnel operating expenses was largely the result of higher costs for professional services.</w:t>
      </w:r>
    </w:p>
    <w:p>
      <w:pPr>
        <w:spacing w:after="0" w:line="16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efficiency ratio measures the relationship of noninterest operating expenses to revenues. The Company’s efficiency ratio was 55.1% during the recent quarter, compared with 58.2% during the second quarter of 2015 and 57.0% in the first quarter of 2016. The efficiency ratios for the six-month periods ended June 30, 2016 and 2015 were 56.0% and 59.8%, respectively. The calculation of the efficiency ratio is presented in table 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provision for income taxes for the second quarter of 2016 was $194 million, compared with $167 million in the year-earlier quarter and $169 million in the first quarter of 2016. The effective tax rates were 36.6%, 36.8% and 36.2% for the quarters ended June 30, 2016, June 30, 2015 and March 31, 2016, respectively. For the six-month periods ended June 30, 2016 and 2015, the effective tax rates were 36.4% and 36.3%, respectively.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w:t>
      </w:r>
    </w:p>
    <w:p>
      <w:pPr>
        <w:spacing w:after="0" w:line="193"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274" w:right="29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Shareholders’ equity was $16.5 billion at June 30, 2016, representing 13.30% of total assets, compared with $12.7 billion or 13.05% at June 30, 2015 and $16.2 billion or 13.17% at December 31, 2015.</w:t>
      </w:r>
    </w:p>
    <w:p>
      <w:pPr>
        <w:spacing w:after="0" w:line="170"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Included in shareholders’ equity was preferred stock with a financial statement carrying value of $1.2 billion at each of June 30, 2016, June 30, 2015 and December 31, 2015. Further information concerning M&amp;T’s preferred stock can be found in note 6 of Notes to Financial Statements.</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Common shareholders’ equity aggregated $15.2 billion, or $96.49 per share, at June 30, 2016, compared with $11.4 billion, or $85.90 per share, a year earlier and $14.9 billion, or $93.60 per share, at December 31, 2015. In conjunction with the acquisition of Hudson City, M&amp;T issued 25,953,950 common shares, which added $3.1 billion to common shareholders’ equity on November 1, 2015. Tangible equity per common share, which excludes goodwill and core deposit and other intangible assets and applicable deferred tax balances, was $66.95 at June 30, 2016, $59.39 at June 30, 2015 and $64.28 at December 31, 2015. The Company’s ratio of tangible common equity to tangible assets was 8.87% at June 30, 2016, compared with 8.45% a year earlier and 8.69% at December 31, 2015. Reconciliations of total common shareholders’ equity and tangible common equity and total assets and tangible assets as of each of those respective dates are presented in table 2.</w:t>
      </w:r>
    </w:p>
    <w:p>
      <w:pPr>
        <w:spacing w:after="0" w:line="17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net of applicable tax effect, were $193 million, or $1.22 per common share, at June 30, 2016, compared with net unrealized gains of $80 million, or $.60 per common share, at June 30, 2015 and $48 million, or $.30 per common share, at December 31, 2015. The higher unrealized gains at the recent quarter-end as compared with December 31, 2015 resulted largely from lower market yields on the securities in the investment portfolio. Information about unrealized gains and losses as of June 30, 2016 and December 31, 2015 is included in note 3 of Notes to Financial Statements.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Reflected in net unrealized gains at June 30, 2016 were pre-tax effect unrealized losses of $26 million on available-for-sale investment securities with an amortized cost of $399 million and pre-tax effect unrealized gains of $366 million on securities with an amortized cost of $11.2 billion. The pre-tax effect unrealized losses reflect $22 million of losses on trust preferred securities issued by financial institutions having an amortized cost of $125 million and an estimated fair value of $103 million (generally considered Level 2 valuations). Further information concerning the Company’s valuations of available-for-sale investment securities is provided in note 12 of Notes to Financial Statements.</w:t>
      </w:r>
    </w:p>
    <w:p>
      <w:pPr>
        <w:spacing w:after="0" w:line="18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June 30, 2016, based on a review of each of the securities in the investment securities portfolio, the Company concluded that the declines in the values of any securities containing an unrealized loss were temporary and that any additional other-than-temporary impairment charges were not appropriate. It is likely that the Company will be required to sell certain of its collateralized debt obligations backed by trust preferred securities held in the available-for-sale portfolio to comply with the provisions of the Dodd-Frank Act commonly referred to as the “Volcker Rule.” However, the amortized cost and fair value of those collateralized debt obligations were $24 million and $29 million, respectively, at June 30, 2016 and the Company does not expect that it would realize any material losses if it ultimately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70" w:right="259" w:bottom="1440" w:gutter="0" w:footer="0" w:header="0"/>
        </w:sectPr>
      </w:pPr>
    </w:p>
    <w:bookmarkStart w:id="87" w:name="page88"/>
    <w:bookmarkEnd w:id="8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 required to sell such securities. As of that date, the Company did not intend to sell nor is it anticipated that it would be required to sell any of its other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12 of the Notes to Financial Statements.</w:t>
      </w:r>
    </w:p>
    <w:p>
      <w:pPr>
        <w:spacing w:after="0" w:line="16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 assesses impairment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June 30, 2016 and December 31, 2015, the Company had in its held-to-maturity portfolio privately issued mortgage-backed securities with an amortized cost basis of $169 million and $181 million, respectively, and a fair value of $129 million and $142 million, respectively. At June 30, 2016, 85% of the mortgage-backed securities were in the most senior tranche of the securitization structure with 26% being independently rated as investment grade. The mortgage-backed securities are generally collateralized by residential and small-balance commercial real estate loans originated between 2004 and 2008 and had a weighted-average credit enhancement of 16% at June 30, 2016, calculated by dividing the remaining unpaid principal balance of bonds subordinate to the bonds owned by the Company plus any overcollateralization remaining in the securitization structure by the remaining unpaid principal balance of all bonds in the securitization structure. All mortgage-backed securities in the held-to-maturity portfolio had a current payment status as of June 30, 2016. The weighted-average default percentage and loss severity assumptions utilized in the Company’s internal modeling were 31% and 80%, respectively. The Company has concluded that as of June 30, 2016, its privately issued mortgage-backed securities were not other-than-temporarily impaired. Nevertheless, it is possible that adverse changes in the future performance of mortgage loan collateral underlying such securities could impact the Company’s conclusions.</w:t>
      </w:r>
    </w:p>
    <w:p>
      <w:pPr>
        <w:spacing w:after="0" w:line="17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net of applicable tax effect, reduced accumulated other comprehensive income by $289 million, or $1.83 per common share, at June 30, 2016, $295 million, or $2.22 per common share, at June 30, 2015 and $297 million, or $1.86 per common share, at December 31, 2015.</w:t>
      </w:r>
    </w:p>
    <w:p>
      <w:pPr>
        <w:spacing w:after="0" w:line="181"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The Company did not repurchase any shares of its common stock during 2015. However, in accordance with its 2015 Capital Plan, M&amp;T repurchased 948,545 common shares for $100 million in the first quarter of 2016 and 1,319,487 common shares for $154 million in the second quarter of 2016.</w:t>
      </w:r>
    </w:p>
    <w:p>
      <w:pPr>
        <w:spacing w:after="0" w:line="124" w:lineRule="exact"/>
        <w:rPr>
          <w:sz w:val="20"/>
          <w:szCs w:val="20"/>
          <w:color w:val="auto"/>
        </w:rPr>
      </w:pPr>
    </w:p>
    <w:p>
      <w:pPr>
        <w:jc w:val="both"/>
        <w:ind w:right="320" w:firstLine="456"/>
        <w:spacing w:after="0" w:line="312" w:lineRule="auto"/>
        <w:rPr>
          <w:sz w:val="20"/>
          <w:szCs w:val="20"/>
          <w:color w:val="auto"/>
        </w:rPr>
      </w:pPr>
      <w:r>
        <w:rPr>
          <w:rFonts w:ascii="Arial" w:cs="Arial" w:eastAsia="Arial" w:hAnsi="Arial"/>
          <w:sz w:val="16"/>
          <w:szCs w:val="16"/>
          <w:color w:val="auto"/>
        </w:rPr>
        <w:t>On June 29, 2016, M&amp;T announced that the Federal Reserve did not object to M&amp;T’s 2016 Capital Plan. That plan includes the repurchase of up to $1.15 billion of common shares during the four-quarter period starting on July 1, 2016 and an increase in the quarterly common stock dividend in the first quarter of 2017 of up to $.05 per share to $.75 per share. M&amp;T may also continue to pay dividends and interest on other equity and debt instruments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74" w:right="239" w:bottom="1440" w:gutter="0" w:footer="0" w:header="0"/>
        </w:sectPr>
      </w:pPr>
    </w:p>
    <w:bookmarkStart w:id="88" w:name="page89"/>
    <w:bookmarkEnd w:id="8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included in regulatory capital, including preferred stock, trust preferred securities and subordinated debt that were outstanding at December 31, 2015, consistent with the contractual terms of those instruments. Dividends are subject to declaration by M&amp;T’s Board of Directors. Furthermore, on July 19, 2016, M&amp;T’s Board of Directors authorized a new stock repurchase program to repurchase up to $1.15 billion of shares of its common stock subject to all applicable regulatory reporting limitations, including those set forth in M&amp;T’s 2016 Capital Plan. During July 2016, M&amp;T repurchased 1,150,000 shares for $132 million in accordance with that program.</w:t>
      </w:r>
    </w:p>
    <w:p>
      <w:pPr>
        <w:spacing w:after="0" w:line="188"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Cash dividends declared on M&amp;T’s common stock totaled $111 million in the recent quarter, compared with $94 million and $112 million in the quarters ended June 30, 2015 and March 31, 2016, respectively, and represented a quarterly dividend payment of $.70 per common share in each of those periods. Common stock dividends during the six-month periods ended June 30, 2016 and 2015 were $223 million and $187 million, respectively. Cash dividends declared on preferred stock aggregated $20 million in each of the second quarters of 2016 and 2015 and the first quarter of 2016.</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M&amp;T and its subsidiary banks are required to comply with applicable capital adequacy regulations established by the federal banking agencies.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those regulations, the minimum capital ratios are as follows:</w:t>
      </w:r>
    </w:p>
    <w:p>
      <w:pPr>
        <w:spacing w:after="0" w:line="116"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4.5% Common Equity Tier 1 (“CET1”) to risk-weighted assets (each as defined in the capital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6.0% Tier 1 capital (that is, CET1 plus Additional Tier 1 capital) to risk-weighted assets (each as defined in the capital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8.0% Total capital (that is, Tier 1 capital plus Tier 2 capital) to risk-weighted assets (each as defined in the capital regulations); and</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4.0% Tier 1 capital to average consolidated assets as reported on consolidated financial statements (known as the “leverage ratio”), as defined in the regulation.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capital regulations provide for the phase-in of a “capital conservation buffer” composed entirely of CET1 on top of these minimum risk-weighted asset ratios. When fully phased-in on January 1, 2019 the capital conservation buffer will be 2.5%. For 2016, the phased-in transition portion of that buffer is .625%.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regulatory capital ratios of the Company, M&amp;T Bank and Wilmington Trust, N.A. as of June 30, 2016 are presented in the accompanying table.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2016</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540" w:type="dxa"/>
            <w:vAlign w:val="bottom"/>
            <w:gridSpan w:val="2"/>
          </w:tcPr>
          <w:p>
            <w:pPr>
              <w:jc w:val="right"/>
              <w:ind w:right="940"/>
              <w:spacing w:after="0"/>
              <w:rPr>
                <w:sz w:val="20"/>
                <w:szCs w:val="20"/>
                <w:color w:val="auto"/>
              </w:rPr>
            </w:pPr>
            <w:r>
              <w:rPr>
                <w:rFonts w:ascii="Arial" w:cs="Arial" w:eastAsia="Arial" w:hAnsi="Arial"/>
                <w:sz w:val="14"/>
                <w:szCs w:val="14"/>
                <w:color w:val="auto"/>
              </w:rPr>
              <w:t>M&amp;T</w:t>
            </w:r>
          </w:p>
        </w:tc>
        <w:tc>
          <w:tcPr>
            <w:tcW w:w="1140" w:type="dxa"/>
            <w:vAlign w:val="bottom"/>
            <w:gridSpan w:val="2"/>
          </w:tcPr>
          <w:p>
            <w:pPr>
              <w:jc w:val="right"/>
              <w:ind w:right="740"/>
              <w:spacing w:after="0"/>
              <w:rPr>
                <w:sz w:val="20"/>
                <w:szCs w:val="20"/>
                <w:color w:val="auto"/>
              </w:rPr>
            </w:pPr>
            <w:r>
              <w:rPr>
                <w:rFonts w:ascii="Arial" w:cs="Arial" w:eastAsia="Arial" w:hAnsi="Arial"/>
                <w:sz w:val="14"/>
                <w:szCs w:val="14"/>
                <w:color w:val="auto"/>
              </w:rPr>
              <w:t>M&amp;T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Wilmington</w:t>
            </w:r>
          </w:p>
        </w:tc>
      </w:tr>
      <w:tr>
        <w:trPr>
          <w:trHeight w:val="167"/>
        </w:trPr>
        <w:tc>
          <w:tcPr>
            <w:tcW w:w="6000" w:type="dxa"/>
            <w:vAlign w:val="bottom"/>
          </w:tcPr>
          <w:p>
            <w:pPr>
              <w:spacing w:after="0"/>
              <w:rPr>
                <w:sz w:val="14"/>
                <w:szCs w:val="14"/>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4"/>
                <w:szCs w:val="14"/>
                <w:color w:val="auto"/>
                <w:w w:val="92"/>
              </w:rPr>
              <w:t>(Consolidated)</w:t>
            </w:r>
          </w:p>
        </w:tc>
        <w:tc>
          <w:tcPr>
            <w:tcW w:w="1140" w:type="dxa"/>
            <w:vAlign w:val="bottom"/>
            <w:gridSpan w:val="2"/>
          </w:tcPr>
          <w:p>
            <w:pPr>
              <w:jc w:val="right"/>
              <w:ind w:right="760"/>
              <w:spacing w:after="0"/>
              <w:rPr>
                <w:sz w:val="20"/>
                <w:szCs w:val="20"/>
                <w:color w:val="auto"/>
              </w:rPr>
            </w:pPr>
            <w:r>
              <w:rPr>
                <w:rFonts w:ascii="Arial" w:cs="Arial" w:eastAsia="Arial" w:hAnsi="Arial"/>
                <w:sz w:val="14"/>
                <w:szCs w:val="14"/>
                <w:color w:val="auto"/>
              </w:rPr>
              <w:t>Bank</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Trust, N.A.</w:t>
            </w:r>
          </w:p>
        </w:tc>
      </w:tr>
      <w:tr>
        <w:trPr>
          <w:trHeight w:val="88"/>
        </w:trPr>
        <w:tc>
          <w:tcPr>
            <w:tcW w:w="600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11.01%</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11.24%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74.53%</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Tier 1 capital</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12.29%</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11.24%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74.53%</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14.72%</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13.25%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75.20%</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Tier 1 leverage</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9.99%</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9.14%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19.56%</w:t>
            </w:r>
          </w:p>
        </w:tc>
      </w:tr>
    </w:tbl>
    <w:p>
      <w:pPr>
        <w:spacing w:after="0" w:line="187"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Company is also subject to the comprehensive regulatory framework applicable to bank and financial holding companies and their subsidiaries, which includes regular examinations by a number of federal regulators. Regulation of financial institutions such as M&amp;T and its subsidiaries is intended primarily for the protection of depositors, the Deposit Insurance Fund of the FDIC and the banking and financial system as a whole, and generally is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274" w:right="299" w:bottom="1440" w:gutter="0" w:footer="0" w:header="0"/>
        </w:sectPr>
      </w:pPr>
    </w:p>
    <w:bookmarkStart w:id="89" w:name="page90"/>
    <w:bookmarkEnd w:id="89"/>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2015 and Part II, Item 7, “Management’s Discussion and Analysis of Financial Condition and Results of Operations” of that Form 10-K under the heading “Regulatory Oversight.”</w:t>
      </w:r>
    </w:p>
    <w:p>
      <w:pPr>
        <w:spacing w:after="0" w:line="17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June 17, 2013, M&amp;T and M&amp;T Bank entered into a written agreement with the Federal Reserve Bank of New York. Under the terms of the agreement, M&amp;T and M&amp;T Bank were required to submit to the Federal Reserve Bank of New York a revised compliance risk management program designed to ensure compliance with the Bank Secrecy Act and anti-money-laundering laws and regulations (“BSA/AML”) and to take certain other steps to enhance their compliance practices. M&amp;T and M&amp;T Bank have since made substantial progress in implementing a BSA/AML program with significantly expanded scale and scope, as recognized by the Board of Governors of the Federal Reserve System in its Order approving M&amp;T and M&amp;T Bank’s applications to acquire Hudson City and Hudson City Savings Bank. M&amp;T and M&amp;T Bank are continuing to work towards the resolution of all outstanding issues in the written agreement.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 As disclosed in M&amp;T’s Form 10-K for the year ended December 31, 2015, effective July 1, 2015, the Company changed its internal profitability reporting to move a builder and developer lending unit from the Residential Mortgage Banking segment to the Commercial Real Estate segment and, accordingly, the financial information for the Company’s reportable segments for the three-month and six-month periods ended June 30, 2015 have been restated to provide segment information on a comparable basis. Additionally, during the second quarter of 2016, the Company revised its funds transfer pricing allocation related to the residential real estate loans obtained in the acquisition of Hudson City, retroactive to November 1, 2015. Accordingly, financial information for the Discretionary Portfolio segment and the “All Other” category for the three-month period ended March 31, 2016 has been reclassified to conform to the current allocation methodology.</w:t>
      </w:r>
    </w:p>
    <w:p>
      <w:pPr>
        <w:spacing w:after="0" w:line="19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Business Banking segment earned $23 million in the second quarter of 2016, compared with $25 million in each of the three-month periods ended June 30, 2015 and March 31, 2016. As compared with the year-earlier quarter, higher branch network allocated costs largely associated with the acquired Hudson City operations were partially offset by a $3 million increase in net interest income. The higher net interest income resulted largely from an increase in average outstanding deposit balances of $950 million. The decline in net income from 2016’s first quarter reflected an increase in advertising and promotional expenses and other operating expenses. Net income recorded by the Business Banking segment totaled $48 million in the first six months of 2016, compared with $50 million in the year-earlier period. That 4% year-over-year decline was attributable to higher allocated costs primarily associated with the acquired Hudson City branches, largely offset by a $7 million increase in net interest income and a $4 million decline in the provision for credit losses, due to lower net charge-offs. The improvement in net interest income primarily reflected an increase in average outstanding deposit balances of $1.1 billion.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274" w:right="279" w:bottom="1440" w:gutter="0" w:footer="0" w:header="0"/>
        </w:sectPr>
      </w:pPr>
    </w:p>
    <w:bookmarkStart w:id="90" w:name="page91"/>
    <w:bookmarkEnd w:id="90"/>
    <w:p>
      <w:pPr>
        <w:ind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Commercial Banking segment recorded net income of $105 million during the quarter ended June 30, 2016, compared with $108 million in the year-earlier quarter and $101 million in the first quarter of 2016. The 2% decline in net income as compared with the second quarter of 2015 reflected higher volume-related and other costs related to data processing, risk management and other services that were partially offset by an $8 million increase in net interest income. The higher net interest income resulted from increases in average outstanding loan and deposit balances of $1.2 billion and $831 million, respectively, and a widening of the net interest margin on deposits of 10 basis points, partially offset by a narrowing of the net interest margin on loans of 7 basis points. The recent quarter’s 4% rise in net income as compared with the first quarter of 2016 was largely due to $5 million increases in each of corporate customer advisory fees and net interest income and a decline in the provision for credit losses of $4 million, due to lower net charge-offs. The higher net interest income largely reflects an increase in average outstanding loan balances of $710 million. Those favorable factors were offset, in part, by increases in FDIC assessments, data processing expenses, and other miscellaneous operating expenses. Net income earned by the Commercial Banking segment totaled $207 million for the first half of 2016, up slightly from $205 million earned in the similar 2015 period. That improvement reflected a $15 million rise in net interest income and an $8 million decline in the provision for credit losses. The higher net interest income resulted from higher average outstanding balances of loans and deposits of $1.2 billion and $501 million, respectively, and a widening of the net interest margin on deposits of 11 basis points, partially offset by a narrowing of the net interest margin on loans of 8 basis points. Those factors were largely offset by an increase in FDIC assessments of $6 million and higher allocated operating expenses associated with data processing, risk management and other support services provided to the Commercial Banking segment.</w:t>
      </w:r>
    </w:p>
    <w:p>
      <w:pPr>
        <w:spacing w:after="0" w:line="18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Commercial Real Estate segment contributed net income of $84 million in the second quarter of 2016, compared with $83 million in the year-earlier period and $81 million in the first quarter of 2016. The modest improvement in net income as compared with the second quarter of 2015 reflects $5 million increases in each of net interest income and trading account and foreign exchange gains, largely offset by higher FDIC assessments and a decrease in mortgage banking revenues, the result of a decline in origination and sales activities. The higher net interest income resulted from an increase in average outstanding loan balances of $1.7 billion and a widening of the net interest margin on deposits of 13 basis points, partially offset by a narrowing of the net interest margin on loans of 19 basis points. Contributing to the 4% improvement in the recent quarter’s net income as compared with the first quarter of 2016 was a $6 million rise in net interest income and a $5 million increase in trading account and foreign exchange gains. The higher net interest income reflected an increase in average outstanding loan balances of $568 million combined with a 6 basis point widening of the net interest margin on loans. Those favorable factors were partially offset by higher FDIC assessment costs. Net income for the Commercial Real Estate segment totaled $165 million during each of the six-month periods ended June 30, 2016 and 2015. A rise in net interest income of $10 million and higher trading account and foreign exchange gains of $7 million were offset by increased FDIC assessments of $6 million, lower mortgage banking revenues of $3 million and a higher provision for credit losses. The increase in net interest income resulted from higher average outstanding loan balances of $1.6 billion and a widening of the net interest margin on deposits of 14 basis points offset, in part, by a narrowing of the net interest margin on loans of 19 basis points. The higher trading account and foreign exchange gains during the three-month and six-month periods ended June 30, 2016 resulted from increased activity related to interest rate swap transactions executed on behalf of customers.</w:t>
      </w:r>
    </w:p>
    <w:p>
      <w:pPr>
        <w:spacing w:after="0" w:line="18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Discretionary Portfolio segment recorded net income of $46 million during the three-month period ended June 30, 2016, compared with $11 million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274" w:right="259" w:bottom="1440" w:gutter="0" w:footer="0" w:header="0"/>
        </w:sectPr>
      </w:pPr>
    </w:p>
    <w:bookmarkStart w:id="91" w:name="page92"/>
    <w:bookmarkEnd w:id="91"/>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year-earlier period and $55 million in the first quarter of 2016. The significant improvement as compared with the second quarter of 2015 was predominantly due to the impact of residential real estate loans obtained in the acquisition of Hudson City. Partially offsetting that factor were increases in the provision for credit losses and FDIC assessments of $6 million each, and higher loan and other real estate-related servicing costs. The decline in net income in the recent quarter as compared with the immediately preceding quarter resulted from a $9 million decrease in net interest income, lower bank owned life insurance revenues of $4 million and higher FDIC assessments. The lower net interest income predominantly reflected lower average outstanding loan balances of $936 million and a narrowing of the net interest margin on investment securities of 8 basis points. Year-to-date net income for this segment totaled $101 million in 2016 and $17 million in 2015. That significant increase was predominantly the result of residential real estate loans obtained in the acquisition of Hudson City, partially offset by increases in the provision for credit losses and FDIC assessments of $9 million each and higher loan and other real-estate servicing costs.</w:t>
      </w:r>
    </w:p>
    <w:p>
      <w:pPr>
        <w:spacing w:after="0" w:line="19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Net income from the Residential Mortgage Banking segment was $20 million in the recent quarter, compared with $25 million in the second quarter of 2015 and $17 million in the first quarter of 2016. The decline as compared with the year-earlier period was predominantly attributable to lower revenues from subservicing residential real estate loans. The recent quarter’s improved performance as compared with the first quarter of 2016 reflected a $6 million increase in revenues associated with mortgage origination and sales activities (including intersegment revenues) due to higher origination volumes. The Residential Mortgage Banking segment contributed $37 million of net income in the first six months of 2016, compared with $54 million in the corresponding 2015 period. That decline reflected a $9 million decrease in revenues from mortgage origination and sales activities (including intersegment revenues), due to lower origination volumes, and a decline in revenues from subservicing residential real estate loans.</w:t>
      </w:r>
    </w:p>
    <w:p>
      <w:pPr>
        <w:spacing w:after="0" w:line="17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Net income earned by the Retail Banking segment totaled $71 million in the second quarter of 2016, compared with $69 million in the year-earlier quarter and $63 million in the first quarter of 2016. As compared with the second quarter of 2015, the recent quarter’s improved performance resulted from a $41 million rise in net interest income, predominantly due to the impact of deposits obtained in the acquisition of Hudson City, that was largely offset by: a $14 million increase in personnel-related expenses, resulting from the Hudson City acquisition; a $9 million increase in the provision for credit losses, reflecting a $6 million charge-off of a personal usage loan; increased FDIC assessments of $5 million; higher equipment and net occupancy costs of $4 million, reflecting the impact of the Hudson City acquisition, and a $3 million increase in advertising and promotional expenses. The recent quarter’s 13% improvement in net income as compared with the first quarter of 2016 reflected a $17 million decrease in the provision for credit losses, largely due to partial charge-offs recognized in the first quarter of 2016 on loans for which the Company identified that the customer was either bankrupt or deceased, partially offset by increased FDIC assessments. Net income recorded by the Retail Banking segment totaled $135 million in the first half of 2016 and $138 million in 2015. Factors contributing to that 2% decline were increases in: the provision for credit losses of $30 million, due to higher net charge-offs; personnel costs of $29 million, equipment and net occupancy expenses of $8 million and advertising and promotional expenses of $6 million, all predominantly due to the impact of the acquisition of Hudson City; and FDIC assessment costs of $5 million. Those unfavorable factors were largely offset by an $80 million increase in net interest income, predominantly due to the impact of deposits obtained in the acquisition of Hudson City.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92" w:name="page93"/>
    <w:bookmarkEnd w:id="92"/>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“All Other” category reflects other activities of the Company that are not directly attributable to the reported segments. Reflected in this category are the amortization of core deposit and other intangible assets resulting from the acquisitions of financial institutions, including the November 2015 Hudson City transaction, M&amp;T’s share of the operating losses of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the trust income of the Company that reflects the ICS and WAS business activities. The various components of the “All Other” category resulted in net losses totaling $14 million for the quarter ended June 30, 2016, $34 million in the year-earlier quarter and $44 million in the first quarter of 2016. As compared with the year-earlier quarter, the recent quarter reflects the favorable impact from the Company’s allocation methodologies for internal transfers for funding charges and credits associated with earning assets and interest-bearing liabilities of the Company’s reportable segments and the provision for credit losses, and a decrease in allocated FDIC assessments that were partially offset by higher personnel-related costs of $20 million and merger-related expenses aggregating $13 million (there were no such expenses in the second quarter of 2015). Results for the second quarter of 2015 reflected the $45 million pre-tax gain related to the sale of the trade processing business within the retirement services division that was mostly offset by $40 million of tax-deductible cash contributions to The M&amp;T Charitable Foundation. The after-tax impact of those two items lowered net income by approximately $1 million. The reduced net loss in the second quarter of 2016 as compared with the immediately preceding quarter reflected a decrease in personnel-related costs of $29 million (resulting from seasonally higher stock-based incentive compensation, unemployment insurance, payroll-related taxes and other benefits in the initial 2016 quarter), a reduction of merger-related expenses of $11 million, an increase in trust income of $9 million and lower allocated FDIC assessments, partially offset by higher professional services costs of $12 million and the impact from the Company’s allocation methodologies for internal transfers for funding charges and credits associated with earning assets and interest-bearing liabilities of the Company’s reportable segments. The “All Other” category had net losses of $58 million and $100 million for the six months ended June 30, 2016 and 2015, respectively. The improved performance in 2016 was predominantly due to the favorable impact from the Company’s allocation methodologies for internal transfers for funding charges and credits associated with earning assets and interest-bearing liabilities of the Company’s reportable segments, partially offset by $36 million of merger-related expenses (there were no such expenses in the 2015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Effective January 1, 2016, the Company adopted amended accounting guidance relating to the consolidation of variable interest entities to modify the evaluation of whether limited partnerships and similar legal entities are variable interest entities or voting interest entities and to eliminate the presumption that a general partner should consolidate a limited partnership. The amended guidance also eliminates certain conditions in the assessment of whether fees paid by a legal entity to a decision maker or a service provider represent a variable interest in the legal entity and reduces the extent to which related party arrangements cause an entity to be considered a primary beneficiary. The new guidance eliminates the indefinite deferral of existing consolidation guidance for certain investment funds, but provides a scope exception for reporting entities with interests in legal entities that are required to comply with or operate in accordance with requirements similar to those in Rule 2a-7 of the Investment Company Act of 1940 for registered money market funds. The adoption of this guidance did not have a material effect on the Company’s consolidated financial position or results of operations.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274" w:right="279" w:bottom="1440" w:gutter="0" w:footer="0" w:header="0"/>
        </w:sectPr>
      </w:pPr>
    </w:p>
    <w:bookmarkStart w:id="93" w:name="page94"/>
    <w:bookmarkEnd w:id="93"/>
    <w:p>
      <w:pPr>
        <w:ind w:right="28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January 2016, the Company also adopted amended accounting guidance for debt issuance costs. The guidance requires that debt issuance costs related to a recognized debt liability be presented in the balance sheet as a direct deduction from the carrying amount of that debt liability. The adoption of this guidance did not have a material effect on the Company’s consolidated financial position at January 1, 2016.</w:t>
      </w:r>
    </w:p>
    <w:p>
      <w:pPr>
        <w:spacing w:after="0" w:line="16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first quarter of 2016, the Company adopted amended accounting guidance for share-based payments when the terms of an award provide that a performance target could be achieved after the requisite service period. The amended guidance requires that a performance target that affects vesting and that could be achieved after the requisite service period be treated as a performance condition.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total amount of compensation cost recognized during and after the requisite service period should reflect the number of awards that are expected to vest and should be adjusted to reflect those awards that ultimately vest. The requisite service period ends when the employee can cease rendering service and still be eligible to vest in the award if the performance target is achieved. The adoption of this guidance did not have a material effect on the Company’s consolidated financial position or results of operations.</w:t>
      </w:r>
    </w:p>
    <w:p>
      <w:pPr>
        <w:spacing w:after="0" w:line="169" w:lineRule="exact"/>
        <w:rPr>
          <w:sz w:val="20"/>
          <w:szCs w:val="20"/>
          <w:color w:val="auto"/>
        </w:rPr>
      </w:pPr>
    </w:p>
    <w:p>
      <w:pPr>
        <w:ind w:right="300" w:firstLine="456"/>
        <w:spacing w:after="0" w:line="273" w:lineRule="auto"/>
        <w:rPr>
          <w:sz w:val="20"/>
          <w:szCs w:val="20"/>
          <w:color w:val="auto"/>
        </w:rPr>
      </w:pPr>
      <w:r>
        <w:rPr>
          <w:rFonts w:ascii="Arial" w:cs="Arial" w:eastAsia="Arial" w:hAnsi="Arial"/>
          <w:sz w:val="17"/>
          <w:szCs w:val="17"/>
          <w:color w:val="auto"/>
        </w:rPr>
        <w:t>Amended accounting guidance for measurement-period adjustments related to business combinations was also adopted by the Company in the first quarter of 2016. The amended guidance requires that an acquirer recognize adjustments to provisional amounts that are identified during the measurement period in the reporting period in which the adjustment amounts are determined. The acquirer is now required to record, in the same period’s financial statements, the effect on earnings of changes in depreciation, amortization, or other income effects, if any, as a result of the change to the provisional amounts, calculated as if the accounting had been completed at the acquisition date. The adoption of this guidance did not have a material effect on the Company’s consolidated financial position or results of operations.</w:t>
      </w:r>
    </w:p>
    <w:p>
      <w:pPr>
        <w:spacing w:after="0" w:line="17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June 2016, the Financial Accounting Standards Board (“FASB”) issued amended guidance for the measurement of credit losses on certain financial assets. The amended guidance requires financial assets measured at amortized cost to be presented at the net amount expected to be collected. The allowance for credit losses will represent a valuation account that is deducted from the amortized cost basis of the financial assets to present their net carrying value at the amount expected to be collected. The income statement will reflect the measurement of credit losses for newly recognized financial assets as well as expected increases or decreases of expected credit losses that have taken place during the period. When determining the allowance, expected credit losses over the contractual term of the financial asset(s) (taking into account prepayments) will be estimated considering relevant information about past events, current conditions, and reasonable and supportable forecasts that affect the collectibility of the reported amount. The amended guidance also requires recording an allowance for credit losses for purchased financial assets with a more-than-insignificant amount of credit deterioration since origination. The initial allowance for these assets will be added to the purchase price at acquisition rather than being reported as an expense. Subsequent changes in the allowance will be recorded as an expense. In addition, the amended guidance requires credit losses relating to available-for-sale debt securities to be recorded through an allowance for credit losses. The calculation of credit losses for available-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274" w:right="259" w:bottom="1440" w:gutter="0" w:footer="0" w:header="0"/>
        </w:sectPr>
      </w:pPr>
    </w:p>
    <w:bookmarkStart w:id="94" w:name="page95"/>
    <w:bookmarkEnd w:id="94"/>
    <w:p>
      <w:pPr>
        <w:ind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for-sale securities will be similar to how it is determined under existing guidance. The guidance is effective for annual periods and interim periods within those annual periods beginning after December 15, 2019. The Company is evaluating the impact the amended guidance may have on its consolidated financial statements.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March 2016, the FASB issued amended accounting guidance for share-based transactions. The amended guidance requires that all excess tax benefits and tax deficiencies be recognized as income tax expense or benefit in the income statement and that excess tax benefits should be recognized regardless of whether the benefit reduces taxes payable in the current period. The guidance allows an entity to make an accounting policy election to either estimate the number of awards that are expected to vest or account for forfeitures when they occur. The guidance permits share-based awards that allow for the withholding of shares up to the maximum statutory tax ratio in applicable jurisdictions to qualify for equity classification. The previous GAAP threshold was restricted to the employer’s minimum statutory withholding requirements. The guidance also specifies certain changes to the reporting of share-based transactions on the statement of cash flows and is effective for annual periods and interim periods within those annual periods beginning after December 15, 2016. The Company expects adoption of the guidance will result in increased volatility to reported income tax expense related to excess tax benefits and tax deficiencies for share-based transactions, but the actual amounts recognized in tax expense will be dependent on the amount of share-based transactions entered into and the stock price at the time of vesting.</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2016, the FASB issued amended accounting guidance for the transition to the equity method of accounting. The amended guidance eliminates the requirement that when an investment qualifies for use of the equity method as a result of an increase in the level of ownership interest or degree of influence, an investor must adjust the investment, results of operations, and retained earnings retroactively on a step-by-step basis as if the equity method has been in effect during all previous periods that the investment had been held. Instead, the amended guidance requires the investor to adopt the equity method of accounting as of the date the investment first qualifies for such accounting. The guidance is effective for annual periods and interim periods within those annual periods beginning after December 15, 2016. The Company does not expect the guidance to have a material impact on its consolidated financial statements.</w:t>
      </w:r>
    </w:p>
    <w:p>
      <w:pPr>
        <w:spacing w:after="0" w:line="1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March 2016, the FASB issued two amendments to its rules on accounting for derivatives and hedging. The first amendment clarifies that a change in the counterparty to a derivative instrument that has been designated as the hedging instrument does not, in and of itself, require dedesignation of that hedging relationship provided that all other hedge accounting criteria continue to be met. The second amendment clarifies the requirements for assessing whether contingent call (put) options that can accelerate the payment of principal on debt instruments are clearly and closely related to their debt hosts. An entity performing the assessment is required to assess the embedded call (put) options solely in accordance with a four-step decision sequence and no longer has to assess whether the event that triggers the ability to exercise the option is related to interest rates or credit risks. Both amendments are effective for annual periods and interim periods within those annual periods beginning after December 15, 2016, with early adoption permitted. The Company does not expect the guidance will have a material impact on its consolidated financial statements.</w:t>
      </w:r>
    </w:p>
    <w:p>
      <w:pPr>
        <w:spacing w:after="0" w:line="17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February 2016, the FASB issued guidance related to the accounting for leases. The core principle of the guidance is that all leases create an asset and a liability for the lessee and, therefore, lease assets and lease liabilities should be recognized in the balance sheet. Lease assets will be recognized as a right-of-use asset and lease liabilities will be recognized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4" w:right="239" w:bottom="1440" w:gutter="0" w:footer="0" w:header="0"/>
        </w:sectPr>
      </w:pPr>
    </w:p>
    <w:bookmarkStart w:id="95" w:name="page96"/>
    <w:bookmarkEnd w:id="9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liability to make lease payments. While the guidance requires all leases to be recognized in the balance sheet, there continues to be a differentiation between finance leases and operating leases for purposes of income statement recognition and cash flow statement presentation. For finance leases, interest on the lease liability and amortization of the right-of-use asset will be recognized separately in the statement of income. Repayments of principal on those lease liabilities will be classified within financing activities and payments of interest on the lease liability will be classified within operating activities in the statement of cash flows. For operating leases, a single lease cost is recognized in the statement of income and allocated over the lease term, generally on a straight-line basis. All cash payments are presented within operating activities in the statement of cash flows. The accounting applied by lessors is largely unchanged from existing GAAP, however, the guidance eliminates the accounting model for leveraged leases for leases that commence after the effective date of the guidance. The guidance is effective for annual periods beginning after December 15, 2018, including interim periods within those fiscal years. The Company occupies certain banking offices and uses certain equipment under noncancelable operating lease agreements, which currently are not reflected in its consolidated balance sheet. Such leases generally will be required to be presented in the Company’s consolidated balance sheet upon adoption of this guidance. The Company is evaluating the impact the guidance will have on its consolidated financial statements.</w:t>
      </w:r>
    </w:p>
    <w:p>
      <w:pPr>
        <w:spacing w:after="0" w:line="173"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January 2016, the FASB issued amended guidance related to recognition and measurement of financial assets and liabilities. The amended guidance requires that equity investments (excluding those accounted for under the equity method of accounting or those that result in consolidation of the investee) be measured at fair value with changes in fair value recognized in net income. An entity can elect to measure equity investments that do not have readily determinable fair values at cost less impairment, plus or minus changes resulting from observable price changes in orderly transactions for the identical or similar investment of the same issuer. The impairment assessment of equity investments without readily determinable fair values is simplified by requiring a qualitative assessment to identify impairment. When a qualitative assessment indicates impairment exists, an entity is required to measure the investment at fair value. The guidance eliminates the requirement for public business entities to disclose the method and significant assumptions used to estimate the fair value that is required to be disclosed for financial instruments measured at amortized cost on the balance sheet. Further, the guidance requires public entities to use the exit price when measuring the fair value of financial instruments for disclosure purposes. The guidance also requires an entity to present separately in other comprehensive income, a change in the instrument-specific credit risk when the entity has elected to measure a liability at fair value in accordance with the fair value option. Separate presentation of financial assets and liabilities by measurement category and type of instrument on the balance sheet or accompanying notes to the financial statements is required. The guidance also clarifies that an entity should evaluate the need for a valuation allowance on a deferred tax asset related to available-for-sale securities in combination with the entity’s other deferred tax assets. This guidance is effective for annual periods and interim periods within those annual periods beginning after December 15, 2017. The Company is evaluating the impact the guidance could have on its consolidated financial statements.</w:t>
      </w:r>
    </w:p>
    <w:p>
      <w:pPr>
        <w:spacing w:after="0" w:line="18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May 2014, the FASB issued amended accounting and disclosure guidance for revenue from contracts with customers. The core principle of the accounting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a customer; (2) identify the performance obligations in the contract; (3) determine the transaction price; (4) allocate the transaction price to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274" w:right="259" w:bottom="1440" w:gutter="0" w:footer="0" w:header="0"/>
        </w:sectPr>
      </w:pPr>
    </w:p>
    <w:bookmarkStart w:id="96" w:name="page97"/>
    <w:bookmarkEnd w:id="96"/>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obligations in the contract; (5) recognize revenue when (or as) the entity satisfies a performance obligation. The guidance also specifies the accounting for some costs to obtain or fulfill a contract with a customer. The amended disclosure guidance requires sufficient information to enable users of financial statements to understand the nature, amount, timing, and uncertainty of revenue and cash flows arising from contracts with customers. In August 2015, the FASB deferred the effective date of this guidance by one year. The amended guidance is now effective for annual reporting periods beginning after December 15, 2017, including interim periods within that reporting period. The guidance should be applied either retrospectively to each prior reporting period presented or retrospectively with the cumulative effect of initially applying this guidance recognized at the date of initial application. The Company is still evaluating the impact the guidance could have on its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9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88"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274" w:right="259" w:bottom="1440" w:gutter="0" w:footer="0" w:header="0"/>
        </w:sectPr>
      </w:pPr>
    </w:p>
    <w:bookmarkStart w:id="97" w:name="page98"/>
    <w:bookmarkEnd w:id="9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which M&amp;T and its subsidiaries do business, including interest rate and currency exchange rate fluctuations, changes and trends in the securities markets, and other Future Factors.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240" w:top="274" w:right="41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Table 1</w:t>
            </w:r>
          </w:p>
        </w:tc>
        <w:tc>
          <w:tcPr>
            <w:tcW w:w="0" w:type="dxa"/>
            <w:vAlign w:val="bottom"/>
          </w:tcPr>
          <w:p>
            <w:pPr>
              <w:spacing w:after="0"/>
              <w:rPr>
                <w:sz w:val="1"/>
                <w:szCs w:val="1"/>
                <w:color w:val="auto"/>
              </w:rPr>
            </w:pP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4"/>
          </w:tcPr>
          <w:p>
            <w:pPr>
              <w:jc w:val="right"/>
              <w:ind w:right="820"/>
              <w:spacing w:after="0"/>
              <w:rPr>
                <w:sz w:val="20"/>
                <w:szCs w:val="20"/>
                <w:color w:val="auto"/>
              </w:rPr>
            </w:pPr>
            <w:r>
              <w:rPr>
                <w:rFonts w:ascii="Arial" w:cs="Arial" w:eastAsia="Arial" w:hAnsi="Arial"/>
                <w:sz w:val="14"/>
                <w:szCs w:val="14"/>
                <w:color w:val="auto"/>
              </w:rPr>
              <w:t>2016 Quarters</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gridSpan w:val="4"/>
          </w:tcPr>
          <w:p>
            <w:pPr>
              <w:jc w:val="right"/>
              <w:ind w:right="800"/>
              <w:spacing w:after="0"/>
              <w:rPr>
                <w:sz w:val="20"/>
                <w:szCs w:val="20"/>
                <w:color w:val="auto"/>
              </w:rPr>
            </w:pPr>
            <w:r>
              <w:rPr>
                <w:rFonts w:ascii="Arial" w:cs="Arial" w:eastAsia="Arial" w:hAnsi="Arial"/>
                <w:sz w:val="14"/>
                <w:szCs w:val="14"/>
                <w:color w:val="auto"/>
              </w:rPr>
              <w:t>2015 Quarters</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color w:val="auto"/>
                <w:w w:val="92"/>
              </w:rPr>
              <w:t>Second</w:t>
            </w:r>
          </w:p>
        </w:tc>
        <w:tc>
          <w:tcPr>
            <w:tcW w:w="660" w:type="dxa"/>
            <w:vAlign w:val="bottom"/>
            <w:tcBorders>
              <w:top w:val="single" w:sz="8" w:color="auto"/>
            </w:tcBorders>
          </w:tcPr>
          <w:p>
            <w:pPr>
              <w:jc w:val="right"/>
              <w:ind w:right="110"/>
              <w:spacing w:after="0" w:line="142" w:lineRule="exact"/>
              <w:rPr>
                <w:sz w:val="20"/>
                <w:szCs w:val="20"/>
                <w:color w:val="auto"/>
              </w:rPr>
            </w:pPr>
            <w:r>
              <w:rPr>
                <w:rFonts w:ascii="Arial" w:cs="Arial" w:eastAsia="Arial" w:hAnsi="Arial"/>
                <w:sz w:val="14"/>
                <w:szCs w:val="14"/>
                <w:color w:val="auto"/>
              </w:rPr>
              <w:t>First</w:t>
            </w:r>
          </w:p>
        </w:tc>
        <w:tc>
          <w:tcPr>
            <w:tcW w:w="36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color w:val="auto"/>
              </w:rPr>
              <w:t>Fourth</w:t>
            </w:r>
          </w:p>
        </w:tc>
        <w:tc>
          <w:tcPr>
            <w:tcW w:w="102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color w:val="auto"/>
              </w:rPr>
              <w:t>Third</w:t>
            </w:r>
          </w:p>
        </w:tc>
        <w:tc>
          <w:tcPr>
            <w:tcW w:w="102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color w:val="auto"/>
              </w:rPr>
              <w:t>Second</w:t>
            </w:r>
          </w:p>
        </w:tc>
        <w:tc>
          <w:tcPr>
            <w:tcW w:w="660" w:type="dxa"/>
            <w:vAlign w:val="bottom"/>
            <w:tcBorders>
              <w:top w:val="single" w:sz="8" w:color="auto"/>
            </w:tcBorders>
          </w:tcPr>
          <w:p>
            <w:pPr>
              <w:jc w:val="right"/>
              <w:ind w:right="110"/>
              <w:spacing w:after="0" w:line="142" w:lineRule="exact"/>
              <w:rPr>
                <w:sz w:val="20"/>
                <w:szCs w:val="20"/>
                <w:color w:val="auto"/>
              </w:rPr>
            </w:pPr>
            <w:r>
              <w:rPr>
                <w:rFonts w:ascii="Arial" w:cs="Arial" w:eastAsia="Arial" w:hAnsi="Arial"/>
                <w:sz w:val="14"/>
                <w:szCs w:val="14"/>
                <w:color w:val="auto"/>
              </w:rPr>
              <w:t>First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and dividends</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(taxable-equivalent basis)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977,143</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979,166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908,734</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776,274</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766,374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743,925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106,802</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100,870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95,333</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77,199</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77,226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78,499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870,341</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878,296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813,401</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699,075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689,148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665,426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32,000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49,000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58,000</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44,000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30,000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448,254</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420,933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448,108</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439,699</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497,027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440,203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Less: other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749,895</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776,095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786,113</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653,816</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696,628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686,375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536,700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474,134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417,396</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440,958</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459,547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381,254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194,147</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169,274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140,074</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154,309</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166,839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6,522</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6,332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6,357</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6,248</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6,020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336,031</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298,528</w:t>
            </w:r>
          </w:p>
        </w:tc>
        <w:tc>
          <w:tcPr>
            <w:tcW w:w="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270,965</w:t>
            </w:r>
          </w:p>
        </w:tc>
        <w:tc>
          <w:tcPr>
            <w:tcW w:w="3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280,401</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286,688</w:t>
            </w:r>
          </w:p>
        </w:tc>
        <w:tc>
          <w:tcPr>
            <w:tcW w:w="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241,613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shareholders-diluted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312,974</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275,748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248,059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257,346</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263,481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218,837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Per common share data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earnings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1.98</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Diluted earnings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1.98</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1.73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1.65</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1.93</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1.98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157,802</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158,734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150,027</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132,630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132,356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158,341</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159,181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150,718</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133,376</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133,116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132,769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 annualized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Return 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Average common shareholders’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8.38%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7.44%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7.22%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8.93%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9.37%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0"/>
              </w:rPr>
              <w:t>Net interest margin on average earning assets (taxable-equivalent basis)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5"/>
              </w:rPr>
              <w:t>Nonaccrual loans to total loans and leases, net of unearned discount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operating (tangible) results (a)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operating income (in thousands)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350,604</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320,064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337,613</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282,907</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290,341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245,776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Diluted net operating income per common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Annualized return 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Average tangible common shareholders’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12.68%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11.62%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13.26%</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12.98%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13.76%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 (b)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 except per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Average balances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(c)</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123,706</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123,252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115,052</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98,515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97,598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Total tangible assets (c)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119,039</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118,577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110,772</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94,989</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94,067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111,872</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111,211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103,587</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88,446</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87,333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Investment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14,914</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15,348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15,786</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14,441</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14,195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discount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88,155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87,584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81,110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67,849</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67,670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94,033</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92,391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85,657</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73,821</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72,958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shareholders’ equity (c)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15,145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15,047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13,775</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11,555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11,404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Tangible common shareholders’ equity (c)</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10,478</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10,372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9,495</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8,029</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7,873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At end of quarter</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Total assets (c)</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123,821</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124,626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122,788</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97,797</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97,080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98,378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tangible assets (c)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119,157</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119,955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118,109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94,272</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93,552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Earning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112,057</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113,005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110,802</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87,807</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86,990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87,959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14,963</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15,467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15,656</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14,495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14,752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Loans and leases, net of unearned discount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88,522</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87,872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87,489</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68,540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68,131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67,099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94,650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94,215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91,958</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72,945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72,630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73,594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ind w:left="340"/>
              <w:spacing w:after="0" w:line="201" w:lineRule="exact"/>
              <w:rPr>
                <w:sz w:val="20"/>
                <w:szCs w:val="20"/>
                <w:color w:val="auto"/>
              </w:rPr>
            </w:pPr>
            <w:r>
              <w:rPr>
                <w:rFonts w:ascii="Arial" w:cs="Arial" w:eastAsia="Arial" w:hAnsi="Arial"/>
                <w:sz w:val="18"/>
                <w:szCs w:val="18"/>
                <w:color w:val="auto"/>
              </w:rPr>
              <w:t>Common shareholders’ equity, net of undeclared cumulative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520"/>
              <w:spacing w:after="0"/>
              <w:rPr>
                <w:sz w:val="20"/>
                <w:szCs w:val="20"/>
                <w:color w:val="auto"/>
              </w:rPr>
            </w:pPr>
            <w:r>
              <w:rPr>
                <w:rFonts w:ascii="Arial" w:cs="Arial" w:eastAsia="Arial" w:hAnsi="Arial"/>
                <w:sz w:val="18"/>
                <w:szCs w:val="18"/>
                <w:color w:val="auto"/>
              </w:rPr>
              <w:t>preferred dividends (c)</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15,237</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15,120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14,939</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11,687</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11,433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Tangible common shareholders’ equity (c)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10,573</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10,449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10,260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8,162</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7,905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Equity per common 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96.49</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95.00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93.60</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87.67</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85.90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Tangible equity per common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66.95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65.65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64.28</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61.22</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59.39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Market price per common share</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High</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121.11</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119.24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127.39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134.00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128.70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Low</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107.01</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100.08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111.50</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111.86</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117.86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Closing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118.23</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111.00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121.18</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121.95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124.93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right="80" w:hanging="452"/>
        <w:spacing w:after="0" w:line="291" w:lineRule="auto"/>
        <w:tabs>
          <w:tab w:leader="none" w:pos="46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460" w:hanging="452"/>
        <w:spacing w:after="0"/>
        <w:tabs>
          <w:tab w:leader="none" w:pos="460"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Excludes impact of merger-related expenses and net securities transactions.</w:t>
      </w:r>
    </w:p>
    <w:p>
      <w:pPr>
        <w:spacing w:after="0" w:line="9" w:lineRule="exact"/>
        <w:rPr>
          <w:rFonts w:ascii="Arial" w:cs="Arial" w:eastAsia="Arial" w:hAnsi="Arial"/>
          <w:sz w:val="18"/>
          <w:szCs w:val="18"/>
          <w:i w:val="1"/>
          <w:iCs w:val="1"/>
          <w:color w:val="auto"/>
        </w:rPr>
      </w:pPr>
    </w:p>
    <w:p>
      <w:pPr>
        <w:ind w:left="460" w:right="180" w:hanging="452"/>
        <w:spacing w:after="0" w:line="323" w:lineRule="auto"/>
        <w:tabs>
          <w:tab w:leader="none" w:pos="46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ectPr>
          <w:pgSz w:w="11900" w:h="16838" w:orient="portrait"/>
          <w:cols w:equalWidth="0" w:num="1">
            <w:col w:w="11420"/>
          </w:cols>
          <w:pgMar w:left="240" w:top="341" w:right="239" w:bottom="0" w:gutter="0" w:footer="0" w:header="0"/>
        </w:sectPr>
      </w:pPr>
    </w:p>
    <w:bookmarkStart w:id="99" w:name="page100"/>
    <w:bookmarkEnd w:id="99"/>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9019"/>
          </w:cols>
          <w:pgMar w:left="1440" w:top="125" w:right="1440"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3"/>
          </w:tcPr>
          <w:p>
            <w:pPr>
              <w:ind w:left="440"/>
              <w:spacing w:after="0"/>
              <w:rPr>
                <w:sz w:val="20"/>
                <w:szCs w:val="20"/>
                <w:color w:val="auto"/>
              </w:rPr>
            </w:pPr>
            <w:r>
              <w:rPr>
                <w:rFonts w:ascii="Arial" w:cs="Arial" w:eastAsia="Arial" w:hAnsi="Arial"/>
                <w:sz w:val="18"/>
                <w:szCs w:val="18"/>
                <w:color w:val="auto"/>
                <w:w w:val="89"/>
              </w:rPr>
              <w:t>Table 2</w:t>
            </w:r>
          </w:p>
        </w:tc>
        <w:tc>
          <w:tcPr>
            <w:tcW w:w="0" w:type="dxa"/>
            <w:vAlign w:val="bottom"/>
          </w:tcPr>
          <w:p>
            <w:pPr>
              <w:spacing w:after="0"/>
              <w:rPr>
                <w:sz w:val="1"/>
                <w:szCs w:val="1"/>
                <w:color w:val="auto"/>
              </w:rPr>
            </w:pPr>
          </w:p>
        </w:tc>
      </w:tr>
      <w:tr>
        <w:trPr>
          <w:trHeight w:val="432"/>
        </w:trPr>
        <w:tc>
          <w:tcPr>
            <w:tcW w:w="5780" w:type="dxa"/>
            <w:vAlign w:val="bottom"/>
            <w:gridSpan w:val="7"/>
          </w:tcPr>
          <w:p>
            <w:pPr>
              <w:spacing w:after="0"/>
              <w:rPr>
                <w:sz w:val="20"/>
                <w:szCs w:val="20"/>
                <w:color w:val="auto"/>
              </w:rPr>
            </w:pPr>
            <w:r>
              <w:rPr>
                <w:rFonts w:ascii="Arial" w:cs="Arial" w:eastAsia="Arial" w:hAnsi="Arial"/>
                <w:sz w:val="18"/>
                <w:szCs w:val="18"/>
                <w:color w:val="auto"/>
                <w:w w:val="97"/>
              </w:rPr>
              <w:t>RECONCILIATION OF QUARTERLY GAAP TO NON-GAAP MEASURES</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5"/>
          </w:tcPr>
          <w:p>
            <w:pPr>
              <w:jc w:val="right"/>
              <w:ind w:right="940"/>
              <w:spacing w:after="0"/>
              <w:rPr>
                <w:sz w:val="20"/>
                <w:szCs w:val="20"/>
                <w:color w:val="auto"/>
              </w:rPr>
            </w:pPr>
            <w:r>
              <w:rPr>
                <w:rFonts w:ascii="Arial" w:cs="Arial" w:eastAsia="Arial" w:hAnsi="Arial"/>
                <w:sz w:val="14"/>
                <w:szCs w:val="14"/>
                <w:color w:val="auto"/>
              </w:rPr>
              <w:t>2016 Quarters</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gridSpan w:val="4"/>
          </w:tcPr>
          <w:p>
            <w:pPr>
              <w:jc w:val="right"/>
              <w:ind w:right="940"/>
              <w:spacing w:after="0"/>
              <w:rPr>
                <w:sz w:val="20"/>
                <w:szCs w:val="20"/>
                <w:color w:val="auto"/>
              </w:rPr>
            </w:pPr>
            <w:r>
              <w:rPr>
                <w:rFonts w:ascii="Arial" w:cs="Arial" w:eastAsia="Arial" w:hAnsi="Arial"/>
                <w:sz w:val="14"/>
                <w:szCs w:val="14"/>
                <w:color w:val="auto"/>
              </w:rPr>
              <w:t>2015 Quarters</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right"/>
              <w:ind w:right="560"/>
              <w:spacing w:after="0" w:line="142" w:lineRule="exact"/>
              <w:rPr>
                <w:sz w:val="20"/>
                <w:szCs w:val="20"/>
                <w:color w:val="auto"/>
              </w:rPr>
            </w:pPr>
            <w:r>
              <w:rPr>
                <w:rFonts w:ascii="Arial" w:cs="Arial" w:eastAsia="Arial" w:hAnsi="Arial"/>
                <w:sz w:val="14"/>
                <w:szCs w:val="14"/>
                <w:color w:val="auto"/>
              </w:rPr>
              <w:t>Second</w:t>
            </w:r>
          </w:p>
        </w:tc>
        <w:tc>
          <w:tcPr>
            <w:tcW w:w="800" w:type="dxa"/>
            <w:vAlign w:val="bottom"/>
            <w:tcBorders>
              <w:top w:val="single" w:sz="8" w:color="auto"/>
            </w:tcBorders>
          </w:tcPr>
          <w:p>
            <w:pPr>
              <w:jc w:val="right"/>
              <w:ind w:right="170"/>
              <w:spacing w:after="0" w:line="142" w:lineRule="exact"/>
              <w:rPr>
                <w:sz w:val="20"/>
                <w:szCs w:val="20"/>
                <w:color w:val="auto"/>
              </w:rPr>
            </w:pPr>
            <w:r>
              <w:rPr>
                <w:rFonts w:ascii="Arial" w:cs="Arial" w:eastAsia="Arial" w:hAnsi="Arial"/>
                <w:sz w:val="14"/>
                <w:szCs w:val="14"/>
                <w:color w:val="auto"/>
              </w:rPr>
              <w:t>First</w:t>
            </w:r>
          </w:p>
        </w:tc>
        <w:tc>
          <w:tcPr>
            <w:tcW w:w="36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color w:val="auto"/>
              </w:rPr>
              <w:t>Fourth</w:t>
            </w:r>
          </w:p>
        </w:tc>
        <w:tc>
          <w:tcPr>
            <w:tcW w:w="116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color w:val="auto"/>
              </w:rPr>
              <w:t>Third</w:t>
            </w:r>
          </w:p>
        </w:tc>
        <w:tc>
          <w:tcPr>
            <w:tcW w:w="116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color w:val="auto"/>
              </w:rPr>
              <w:t>Second</w:t>
            </w:r>
          </w:p>
        </w:tc>
        <w:tc>
          <w:tcPr>
            <w:tcW w:w="780" w:type="dxa"/>
            <w:vAlign w:val="bottom"/>
            <w:tcBorders>
              <w:top w:val="single" w:sz="8" w:color="auto"/>
            </w:tcBorders>
          </w:tcPr>
          <w:p>
            <w:pPr>
              <w:jc w:val="right"/>
              <w:ind w:right="170"/>
              <w:spacing w:after="0" w:line="142" w:lineRule="exact"/>
              <w:rPr>
                <w:sz w:val="20"/>
                <w:szCs w:val="20"/>
                <w:color w:val="auto"/>
              </w:rPr>
            </w:pPr>
            <w:r>
              <w:rPr>
                <w:rFonts w:ascii="Arial" w:cs="Arial" w:eastAsia="Arial" w:hAnsi="Arial"/>
                <w:sz w:val="14"/>
                <w:szCs w:val="14"/>
                <w:color w:val="auto"/>
              </w:rPr>
              <w:t>First</w:t>
            </w:r>
          </w:p>
        </w:tc>
        <w:tc>
          <w:tcPr>
            <w:tcW w:w="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336,031</w:t>
            </w:r>
          </w:p>
        </w:tc>
        <w:tc>
          <w:tcPr>
            <w:tcW w:w="3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298,528</w:t>
            </w:r>
          </w:p>
        </w:tc>
        <w:tc>
          <w:tcPr>
            <w:tcW w:w="800" w:type="dxa"/>
            <w:vAlign w:val="bottom"/>
          </w:tcPr>
          <w:p>
            <w:pPr>
              <w:jc w:val="right"/>
              <w:spacing w:after="0"/>
              <w:rPr>
                <w:sz w:val="20"/>
                <w:szCs w:val="20"/>
                <w:color w:val="auto"/>
              </w:rPr>
            </w:pPr>
            <w:r>
              <w:rPr>
                <w:rFonts w:ascii="Arial" w:cs="Arial" w:eastAsia="Arial" w:hAnsi="Arial"/>
                <w:sz w:val="18"/>
                <w:szCs w:val="18"/>
                <w:color w:val="auto"/>
              </w:rPr>
              <w:t>270,965</w:t>
            </w:r>
          </w:p>
        </w:tc>
        <w:tc>
          <w:tcPr>
            <w:tcW w:w="3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280,401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286,688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241,613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6"/>
              </w:rPr>
              <w:t>Amortization of core deposit and other intangible assets (a)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6,936</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7,488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2,506</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3,653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Merger-related expenses (a)</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14,048</w:t>
            </w:r>
          </w:p>
        </w:tc>
        <w:tc>
          <w:tcPr>
            <w:tcW w:w="3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60,820</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350,604</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320,064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337,613</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282,907</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290,341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6"/>
              </w:rPr>
              <w:t>Amortization of core deposit and other intangible assets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Diluted net operating earnings per common share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3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749,895</w:t>
            </w:r>
          </w:p>
        </w:tc>
        <w:tc>
          <w:tcPr>
            <w:tcW w:w="3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776,095</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786,113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653,816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696,628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686,375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(11,418)</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(12,319)</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(9,576)</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(4,090)</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Merger-related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(12,593)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(23,162)</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(75,976)</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 operating expense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725,884</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740,614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700,561</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649,726</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690,663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Merger-related expenses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5,274</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51,287</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339</w:t>
            </w:r>
          </w:p>
        </w:tc>
        <w:tc>
          <w:tcPr>
            <w:tcW w:w="3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939</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937</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504</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16,012</w:t>
            </w:r>
          </w:p>
        </w:tc>
        <w:tc>
          <w:tcPr>
            <w:tcW w:w="3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24,182</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12,593</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23,162</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75,976</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12,593</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23,162</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96,976</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Efficiency ratio</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Noninterest operating expense (numerator)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725,884</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740,614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700,561</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649,726</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690,663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Taxable-equivalent net interest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870,341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878,296</w:t>
            </w:r>
          </w:p>
        </w:tc>
        <w:tc>
          <w:tcPr>
            <w:tcW w:w="3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813,401</w:t>
            </w:r>
          </w:p>
        </w:tc>
        <w:tc>
          <w:tcPr>
            <w:tcW w:w="3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699,075</w:t>
            </w:r>
          </w:p>
        </w:tc>
        <w:tc>
          <w:tcPr>
            <w:tcW w:w="3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689,148</w:t>
            </w:r>
          </w:p>
        </w:tc>
        <w:tc>
          <w:tcPr>
            <w:tcW w:w="3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665,426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448,254</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420,933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448,108</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439,699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497,027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Less: Gain (loss) on bank investment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1,318,331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1,299,225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1,261,531</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1,138,774</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1,186,185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1,105,727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Efficiency ratio</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55.06%</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57.00%</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55.53%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57.05%</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58.23%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Average assets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123,706</w:t>
            </w:r>
          </w:p>
        </w:tc>
        <w:tc>
          <w:tcPr>
            <w:tcW w:w="3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123,252</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115,052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98,515</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97,598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95,892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(4,593)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(4,593)</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(4,218)</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(3,513)</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(122)</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(134)</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Average tangible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119,039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118,577</w:t>
            </w:r>
          </w:p>
        </w:tc>
        <w:tc>
          <w:tcPr>
            <w:tcW w:w="3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110,772</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94,989</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94,067</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92,346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common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Average total equity</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16,377</w:t>
            </w:r>
          </w:p>
        </w:tc>
        <w:tc>
          <w:tcPr>
            <w:tcW w:w="3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16,279</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15,007</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12,787</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12,636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(1,232)</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(1,232)</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Average common equity</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15,145</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15,047</w:t>
            </w:r>
          </w:p>
        </w:tc>
        <w:tc>
          <w:tcPr>
            <w:tcW w:w="3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13,775</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11,555</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11,404</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(4,593)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(4,593)</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(4,218)</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(3,513)</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(122)</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(134)</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Average tangible common equity</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10,372</w:t>
            </w:r>
          </w:p>
        </w:tc>
        <w:tc>
          <w:tcPr>
            <w:tcW w:w="3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9,495</w:t>
            </w:r>
          </w:p>
        </w:tc>
        <w:tc>
          <w:tcPr>
            <w:tcW w:w="3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8,029</w:t>
            </w:r>
          </w:p>
        </w:tc>
        <w:tc>
          <w:tcPr>
            <w:tcW w:w="3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7,873</w:t>
            </w:r>
          </w:p>
        </w:tc>
        <w:tc>
          <w:tcPr>
            <w:tcW w:w="3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end of quarter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123,821</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124,626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122,788</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97,797</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97,080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(4,593)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(4,593)</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(4,593)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(3,513)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(3,513)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(117)</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Deferred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tangible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119,157</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119,955</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118,109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94,272</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93,552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Total common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16,472</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16,355</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16,173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12,922</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12,668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(1,232)</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(1,232)</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(1,232)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(1,232)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(1,232)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Undeclared dividends - cumulative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w w:val="94"/>
              </w:rPr>
              <w:t>Common equity, net of undeclared cumulative preferred</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ind w:left="520"/>
              <w:spacing w:after="0"/>
              <w:rPr>
                <w:sz w:val="20"/>
                <w:szCs w:val="20"/>
                <w:color w:val="auto"/>
              </w:rPr>
            </w:pPr>
            <w:r>
              <w:rPr>
                <w:rFonts w:ascii="Arial" w:cs="Arial" w:eastAsia="Arial" w:hAnsi="Arial"/>
                <w:sz w:val="18"/>
                <w:szCs w:val="18"/>
                <w:color w:val="auto"/>
              </w:rPr>
              <w:t>dividends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15,237</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15,120</w:t>
            </w:r>
          </w:p>
        </w:tc>
        <w:tc>
          <w:tcPr>
            <w:tcW w:w="3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14,939</w:t>
            </w:r>
          </w:p>
        </w:tc>
        <w:tc>
          <w:tcPr>
            <w:tcW w:w="3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11,687</w:t>
            </w:r>
          </w:p>
        </w:tc>
        <w:tc>
          <w:tcPr>
            <w:tcW w:w="3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11,433</w:t>
            </w:r>
          </w:p>
        </w:tc>
        <w:tc>
          <w:tcPr>
            <w:tcW w:w="3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(4,593)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(4,593)</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(4,593)</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(3,513)</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(117)</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(128)</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(140)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Total tangible common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10,449</w:t>
            </w:r>
          </w:p>
        </w:tc>
        <w:tc>
          <w:tcPr>
            <w:tcW w:w="3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10,260</w:t>
            </w:r>
          </w:p>
        </w:tc>
        <w:tc>
          <w:tcPr>
            <w:tcW w:w="3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8,162</w:t>
            </w:r>
          </w:p>
        </w:tc>
        <w:tc>
          <w:tcPr>
            <w:tcW w:w="3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7,905</w:t>
            </w:r>
          </w:p>
        </w:tc>
        <w:tc>
          <w:tcPr>
            <w:tcW w:w="3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101" w:name="page102"/>
    <w:bookmarkEnd w:id="101"/>
    <w:p>
      <w:pPr>
        <w:ind w:left="460" w:hanging="452"/>
        <w:spacing w:after="0"/>
        <w:tabs>
          <w:tab w:leader="none" w:pos="460"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After any related tax effect.</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219"/>
          </w:cols>
          <w:pgMar w:left="240" w:top="368"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432"/>
        </w:trPr>
        <w:tc>
          <w:tcPr>
            <w:tcW w:w="7400" w:type="dxa"/>
            <w:vAlign w:val="bottom"/>
            <w:gridSpan w:val="13"/>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5"/>
          </w:tcPr>
          <w:p>
            <w:pPr>
              <w:jc w:val="right"/>
              <w:ind w:right="20"/>
              <w:spacing w:after="0"/>
              <w:rPr>
                <w:sz w:val="20"/>
                <w:szCs w:val="20"/>
                <w:color w:val="auto"/>
              </w:rPr>
            </w:pPr>
            <w:r>
              <w:rPr>
                <w:rFonts w:ascii="Arial" w:cs="Arial" w:eastAsia="Arial" w:hAnsi="Arial"/>
                <w:sz w:val="14"/>
                <w:szCs w:val="14"/>
                <w:color w:val="auto"/>
              </w:rPr>
              <w:t>2016 Second Quarter</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4"/>
          </w:tcPr>
          <w:p>
            <w:pPr>
              <w:ind w:left="580"/>
              <w:spacing w:after="0"/>
              <w:rPr>
                <w:sz w:val="20"/>
                <w:szCs w:val="20"/>
                <w:color w:val="auto"/>
              </w:rPr>
            </w:pPr>
            <w:r>
              <w:rPr>
                <w:rFonts w:ascii="Arial" w:cs="Arial" w:eastAsia="Arial" w:hAnsi="Arial"/>
                <w:sz w:val="14"/>
                <w:szCs w:val="14"/>
                <w:color w:val="auto"/>
                <w:w w:val="98"/>
              </w:rPr>
              <w:t>2016 First Quarter</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4"/>
          </w:tcPr>
          <w:p>
            <w:pPr>
              <w:jc w:val="right"/>
              <w:ind w:right="20"/>
              <w:spacing w:after="0"/>
              <w:rPr>
                <w:sz w:val="20"/>
                <w:szCs w:val="20"/>
                <w:color w:val="auto"/>
              </w:rPr>
            </w:pPr>
            <w:r>
              <w:rPr>
                <w:rFonts w:ascii="Arial" w:cs="Arial" w:eastAsia="Arial" w:hAnsi="Arial"/>
                <w:sz w:val="14"/>
                <w:szCs w:val="14"/>
                <w:color w:val="auto"/>
              </w:rPr>
              <w:t>2015 Fourth Quarter</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8"/>
              </w:rPr>
              <w:t>Average</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Average</w:t>
            </w: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Average</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8"/>
              </w:rPr>
              <w:t>Average</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Average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74"/>
        </w:trPr>
        <w:tc>
          <w:tcPr>
            <w:tcW w:w="40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w w:val="86"/>
              </w:rPr>
              <w:t>Balance</w:t>
            </w:r>
          </w:p>
        </w:tc>
        <w:tc>
          <w:tcPr>
            <w:tcW w:w="20" w:type="dxa"/>
            <w:vAlign w:val="bottom"/>
          </w:tcPr>
          <w:p>
            <w:pPr>
              <w:spacing w:after="0"/>
              <w:rPr>
                <w:sz w:val="15"/>
                <w:szCs w:val="15"/>
                <w:color w:val="auto"/>
              </w:rPr>
            </w:pPr>
          </w:p>
        </w:tc>
        <w:tc>
          <w:tcPr>
            <w:tcW w:w="860" w:type="dxa"/>
            <w:vAlign w:val="bottom"/>
            <w:gridSpan w:val="2"/>
          </w:tcPr>
          <w:p>
            <w:pPr>
              <w:jc w:val="right"/>
              <w:ind w:right="320"/>
              <w:spacing w:after="0" w:line="154" w:lineRule="exact"/>
              <w:rPr>
                <w:sz w:val="20"/>
                <w:szCs w:val="20"/>
                <w:color w:val="auto"/>
              </w:rPr>
            </w:pPr>
            <w:r>
              <w:rPr>
                <w:rFonts w:ascii="Arial" w:cs="Arial" w:eastAsia="Arial" w:hAnsi="Arial"/>
                <w:sz w:val="14"/>
                <w:szCs w:val="14"/>
                <w:color w:val="auto"/>
              </w:rPr>
              <w:t>Interest</w:t>
            </w:r>
          </w:p>
        </w:tc>
        <w:tc>
          <w:tcPr>
            <w:tcW w:w="76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rPr>
              <w:t>Rate</w:t>
            </w:r>
          </w:p>
        </w:tc>
        <w:tc>
          <w:tcPr>
            <w:tcW w:w="82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Balance</w:t>
            </w:r>
          </w:p>
        </w:tc>
        <w:tc>
          <w:tcPr>
            <w:tcW w:w="900" w:type="dxa"/>
            <w:vAlign w:val="bottom"/>
            <w:gridSpan w:val="2"/>
          </w:tcPr>
          <w:p>
            <w:pPr>
              <w:ind w:left="140"/>
              <w:spacing w:after="0" w:line="154" w:lineRule="exact"/>
              <w:rPr>
                <w:sz w:val="20"/>
                <w:szCs w:val="20"/>
                <w:color w:val="auto"/>
              </w:rPr>
            </w:pPr>
            <w:r>
              <w:rPr>
                <w:rFonts w:ascii="Arial" w:cs="Arial" w:eastAsia="Arial" w:hAnsi="Arial"/>
                <w:sz w:val="14"/>
                <w:szCs w:val="14"/>
                <w:color w:val="auto"/>
              </w:rPr>
              <w:t>Interest</w:t>
            </w:r>
          </w:p>
        </w:tc>
        <w:tc>
          <w:tcPr>
            <w:tcW w:w="76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rPr>
              <w:t>Rate</w:t>
            </w:r>
          </w:p>
        </w:tc>
        <w:tc>
          <w:tcPr>
            <w:tcW w:w="820" w:type="dxa"/>
            <w:vAlign w:val="bottom"/>
            <w:gridSpan w:val="2"/>
          </w:tcPr>
          <w:p>
            <w:pPr>
              <w:jc w:val="right"/>
              <w:ind w:right="260"/>
              <w:spacing w:after="0" w:line="154" w:lineRule="exact"/>
              <w:rPr>
                <w:sz w:val="20"/>
                <w:szCs w:val="20"/>
                <w:color w:val="auto"/>
              </w:rPr>
            </w:pPr>
            <w:r>
              <w:rPr>
                <w:rFonts w:ascii="Arial" w:cs="Arial" w:eastAsia="Arial" w:hAnsi="Arial"/>
                <w:sz w:val="14"/>
                <w:szCs w:val="14"/>
                <w:color w:val="auto"/>
              </w:rPr>
              <w:t>Balance</w:t>
            </w:r>
          </w:p>
        </w:tc>
        <w:tc>
          <w:tcPr>
            <w:tcW w:w="860" w:type="dxa"/>
            <w:vAlign w:val="bottom"/>
            <w:gridSpan w:val="2"/>
          </w:tcPr>
          <w:p>
            <w:pPr>
              <w:jc w:val="right"/>
              <w:ind w:right="320"/>
              <w:spacing w:after="0" w:line="154" w:lineRule="exact"/>
              <w:rPr>
                <w:sz w:val="20"/>
                <w:szCs w:val="20"/>
                <w:color w:val="auto"/>
              </w:rPr>
            </w:pPr>
            <w:r>
              <w:rPr>
                <w:rFonts w:ascii="Arial" w:cs="Arial" w:eastAsia="Arial" w:hAnsi="Arial"/>
                <w:sz w:val="14"/>
                <w:szCs w:val="14"/>
                <w:color w:val="auto"/>
              </w:rPr>
              <w:t>Interest</w:t>
            </w:r>
          </w:p>
        </w:tc>
        <w:tc>
          <w:tcPr>
            <w:tcW w:w="680" w:type="dxa"/>
            <w:vAlign w:val="bottom"/>
            <w:gridSpan w:val="2"/>
          </w:tcPr>
          <w:p>
            <w:pPr>
              <w:jc w:val="right"/>
              <w:ind w:right="320"/>
              <w:spacing w:after="0" w:line="154" w:lineRule="exact"/>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Earning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340"/>
              <w:spacing w:after="0"/>
              <w:rPr>
                <w:sz w:val="20"/>
                <w:szCs w:val="20"/>
                <w:color w:val="auto"/>
              </w:rPr>
            </w:pPr>
            <w:r>
              <w:rPr>
                <w:rFonts w:ascii="Arial" w:cs="Arial" w:eastAsia="Arial" w:hAnsi="Arial"/>
                <w:sz w:val="18"/>
                <w:szCs w:val="18"/>
                <w:color w:val="auto"/>
              </w:rPr>
              <w:t>Commercial, financial, etc.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21,450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$184,803</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20,717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174,657</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3.39%</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20,221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164,515</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Real estate - commercial</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30,134</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311,490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29,426</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309,415</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28,973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303,960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340"/>
              <w:spacing w:after="0"/>
              <w:rPr>
                <w:sz w:val="20"/>
                <w:szCs w:val="20"/>
                <w:color w:val="auto"/>
              </w:rPr>
            </w:pPr>
            <w:r>
              <w:rPr>
                <w:rFonts w:ascii="Arial" w:cs="Arial" w:eastAsia="Arial" w:hAnsi="Arial"/>
                <w:sz w:val="18"/>
                <w:szCs w:val="18"/>
                <w:color w:val="auto"/>
              </w:rPr>
              <w:t>Real estate - consumer</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24,858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244,806</w:t>
            </w:r>
          </w:p>
        </w:tc>
        <w:tc>
          <w:tcPr>
            <w:tcW w:w="2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3.94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25,859</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254,144</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3.93</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20,369</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204,420</w:t>
            </w:r>
          </w:p>
        </w:tc>
        <w:tc>
          <w:tcPr>
            <w:tcW w:w="2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11,713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132,437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11,582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130,971</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11,547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129,103</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gridSpan w:val="2"/>
          </w:tcPr>
          <w:p>
            <w:pPr>
              <w:ind w:left="700"/>
              <w:spacing w:after="0"/>
              <w:rPr>
                <w:sz w:val="20"/>
                <w:szCs w:val="20"/>
                <w:color w:val="auto"/>
              </w:rPr>
            </w:pPr>
            <w:r>
              <w:rPr>
                <w:rFonts w:ascii="Arial" w:cs="Arial" w:eastAsia="Arial" w:hAnsi="Arial"/>
                <w:sz w:val="18"/>
                <w:szCs w:val="18"/>
                <w:color w:val="auto"/>
              </w:rPr>
              <w:t>Total loans and leases, net</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88,155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873,536</w:t>
            </w: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87,584</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869,187</w:t>
            </w:r>
          </w:p>
        </w:tc>
        <w:tc>
          <w:tcPr>
            <w:tcW w:w="2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81,110</w:t>
            </w:r>
          </w:p>
        </w:tc>
        <w:tc>
          <w:tcPr>
            <w:tcW w:w="1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801,998</w:t>
            </w:r>
          </w:p>
        </w:tc>
        <w:tc>
          <w:tcPr>
            <w:tcW w:w="2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8,711</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10,993</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8,193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10,337</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Federal funds</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364</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13,906</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84,019</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14,264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90,138</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14,778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89,052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1,009</w:t>
            </w:r>
          </w:p>
        </w:tc>
        <w:tc>
          <w:tcPr>
            <w:tcW w:w="2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4.20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1,164</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4.13</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640" w:type="dxa"/>
            <w:vAlign w:val="bottom"/>
          </w:tcPr>
          <w:p>
            <w:pPr>
              <w:jc w:val="right"/>
              <w:spacing w:after="0"/>
              <w:rPr>
                <w:sz w:val="20"/>
                <w:szCs w:val="20"/>
                <w:color w:val="auto"/>
              </w:rPr>
            </w:pPr>
            <w:r>
              <w:rPr>
                <w:rFonts w:ascii="Arial" w:cs="Arial" w:eastAsia="Arial" w:hAnsi="Arial"/>
                <w:sz w:val="18"/>
                <w:szCs w:val="18"/>
                <w:color w:val="auto"/>
              </w:rPr>
              <w:t>1,419</w:t>
            </w:r>
          </w:p>
        </w:tc>
        <w:tc>
          <w:tcPr>
            <w:tcW w:w="2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7,961</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gridSpan w:val="2"/>
          </w:tcPr>
          <w:p>
            <w:pPr>
              <w:ind w:left="700"/>
              <w:spacing w:after="0"/>
              <w:rPr>
                <w:sz w:val="20"/>
                <w:szCs w:val="20"/>
                <w:color w:val="auto"/>
              </w:rPr>
            </w:pPr>
            <w:r>
              <w:rPr>
                <w:rFonts w:ascii="Arial" w:cs="Arial" w:eastAsia="Arial" w:hAnsi="Arial"/>
                <w:sz w:val="18"/>
                <w:szCs w:val="18"/>
                <w:color w:val="auto"/>
              </w:rPr>
              <w:t>Total investment securities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92,250</w:t>
            </w: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15,348</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99,263</w:t>
            </w:r>
          </w:p>
        </w:tc>
        <w:tc>
          <w:tcPr>
            <w:tcW w:w="2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15,786</w:t>
            </w:r>
          </w:p>
        </w:tc>
        <w:tc>
          <w:tcPr>
            <w:tcW w:w="1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101,486</w:t>
            </w:r>
          </w:p>
        </w:tc>
        <w:tc>
          <w:tcPr>
            <w:tcW w:w="2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earning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111,872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977,143</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111,211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979,166</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103,587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908,734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3"/>
        </w:trPr>
        <w:tc>
          <w:tcPr>
            <w:tcW w:w="408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1,288</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1,348</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11,567</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11,708</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11,064</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123,706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123,252</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115,052</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Interest-checking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1,332</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340"/>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50,515</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20,134</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48,976</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15,891</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45,974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13,219</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12,755</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26,867</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12,999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24,322</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9,686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15,986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34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182</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181</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193</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224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interest-bearing deposits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64,784</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47,582</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63,521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40,820</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57,215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29,756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08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1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2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10,297</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58,077</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10,528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57,888</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10,748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gridSpan w:val="2"/>
          </w:tcPr>
          <w:p>
            <w:pPr>
              <w:ind w:left="700"/>
              <w:spacing w:after="0"/>
              <w:rPr>
                <w:sz w:val="20"/>
                <w:szCs w:val="20"/>
                <w:color w:val="auto"/>
              </w:rPr>
            </w:pPr>
            <w:r>
              <w:rPr>
                <w:rFonts w:ascii="Arial" w:cs="Arial" w:eastAsia="Arial" w:hAnsi="Arial"/>
                <w:sz w:val="18"/>
                <w:szCs w:val="18"/>
                <w:b w:val="1"/>
                <w:bCs w:val="1"/>
                <w:color w:val="auto"/>
              </w:rPr>
              <w:t>Total interest-bearing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76,159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106,802</w:t>
            </w: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76,131</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100,870</w:t>
            </w:r>
          </w:p>
        </w:tc>
        <w:tc>
          <w:tcPr>
            <w:tcW w:w="2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69,578</w:t>
            </w:r>
          </w:p>
        </w:tc>
        <w:tc>
          <w:tcPr>
            <w:tcW w:w="1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95,333</w:t>
            </w:r>
          </w:p>
        </w:tc>
        <w:tc>
          <w:tcPr>
            <w:tcW w:w="2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29,249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28,870</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28,443</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1,921</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1,972</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2,024</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107,329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106,973</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100,045</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16,279</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15,007</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123,706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123,252</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115,052</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8"/>
                <w:szCs w:val="18"/>
                <w:color w:val="auto"/>
              </w:rPr>
              <w:t>Net interest spread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2.95</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3.01</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line="20" w:lineRule="exact"/>
              <w:rPr>
                <w:sz w:val="1"/>
                <w:szCs w:val="1"/>
                <w:color w:val="auto"/>
              </w:rPr>
            </w:pPr>
          </w:p>
        </w:tc>
      </w:tr>
      <w:tr>
        <w:trPr>
          <w:trHeight w:val="210"/>
        </w:trPr>
        <w:tc>
          <w:tcPr>
            <w:tcW w:w="40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8"/>
                <w:szCs w:val="18"/>
                <w:color w:val="auto"/>
              </w:rPr>
              <w:t>Net interest income/margin on earning assets</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870,341</w:t>
            </w:r>
          </w:p>
        </w:tc>
        <w:tc>
          <w:tcPr>
            <w:tcW w:w="2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878,296</w:t>
            </w:r>
          </w:p>
        </w:tc>
        <w:tc>
          <w:tcPr>
            <w:tcW w:w="200" w:type="dxa"/>
            <w:vAlign w:val="bottom"/>
            <w:vMerge w:val="continue"/>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813,401</w:t>
            </w:r>
          </w:p>
        </w:tc>
        <w:tc>
          <w:tcPr>
            <w:tcW w:w="2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4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3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AVERAGE BALANCE SHEETS AND ANNUALIZED TAXABLE-EQUIVALENT RATES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5"/>
          </w:tcPr>
          <w:p>
            <w:pPr>
              <w:spacing w:after="0"/>
              <w:rPr>
                <w:sz w:val="20"/>
                <w:szCs w:val="20"/>
                <w:color w:val="auto"/>
              </w:rPr>
            </w:pPr>
            <w:r>
              <w:rPr>
                <w:rFonts w:ascii="Arial" w:cs="Arial" w:eastAsia="Arial" w:hAnsi="Arial"/>
                <w:sz w:val="14"/>
                <w:szCs w:val="14"/>
                <w:color w:val="auto"/>
              </w:rPr>
              <w:t>2015 Third Quarter</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4"/>
                <w:szCs w:val="14"/>
                <w:color w:val="auto"/>
              </w:rPr>
              <w:t>2015 Second Quarter</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12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Average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8"/>
              </w:rPr>
              <w:t>Average</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5"/>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74"/>
        </w:trPr>
        <w:tc>
          <w:tcPr>
            <w:tcW w:w="4980" w:type="dxa"/>
            <w:vAlign w:val="bottom"/>
            <w:gridSpan w:val="3"/>
            <w:vMerge w:val="continue"/>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gridSpan w:val="2"/>
          </w:tcPr>
          <w:p>
            <w:pPr>
              <w:jc w:val="right"/>
              <w:spacing w:after="0" w:line="154" w:lineRule="exact"/>
              <w:rPr>
                <w:sz w:val="20"/>
                <w:szCs w:val="20"/>
                <w:color w:val="auto"/>
              </w:rPr>
            </w:pPr>
            <w:r>
              <w:rPr>
                <w:rFonts w:ascii="Arial" w:cs="Arial" w:eastAsia="Arial" w:hAnsi="Arial"/>
                <w:sz w:val="14"/>
                <w:szCs w:val="14"/>
                <w:color w:val="auto"/>
                <w:w w:val="98"/>
              </w:rPr>
              <w:t>Balance</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ind w:left="100"/>
              <w:spacing w:after="0" w:line="154" w:lineRule="exact"/>
              <w:rPr>
                <w:sz w:val="20"/>
                <w:szCs w:val="20"/>
                <w:color w:val="auto"/>
              </w:rPr>
            </w:pPr>
            <w:r>
              <w:rPr>
                <w:rFonts w:ascii="Arial" w:cs="Arial" w:eastAsia="Arial" w:hAnsi="Arial"/>
                <w:sz w:val="14"/>
                <w:szCs w:val="14"/>
                <w:color w:val="auto"/>
              </w:rPr>
              <w:t>Interest</w:t>
            </w:r>
          </w:p>
        </w:tc>
        <w:tc>
          <w:tcPr>
            <w:tcW w:w="860" w:type="dxa"/>
            <w:vAlign w:val="bottom"/>
            <w:gridSpan w:val="2"/>
          </w:tcPr>
          <w:p>
            <w:pPr>
              <w:jc w:val="right"/>
              <w:ind w:right="500"/>
              <w:spacing w:after="0" w:line="154" w:lineRule="exact"/>
              <w:rPr>
                <w:sz w:val="20"/>
                <w:szCs w:val="20"/>
                <w:color w:val="auto"/>
              </w:rPr>
            </w:pPr>
            <w:r>
              <w:rPr>
                <w:rFonts w:ascii="Arial" w:cs="Arial" w:eastAsia="Arial" w:hAnsi="Arial"/>
                <w:sz w:val="14"/>
                <w:szCs w:val="14"/>
                <w:color w:val="auto"/>
              </w:rPr>
              <w:t>Rate</w:t>
            </w:r>
          </w:p>
        </w:tc>
        <w:tc>
          <w:tcPr>
            <w:tcW w:w="860" w:type="dxa"/>
            <w:vAlign w:val="bottom"/>
            <w:gridSpan w:val="2"/>
          </w:tcPr>
          <w:p>
            <w:pPr>
              <w:jc w:val="right"/>
              <w:ind w:right="340"/>
              <w:spacing w:after="0" w:line="154" w:lineRule="exact"/>
              <w:rPr>
                <w:sz w:val="20"/>
                <w:szCs w:val="20"/>
                <w:color w:val="auto"/>
              </w:rPr>
            </w:pPr>
            <w:r>
              <w:rPr>
                <w:rFonts w:ascii="Arial" w:cs="Arial" w:eastAsia="Arial" w:hAnsi="Arial"/>
                <w:sz w:val="14"/>
                <w:szCs w:val="14"/>
                <w:color w:val="auto"/>
                <w:w w:val="98"/>
              </w:rPr>
              <w:t>Balance</w:t>
            </w:r>
          </w:p>
        </w:tc>
        <w:tc>
          <w:tcPr>
            <w:tcW w:w="94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Interest</w:t>
            </w:r>
          </w:p>
        </w:tc>
        <w:tc>
          <w:tcPr>
            <w:tcW w:w="680" w:type="dxa"/>
            <w:vAlign w:val="bottom"/>
            <w:gridSpan w:val="2"/>
          </w:tcPr>
          <w:p>
            <w:pPr>
              <w:jc w:val="right"/>
              <w:ind w:right="320"/>
              <w:spacing w:after="0" w:line="154" w:lineRule="exact"/>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20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Earning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Commercial, financial, etc.</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19,939</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$161,709</w:t>
            </w:r>
          </w:p>
        </w:tc>
        <w:tc>
          <w:tcPr>
            <w:tcW w:w="2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3.22%</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19,973</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158,109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Real estate - commercial</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28,309</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302,626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4.18</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28,208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298,565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Real estate - consumer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8,348</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87,047</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4.17</w:t>
            </w:r>
          </w:p>
        </w:tc>
        <w:tc>
          <w:tcPr>
            <w:tcW w:w="560" w:type="dxa"/>
            <w:vAlign w:val="bottom"/>
          </w:tcPr>
          <w:p>
            <w:pPr>
              <w:jc w:val="right"/>
              <w:spacing w:after="0"/>
              <w:rPr>
                <w:sz w:val="20"/>
                <w:szCs w:val="20"/>
                <w:color w:val="auto"/>
              </w:rPr>
            </w:pPr>
            <w:r>
              <w:rPr>
                <w:rFonts w:ascii="Arial" w:cs="Arial" w:eastAsia="Arial" w:hAnsi="Arial"/>
                <w:sz w:val="18"/>
                <w:szCs w:val="18"/>
                <w:color w:val="auto"/>
              </w:rPr>
              <w:t>8,447</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88,473</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11,253</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126,369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11,042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122,812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gridSpan w:val="2"/>
          </w:tcPr>
          <w:p>
            <w:pPr>
              <w:ind w:left="700"/>
              <w:spacing w:after="0"/>
              <w:rPr>
                <w:sz w:val="20"/>
                <w:szCs w:val="20"/>
                <w:color w:val="auto"/>
              </w:rPr>
            </w:pPr>
            <w:r>
              <w:rPr>
                <w:rFonts w:ascii="Arial" w:cs="Arial" w:eastAsia="Arial" w:hAnsi="Arial"/>
                <w:sz w:val="18"/>
                <w:szCs w:val="18"/>
                <w:color w:val="auto"/>
              </w:rPr>
              <w:t>Total loans and leases, net</w:t>
            </w:r>
          </w:p>
        </w:tc>
        <w:tc>
          <w:tcPr>
            <w:tcW w:w="1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67,849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677,751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67,670</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667,959</w:t>
            </w:r>
          </w:p>
        </w:tc>
        <w:tc>
          <w:tcPr>
            <w:tcW w:w="3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3,852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3,351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Federal funds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13,548</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86,152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2.52</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13,265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83,356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138</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1,398</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4.03</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1,607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6,996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3.68</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9,853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gridSpan w:val="2"/>
          </w:tcPr>
          <w:p>
            <w:pPr>
              <w:ind w:left="700"/>
              <w:spacing w:after="0"/>
              <w:rPr>
                <w:sz w:val="20"/>
                <w:szCs w:val="20"/>
                <w:color w:val="auto"/>
              </w:rPr>
            </w:pPr>
            <w:r>
              <w:rPr>
                <w:rFonts w:ascii="Arial" w:cs="Arial" w:eastAsia="Arial" w:hAnsi="Arial"/>
                <w:sz w:val="18"/>
                <w:szCs w:val="18"/>
                <w:color w:val="auto"/>
              </w:rPr>
              <w:t>Total investment securities</w:t>
            </w:r>
          </w:p>
        </w:tc>
        <w:tc>
          <w:tcPr>
            <w:tcW w:w="1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14,441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94,546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14,195</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94,816</w:t>
            </w:r>
          </w:p>
        </w:tc>
        <w:tc>
          <w:tcPr>
            <w:tcW w:w="3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earning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88,446</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776,274</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3.48</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87,333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766,374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3"/>
        </w:trPr>
        <w:tc>
          <w:tcPr>
            <w:tcW w:w="498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9,788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10,014</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98,515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97,598</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3"/>
            <w:vMerge w:val="continue"/>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Interest-checking deposits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Savings deposits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41,197</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10,937</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41,712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10,361</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3,643</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Deposits at Cayman Islands office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w:t>
            </w:r>
          </w:p>
        </w:tc>
        <w:tc>
          <w:tcPr>
            <w:tcW w:w="30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212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interest-bearing deposits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45,570</w:t>
            </w:r>
          </w:p>
        </w:tc>
        <w:tc>
          <w:tcPr>
            <w:tcW w:w="300" w:type="dxa"/>
            <w:vAlign w:val="bottom"/>
            <w:gridSpan w:val="2"/>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46,205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14,550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98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10,114</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62,076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2.44</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10,164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62,640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gridSpan w:val="2"/>
          </w:tcPr>
          <w:p>
            <w:pPr>
              <w:ind w:left="700"/>
              <w:spacing w:after="0"/>
              <w:rPr>
                <w:sz w:val="20"/>
                <w:szCs w:val="20"/>
                <w:color w:val="auto"/>
              </w:rPr>
            </w:pPr>
            <w:r>
              <w:rPr>
                <w:rFonts w:ascii="Arial" w:cs="Arial" w:eastAsia="Arial" w:hAnsi="Arial"/>
                <w:sz w:val="18"/>
                <w:szCs w:val="18"/>
                <w:b w:val="1"/>
                <w:bCs w:val="1"/>
                <w:color w:val="auto"/>
              </w:rPr>
              <w:t>Total interest-bearing liabilities</w:t>
            </w:r>
          </w:p>
        </w:tc>
        <w:tc>
          <w:tcPr>
            <w:tcW w:w="1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55,858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77,199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56,564</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77,226</w:t>
            </w:r>
          </w:p>
        </w:tc>
        <w:tc>
          <w:tcPr>
            <w:tcW w:w="3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28,251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26,753</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85,728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84,962</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12,787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12,636</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 and shareholders’ equity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98,515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97,598</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spacing w:after="0"/>
              <w:rPr>
                <w:sz w:val="20"/>
                <w:szCs w:val="20"/>
                <w:color w:val="auto"/>
              </w:rPr>
            </w:pPr>
            <w:r>
              <w:rPr>
                <w:rFonts w:ascii="Arial" w:cs="Arial" w:eastAsia="Arial" w:hAnsi="Arial"/>
                <w:sz w:val="18"/>
                <w:szCs w:val="18"/>
                <w:color w:val="auto"/>
              </w:rPr>
              <w:t>Net interest spread</w:t>
            </w: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2.93</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line="20" w:lineRule="exact"/>
              <w:rPr>
                <w:sz w:val="1"/>
                <w:szCs w:val="1"/>
                <w:color w:val="auto"/>
              </w:rPr>
            </w:pPr>
          </w:p>
        </w:tc>
      </w:tr>
      <w:tr>
        <w:trPr>
          <w:trHeight w:val="210"/>
        </w:trPr>
        <w:tc>
          <w:tcPr>
            <w:tcW w:w="4980" w:type="dxa"/>
            <w:vAlign w:val="bottom"/>
            <w:gridSpan w:val="3"/>
            <w:vMerge w:val="continue"/>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3"/>
          </w:tcPr>
          <w:p>
            <w:pPr>
              <w:spacing w:after="0"/>
              <w:rPr>
                <w:sz w:val="20"/>
                <w:szCs w:val="20"/>
                <w:color w:val="auto"/>
              </w:rPr>
            </w:pPr>
            <w:r>
              <w:rPr>
                <w:rFonts w:ascii="Arial" w:cs="Arial" w:eastAsia="Arial" w:hAnsi="Arial"/>
                <w:sz w:val="18"/>
                <w:szCs w:val="18"/>
                <w:color w:val="auto"/>
              </w:rPr>
              <w:t>Net interest income/margin on earning assets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699,075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3.14%</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689,148</w:t>
            </w:r>
          </w:p>
        </w:tc>
        <w:tc>
          <w:tcPr>
            <w:tcW w:w="3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41" w:right="239" w:bottom="1440" w:gutter="0" w:footer="0" w:header="0"/>
        </w:sectPr>
      </w:pPr>
    </w:p>
    <w:bookmarkStart w:id="104" w:name="page105"/>
    <w:bookmarkEnd w:id="104"/>
    <w:p>
      <w:pPr>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3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Controls and Procedures.</w:t>
      </w:r>
    </w:p>
    <w:p>
      <w:pPr>
        <w:spacing w:after="0" w:line="117" w:lineRule="exact"/>
        <w:rPr>
          <w:sz w:val="20"/>
          <w:szCs w:val="20"/>
          <w:color w:val="auto"/>
        </w:rPr>
      </w:pPr>
    </w:p>
    <w:p>
      <w:pPr>
        <w:ind w:right="60" w:firstLine="464"/>
        <w:spacing w:after="0" w:line="312" w:lineRule="auto"/>
        <w:tabs>
          <w:tab w:leader="none" w:pos="701" w:val="left"/>
        </w:tabs>
        <w:numPr>
          <w:ilvl w:val="0"/>
          <w:numId w:val="78"/>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Darren J. King, Executive Vice President and Chief Financial Officer, concluded that M&amp;T’s disclosure controls and procedures were effective as of June 30, 2016.</w:t>
      </w:r>
    </w:p>
    <w:p>
      <w:pPr>
        <w:spacing w:after="0" w:line="146" w:lineRule="exact"/>
        <w:rPr>
          <w:rFonts w:ascii="Arial" w:cs="Arial" w:eastAsia="Arial" w:hAnsi="Arial"/>
          <w:sz w:val="16"/>
          <w:szCs w:val="16"/>
          <w:color w:val="auto"/>
        </w:rPr>
      </w:pPr>
    </w:p>
    <w:p>
      <w:pPr>
        <w:ind w:firstLine="464"/>
        <w:spacing w:after="0" w:line="279" w:lineRule="auto"/>
        <w:tabs>
          <w:tab w:leader="none" w:pos="711" w:val="left"/>
        </w:tabs>
        <w:numPr>
          <w:ilvl w:val="0"/>
          <w:numId w:val="78"/>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June 30, 2016 that have materially affected, or are reasonably likely to materially affect, M&amp;T’s internal control over financial reporting.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Legal Proceedings.</w:t>
      </w:r>
    </w:p>
    <w:p>
      <w:pPr>
        <w:spacing w:after="0" w:line="11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Wilmington Trust Corporation Investigative and Litigation Matters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M&amp;T’s Wilmington Trust Corporation subsidiary is the subject of certain governmental investigations arising from actions undertaken by Wilmington Trust Corporation prior to M&amp;T’s acquisition of Wilmington Trust Corporation and its subsidiaries, as set forth below.</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DOJ Investigation (United States v. Wilmington Trust Corp., et al, District of Delaware, Crim. No. 15-23-RGA): </w:t>
      </w:r>
      <w:r>
        <w:rPr>
          <w:rFonts w:ascii="Arial" w:cs="Arial" w:eastAsia="Arial" w:hAnsi="Arial"/>
          <w:sz w:val="18"/>
          <w:szCs w:val="18"/>
          <w:color w:val="auto"/>
        </w:rPr>
        <w:t>Prior to M&amp;T’s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Wilmington Trust Corporation, the Department of Justice (“DOJ”) commenced an investigation of Wilmington Trust Corporation, relating to Wilmington Trust Corporation’s financial reporting and securities filings, as well as certain commercial real estate lending relationships involving its subsidiary bank, Wilmington Trust Company, all of which relate to filings and activities occurring prior to the acquisition of Wilmington Trust Corporation by M&amp;T. On January 6, 2016, the U.S. Attorney for the District of Delaware obtained an indictment against Wilmington Trust Corporation relating to alleged conduct that occurred prior to M&amp;T’s acquisition of Wilmington Trust Corporation 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274" w:right="259" w:bottom="1440" w:gutter="0" w:footer="0" w:header="0"/>
        </w:sectPr>
      </w:pPr>
    </w:p>
    <w:bookmarkStart w:id="105" w:name="page106"/>
    <w:bookmarkEnd w:id="105"/>
    <w:p>
      <w:pPr>
        <w:jc w:val="both"/>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2011. M&amp;T strongly believes that this unprecedented action is unjustified and Wilmington Trust Corporation will vigorously defend itself. Trial in this matter is scheduled to begin on January 17, 2017. Wilmington Trust Corporation and its counsel are currently involved in pretrial discovery, motion practice and trial preparation.</w:t>
      </w:r>
    </w:p>
    <w:p>
      <w:pPr>
        <w:spacing w:after="0" w:line="181"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The indictment of Wilmington Trust Corporation could result in potential criminal remedies, or criminal or non-criminal resolutions or settlements, including, among other things, enforcement actions, potential statutory or regulatory restrictions on the ability to conduct certain businesses (for which waivers may or may not be available), fines, penalties, restitution, reputational damage or additional costs and expenses.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In Re Wilmington Trust Securities Litigation (U.S. District Court, District of Delaware, Case No. 10-CV-0990-SLR) : </w:t>
      </w:r>
      <w:r>
        <w:rPr>
          <w:rFonts w:ascii="Arial" w:cs="Arial" w:eastAsia="Arial" w:hAnsi="Arial"/>
          <w:sz w:val="18"/>
          <w:szCs w:val="18"/>
          <w:color w:val="auto"/>
        </w:rPr>
        <w:t>Beginning on November 18,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2010, a series of parties, purporting to be class representatives, commenced a putative class action lawsuit against Wilmington Trust Corporation, alleging that Wilmington Trust Corporation’s financial reporting and securities filings were in violation of securities laws. The cases were consolidated and Wilmington Trust Corporation moved to dismiss. The Court issued an order denying Wilmington Trust Corporation’s motion to dismiss on March 20, 2014. Fact discovery commenced. On April 13, 2016, the Court issued an order staying fact discovery in the case pending completion of the trial in </w:t>
      </w:r>
      <w:r>
        <w:rPr>
          <w:rFonts w:ascii="Arial" w:cs="Arial" w:eastAsia="Arial" w:hAnsi="Arial"/>
          <w:sz w:val="18"/>
          <w:szCs w:val="18"/>
          <w:i w:val="1"/>
          <w:iCs w:val="1"/>
          <w:color w:val="auto"/>
        </w:rPr>
        <w:t>U.S. v. Wilmington</w:t>
      </w:r>
      <w:r>
        <w:rPr>
          <w:rFonts w:ascii="Arial" w:cs="Arial" w:eastAsia="Arial" w:hAnsi="Arial"/>
          <w:sz w:val="18"/>
          <w:szCs w:val="18"/>
          <w:color w:val="auto"/>
        </w:rPr>
        <w:t xml:space="preserve"> </w:t>
      </w:r>
      <w:r>
        <w:rPr>
          <w:rFonts w:ascii="Arial" w:cs="Arial" w:eastAsia="Arial" w:hAnsi="Arial"/>
          <w:sz w:val="18"/>
          <w:szCs w:val="18"/>
          <w:i w:val="1"/>
          <w:iCs w:val="1"/>
          <w:color w:val="auto"/>
        </w:rPr>
        <w:t>Trust Corp., et 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previously disclosed by the Company in its public filings, including its report on Form 10-Q for the quarter ended March 31, 2016, the Company had been cooperating with the DOJ and the Department of Housing and Urban Development (“HUD”), which had been reviewing M&amp;T Bank’s participation in the Federal Housing Administration loan program. Also, as previously disclosed in the Company’s public filings, M&amp;T Bank entered into a settlement agreement with the DOJ on behalf of HUD. Management of M&amp;T Bank determined to settle this matter for $64 million, without admitting liability, in order to avoid the expense of potential litigation. On May 20, 2016, the United States District Court for the Western District of New York entered an order dismissing the matter. As previously disclosed, this settlement did not have a material impact on the Company’s consolidated financial condition or results of operations.</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Due to their complex nature, it is difficult to estimate when litigation and investigatory matters such as these may be resolved. As set forth in the introductory paragraph to this Item 1 — Legal 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above.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74" w:right="239" w:bottom="1440" w:gutter="0" w:footer="0" w:header="0"/>
        </w:sectPr>
      </w:pPr>
    </w:p>
    <w:bookmarkStart w:id="106" w:name="page107"/>
    <w:bookmarkEnd w:id="106"/>
    <w:p>
      <w:pPr>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1A.</w:t>
      </w:r>
      <w:r>
        <w:rPr>
          <w:sz w:val="20"/>
          <w:szCs w:val="20"/>
          <w:color w:val="auto"/>
        </w:rPr>
        <w:tab/>
      </w:r>
      <w:r>
        <w:rPr>
          <w:rFonts w:ascii="Arial" w:cs="Arial" w:eastAsia="Arial" w:hAnsi="Arial"/>
          <w:sz w:val="16"/>
          <w:szCs w:val="16"/>
          <w:color w:val="auto"/>
        </w:rPr>
        <w:t>Risk Factors.</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2015.</w:t>
      </w:r>
    </w:p>
    <w:p>
      <w:pPr>
        <w:spacing w:after="0" w:line="3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117" w:lineRule="exact"/>
        <w:rPr>
          <w:sz w:val="20"/>
          <w:szCs w:val="20"/>
          <w:color w:val="auto"/>
        </w:rPr>
      </w:pPr>
    </w:p>
    <w:p>
      <w:pPr>
        <w:ind w:left="700" w:hanging="236"/>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(b) Not applicable.</w:t>
      </w:r>
    </w:p>
    <w:p>
      <w:pPr>
        <w:spacing w:after="0" w:line="225" w:lineRule="exact"/>
        <w:rPr>
          <w:rFonts w:ascii="Arial" w:cs="Arial" w:eastAsia="Arial" w:hAnsi="Arial"/>
          <w:sz w:val="18"/>
          <w:szCs w:val="18"/>
          <w:color w:val="auto"/>
        </w:rPr>
      </w:pPr>
    </w:p>
    <w:p>
      <w:pPr>
        <w:spacing w:after="0"/>
        <w:tabs>
          <w:tab w:leader="none" w:pos="0" w:val="left"/>
        </w:tabs>
        <w:numPr>
          <w:ilvl w:val="0"/>
          <w:numId w:val="80"/>
        </w:numPr>
        <w:rPr>
          <w:rFonts w:ascii="Arial" w:cs="Arial" w:eastAsia="Arial" w:hAnsi="Arial"/>
          <w:sz w:val="18"/>
          <w:szCs w:val="18"/>
          <w:color w:val="auto"/>
        </w:rPr>
      </w:pP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Issuer Purchases of Equity Securities</w:t>
      </w:r>
    </w:p>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6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(d)Maximum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6"/>
              </w:rPr>
              <w:t>(c)Total</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Number of</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5"/>
              </w:rPr>
              <w:t>Shares</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7"/>
              </w:rPr>
              <w:t>(or Units)</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9"/>
              </w:rPr>
              <w:t>Purchased</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5"/>
              </w:rPr>
              <w:t>(a)Total</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as Part of</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6"/>
              </w:rPr>
              <w:t>Number</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(b)Average</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9"/>
              </w:rPr>
              <w:t>Publicly</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0"/>
              </w:rPr>
              <w:t>of Shares</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Price Paid</w:t>
            </w: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3"/>
              </w:rPr>
              <w:t>Announced</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Under the</w:t>
            </w:r>
          </w:p>
        </w:tc>
        <w:tc>
          <w:tcPr>
            <w:tcW w:w="0" w:type="dxa"/>
            <w:vAlign w:val="bottom"/>
          </w:tcPr>
          <w:p>
            <w:pPr>
              <w:spacing w:after="0"/>
              <w:rPr>
                <w:sz w:val="1"/>
                <w:szCs w:val="1"/>
                <w:color w:val="auto"/>
              </w:rPr>
            </w:pPr>
          </w:p>
        </w:tc>
      </w:tr>
      <w:tr>
        <w:trPr>
          <w:trHeight w:val="149"/>
        </w:trPr>
        <w:tc>
          <w:tcPr>
            <w:tcW w:w="6060" w:type="dxa"/>
            <w:vAlign w:val="bottom"/>
            <w:gridSpan w:val="3"/>
            <w:vMerge w:val="restart"/>
          </w:tcPr>
          <w:p>
            <w:pPr>
              <w:spacing w:after="0"/>
              <w:rPr>
                <w:sz w:val="20"/>
                <w:szCs w:val="20"/>
                <w:color w:val="auto"/>
              </w:rPr>
            </w:pPr>
            <w:r>
              <w:rPr>
                <w:rFonts w:ascii="Arial" w:cs="Arial" w:eastAsia="Arial" w:hAnsi="Arial"/>
                <w:sz w:val="14"/>
                <w:szCs w:val="14"/>
                <w:color w:val="auto"/>
              </w:rPr>
              <w:t>Period</w:t>
            </w: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7"/>
              </w:rPr>
              <w:t>(or Units)</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7"/>
              </w:rPr>
              <w:t>per Share</w:t>
            </w: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9"/>
              </w:rPr>
              <w:t>Plans or</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Plans or</w:t>
            </w:r>
          </w:p>
        </w:tc>
        <w:tc>
          <w:tcPr>
            <w:tcW w:w="0" w:type="dxa"/>
            <w:vAlign w:val="bottom"/>
          </w:tcPr>
          <w:p>
            <w:pPr>
              <w:spacing w:after="0"/>
              <w:rPr>
                <w:sz w:val="1"/>
                <w:szCs w:val="1"/>
                <w:color w:val="auto"/>
              </w:rPr>
            </w:pPr>
          </w:p>
        </w:tc>
      </w:tr>
      <w:tr>
        <w:trPr>
          <w:trHeight w:val="161"/>
        </w:trPr>
        <w:tc>
          <w:tcPr>
            <w:tcW w:w="6060" w:type="dxa"/>
            <w:vAlign w:val="bottom"/>
            <w:gridSpan w:val="3"/>
            <w:vMerge w:val="continue"/>
          </w:tcPr>
          <w:p>
            <w:pPr>
              <w:spacing w:after="0"/>
              <w:rPr>
                <w:sz w:val="13"/>
                <w:szCs w:val="13"/>
                <w:color w:val="auto"/>
              </w:rPr>
            </w:pPr>
          </w:p>
        </w:tc>
        <w:tc>
          <w:tcPr>
            <w:tcW w:w="1200" w:type="dxa"/>
            <w:vAlign w:val="bottom"/>
            <w:gridSpan w:val="2"/>
          </w:tcPr>
          <w:p>
            <w:pPr>
              <w:jc w:val="center"/>
              <w:ind w:right="400"/>
              <w:spacing w:after="0" w:line="154" w:lineRule="exact"/>
              <w:rPr>
                <w:sz w:val="20"/>
                <w:szCs w:val="20"/>
                <w:color w:val="auto"/>
              </w:rPr>
            </w:pPr>
            <w:r>
              <w:rPr>
                <w:rFonts w:ascii="Arial" w:cs="Arial" w:eastAsia="Arial" w:hAnsi="Arial"/>
                <w:sz w:val="14"/>
                <w:szCs w:val="14"/>
                <w:color w:val="auto"/>
                <w:w w:val="90"/>
              </w:rPr>
              <w:t>Purchased (1)</w:t>
            </w:r>
          </w:p>
        </w:tc>
        <w:tc>
          <w:tcPr>
            <w:tcW w:w="1060" w:type="dxa"/>
            <w:vAlign w:val="bottom"/>
            <w:gridSpan w:val="2"/>
          </w:tcPr>
          <w:p>
            <w:pPr>
              <w:jc w:val="center"/>
              <w:ind w:right="420"/>
              <w:spacing w:after="0" w:line="154" w:lineRule="exact"/>
              <w:rPr>
                <w:sz w:val="20"/>
                <w:szCs w:val="20"/>
                <w:color w:val="auto"/>
              </w:rPr>
            </w:pPr>
            <w:r>
              <w:rPr>
                <w:rFonts w:ascii="Arial" w:cs="Arial" w:eastAsia="Arial" w:hAnsi="Arial"/>
                <w:sz w:val="14"/>
                <w:szCs w:val="14"/>
                <w:color w:val="auto"/>
              </w:rPr>
              <w:t>(or Unit)</w:t>
            </w:r>
          </w:p>
        </w:tc>
        <w:tc>
          <w:tcPr>
            <w:tcW w:w="1180" w:type="dxa"/>
            <w:vAlign w:val="bottom"/>
            <w:gridSpan w:val="2"/>
          </w:tcPr>
          <w:p>
            <w:pPr>
              <w:jc w:val="center"/>
              <w:ind w:right="420"/>
              <w:spacing w:after="0" w:line="154" w:lineRule="exact"/>
              <w:rPr>
                <w:sz w:val="20"/>
                <w:szCs w:val="20"/>
                <w:color w:val="auto"/>
              </w:rPr>
            </w:pPr>
            <w:r>
              <w:rPr>
                <w:rFonts w:ascii="Arial" w:cs="Arial" w:eastAsia="Arial" w:hAnsi="Arial"/>
                <w:sz w:val="14"/>
                <w:szCs w:val="14"/>
                <w:color w:val="auto"/>
                <w:w w:val="92"/>
              </w:rPr>
              <w:t>Programs</w:t>
            </w:r>
          </w:p>
        </w:tc>
        <w:tc>
          <w:tcPr>
            <w:tcW w:w="1000" w:type="dxa"/>
            <w:vAlign w:val="bottom"/>
            <w:gridSpan w:val="2"/>
          </w:tcPr>
          <w:p>
            <w:pPr>
              <w:jc w:val="center"/>
              <w:ind w:right="80"/>
              <w:spacing w:after="0" w:line="154" w:lineRule="exact"/>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568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 April 30, 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533,633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$ 118.80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533,165</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$91,000,000</w:t>
            </w:r>
          </w:p>
        </w:tc>
        <w:tc>
          <w:tcPr>
            <w:tcW w:w="0" w:type="dxa"/>
            <w:vAlign w:val="bottom"/>
          </w:tcPr>
          <w:p>
            <w:pPr>
              <w:spacing w:after="0"/>
              <w:rPr>
                <w:sz w:val="1"/>
                <w:szCs w:val="1"/>
                <w:color w:val="auto"/>
              </w:rPr>
            </w:pPr>
          </w:p>
        </w:tc>
      </w:tr>
      <w:tr>
        <w:trPr>
          <w:trHeight w:val="324"/>
        </w:trPr>
        <w:tc>
          <w:tcPr>
            <w:tcW w:w="6060" w:type="dxa"/>
            <w:vAlign w:val="bottom"/>
            <w:gridSpan w:val="3"/>
          </w:tcPr>
          <w:p>
            <w:pPr>
              <w:spacing w:after="0"/>
              <w:rPr>
                <w:sz w:val="20"/>
                <w:szCs w:val="20"/>
                <w:color w:val="auto"/>
              </w:rPr>
            </w:pPr>
            <w:r>
              <w:rPr>
                <w:rFonts w:ascii="Arial" w:cs="Arial" w:eastAsia="Arial" w:hAnsi="Arial"/>
                <w:sz w:val="18"/>
                <w:szCs w:val="18"/>
                <w:color w:val="auto"/>
              </w:rPr>
              <w:t>May 1 – May 31, 2016</w:t>
            </w:r>
          </w:p>
        </w:tc>
        <w:tc>
          <w:tcPr>
            <w:tcW w:w="800" w:type="dxa"/>
            <w:vAlign w:val="bottom"/>
          </w:tcPr>
          <w:p>
            <w:pPr>
              <w:jc w:val="right"/>
              <w:spacing w:after="0"/>
              <w:rPr>
                <w:sz w:val="20"/>
                <w:szCs w:val="20"/>
                <w:color w:val="auto"/>
              </w:rPr>
            </w:pPr>
            <w:r>
              <w:rPr>
                <w:rFonts w:ascii="Arial" w:cs="Arial" w:eastAsia="Arial" w:hAnsi="Arial"/>
                <w:sz w:val="18"/>
                <w:szCs w:val="18"/>
                <w:color w:val="auto"/>
              </w:rPr>
              <w:t>786,572</w:t>
            </w:r>
          </w:p>
        </w:tc>
        <w:tc>
          <w:tcPr>
            <w:tcW w:w="40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115.30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786,322</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June 30, 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112.55</w:t>
            </w:r>
          </w:p>
        </w:tc>
        <w:tc>
          <w:tcPr>
            <w:tcW w:w="1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gridSpan w:val="3"/>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06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1,320,308</w:t>
            </w:r>
          </w:p>
        </w:tc>
        <w:tc>
          <w:tcPr>
            <w:tcW w:w="40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$ 116.71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1,319,487</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100" w:hanging="452"/>
        <w:spacing w:after="0" w:line="288" w:lineRule="auto"/>
        <w:tabs>
          <w:tab w:leader="none" w:pos="46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The total number of shares purchased during the periods indicated includes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ind w:left="460" w:right="100" w:hanging="452"/>
        <w:spacing w:after="0" w:line="255" w:lineRule="auto"/>
        <w:tabs>
          <w:tab w:leader="none" w:pos="460"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On November 17, 2015, M&amp;T announced a program to purchase up to $200,000,000 of its common stock through June 30, 2016. On March 31, 2016, M&amp;T’s Board of Directors authorized the repurchase of up to $54,000,000 of additional shares through June 30, 2016, as part of that repurchase program.</w:t>
      </w:r>
    </w:p>
    <w:p>
      <w:pPr>
        <w:spacing w:after="0" w:line="1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29, 2016, M&amp;T announced that it had received a non-objection from the Federal Reserve to M&amp;T’s 2016 Capital Plan and its proposed capital actions for the four-quarter period starting on July 1, 2016, which includes the repurchase of up to $1.15 billion of common shares. On July 19, 2016, M&amp;T’s Board of Directors authorized a new stock repurchase program to repurchase up to $1.15 billion of shares of its common stock following all applicable regulatory limitations, including those set forth in M&amp;T’s 2016 Capital Plan.</w:t>
      </w:r>
    </w:p>
    <w:p>
      <w:pPr>
        <w:spacing w:after="0" w:line="3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Defaults Upon Senior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274" w:right="2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6.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247" w:lineRule="exact"/>
        <w:rPr>
          <w:sz w:val="20"/>
          <w:szCs w:val="20"/>
          <w:color w:val="auto"/>
        </w:rPr>
      </w:pPr>
    </w:p>
    <w:p>
      <w:pPr>
        <w:jc w:val="center"/>
        <w:ind w:right="10480"/>
        <w:spacing w:after="0"/>
        <w:rPr>
          <w:sz w:val="20"/>
          <w:szCs w:val="20"/>
          <w:color w:val="auto"/>
        </w:rPr>
      </w:pPr>
      <w:r>
        <w:rPr>
          <w:rFonts w:ascii="Arial" w:cs="Arial" w:eastAsia="Arial" w:hAnsi="Arial"/>
          <w:sz w:val="14"/>
          <w:szCs w:val="14"/>
          <w:color w:val="auto"/>
        </w:rPr>
        <w:t>Exhibit</w:t>
      </w:r>
    </w:p>
    <w:p>
      <w:pPr>
        <w:jc w:val="center"/>
        <w:ind w:right="1048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-3175</wp:posOffset>
            </wp:positionV>
            <wp:extent cx="2660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jc w:val="right"/>
              <w:ind w:right="430"/>
              <w:spacing w:after="0"/>
              <w:rPr>
                <w:sz w:val="20"/>
                <w:szCs w:val="20"/>
                <w:color w:val="auto"/>
              </w:rPr>
            </w:pPr>
            <w:r>
              <w:rPr>
                <w:rFonts w:ascii="Arial" w:cs="Arial" w:eastAsia="Arial" w:hAnsi="Arial"/>
                <w:sz w:val="18"/>
                <w:szCs w:val="18"/>
                <w:color w:val="auto"/>
              </w:rPr>
              <w:t>10.1</w:t>
            </w:r>
          </w:p>
        </w:tc>
        <w:tc>
          <w:tcPr>
            <w:tcW w:w="10240" w:type="dxa"/>
            <w:vAlign w:val="bottom"/>
          </w:tcPr>
          <w:p>
            <w:pPr>
              <w:ind w:left="220"/>
              <w:spacing w:after="0"/>
              <w:rPr>
                <w:sz w:val="20"/>
                <w:szCs w:val="20"/>
                <w:color w:val="auto"/>
              </w:rPr>
            </w:pPr>
            <w:r>
              <w:rPr>
                <w:rFonts w:ascii="Arial" w:cs="Arial" w:eastAsia="Arial" w:hAnsi="Arial"/>
                <w:sz w:val="18"/>
                <w:szCs w:val="18"/>
                <w:color w:val="auto"/>
              </w:rPr>
              <w:t>Consulting Agreement, dated as of June 14, 2016, between M&amp;T Bank Corporation and Robert E. Sadler, Jr. Filed herewith.</w:t>
            </w:r>
          </w:p>
        </w:tc>
      </w:tr>
      <w:tr>
        <w:trPr>
          <w:trHeight w:val="324"/>
        </w:trPr>
        <w:tc>
          <w:tcPr>
            <w:tcW w:w="1160" w:type="dxa"/>
            <w:vAlign w:val="bottom"/>
          </w:tcPr>
          <w:p>
            <w:pPr>
              <w:jc w:val="right"/>
              <w:ind w:right="430"/>
              <w:spacing w:after="0"/>
              <w:rPr>
                <w:sz w:val="20"/>
                <w:szCs w:val="20"/>
                <w:color w:val="auto"/>
              </w:rPr>
            </w:pPr>
            <w:r>
              <w:rPr>
                <w:rFonts w:ascii="Arial" w:cs="Arial" w:eastAsia="Arial" w:hAnsi="Arial"/>
                <w:sz w:val="18"/>
                <w:szCs w:val="18"/>
                <w:color w:val="auto"/>
              </w:rPr>
              <w:t>31.1</w:t>
            </w:r>
          </w:p>
        </w:tc>
        <w:tc>
          <w:tcPr>
            <w:tcW w:w="1024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1160" w:type="dxa"/>
            <w:vAlign w:val="bottom"/>
          </w:tcPr>
          <w:p>
            <w:pPr>
              <w:jc w:val="right"/>
              <w:ind w:right="430"/>
              <w:spacing w:after="0"/>
              <w:rPr>
                <w:sz w:val="20"/>
                <w:szCs w:val="20"/>
                <w:color w:val="auto"/>
              </w:rPr>
            </w:pPr>
            <w:r>
              <w:rPr>
                <w:rFonts w:ascii="Arial" w:cs="Arial" w:eastAsia="Arial" w:hAnsi="Arial"/>
                <w:sz w:val="18"/>
                <w:szCs w:val="18"/>
                <w:color w:val="auto"/>
              </w:rPr>
              <w:t>31.2</w:t>
            </w:r>
          </w:p>
        </w:tc>
        <w:tc>
          <w:tcPr>
            <w:tcW w:w="1024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10"/>
        </w:trPr>
        <w:tc>
          <w:tcPr>
            <w:tcW w:w="1160" w:type="dxa"/>
            <w:vAlign w:val="bottom"/>
          </w:tcPr>
          <w:p>
            <w:pPr>
              <w:jc w:val="right"/>
              <w:ind w:right="430"/>
              <w:spacing w:after="0"/>
              <w:rPr>
                <w:sz w:val="20"/>
                <w:szCs w:val="20"/>
                <w:color w:val="auto"/>
              </w:rPr>
            </w:pPr>
            <w:r>
              <w:rPr>
                <w:rFonts w:ascii="Arial" w:cs="Arial" w:eastAsia="Arial" w:hAnsi="Arial"/>
                <w:sz w:val="18"/>
                <w:szCs w:val="18"/>
                <w:color w:val="auto"/>
              </w:rPr>
              <w:t>32.1</w:t>
            </w:r>
          </w:p>
        </w:tc>
        <w:tc>
          <w:tcPr>
            <w:tcW w:w="10240" w:type="dxa"/>
            <w:vAlign w:val="bottom"/>
          </w:tcPr>
          <w:p>
            <w:pPr>
              <w:ind w:left="220"/>
              <w:spacing w:after="0"/>
              <w:rPr>
                <w:sz w:val="20"/>
                <w:szCs w:val="20"/>
                <w:color w:val="auto"/>
              </w:rPr>
            </w:pPr>
            <w:r>
              <w:rPr>
                <w:rFonts w:ascii="Arial" w:cs="Arial" w:eastAsia="Arial" w:hAnsi="Arial"/>
                <w:sz w:val="18"/>
                <w:szCs w:val="18"/>
                <w:color w:val="auto"/>
                <w:w w:val="98"/>
              </w:rPr>
              <w:t>Certification of Chief Executive Officer under 18 U.S.C. §1350 pursuant to Section 906 of the Sarbanes-Oxley Act of 2002. Filed</w:t>
            </w:r>
          </w:p>
        </w:tc>
      </w:tr>
      <w:tr>
        <w:trPr>
          <w:trHeight w:val="230"/>
        </w:trPr>
        <w:tc>
          <w:tcPr>
            <w:tcW w:w="1160" w:type="dxa"/>
            <w:vAlign w:val="bottom"/>
          </w:tcPr>
          <w:p>
            <w:pPr>
              <w:spacing w:after="0"/>
              <w:rPr>
                <w:sz w:val="20"/>
                <w:szCs w:val="20"/>
                <w:color w:val="auto"/>
              </w:rPr>
            </w:pPr>
          </w:p>
        </w:tc>
        <w:tc>
          <w:tcPr>
            <w:tcW w:w="10240" w:type="dxa"/>
            <w:vAlign w:val="bottom"/>
          </w:tcPr>
          <w:p>
            <w:pPr>
              <w:ind w:left="220"/>
              <w:spacing w:after="0"/>
              <w:rPr>
                <w:sz w:val="20"/>
                <w:szCs w:val="20"/>
                <w:color w:val="auto"/>
              </w:rPr>
            </w:pPr>
            <w:r>
              <w:rPr>
                <w:rFonts w:ascii="Arial" w:cs="Arial" w:eastAsia="Arial" w:hAnsi="Arial"/>
                <w:sz w:val="18"/>
                <w:szCs w:val="18"/>
                <w:color w:val="auto"/>
              </w:rPr>
              <w:t>herewith.</w:t>
            </w:r>
          </w:p>
        </w:tc>
      </w:tr>
      <w:tr>
        <w:trPr>
          <w:trHeight w:val="324"/>
        </w:trPr>
        <w:tc>
          <w:tcPr>
            <w:tcW w:w="1160" w:type="dxa"/>
            <w:vAlign w:val="bottom"/>
          </w:tcPr>
          <w:p>
            <w:pPr>
              <w:jc w:val="right"/>
              <w:ind w:right="430"/>
              <w:spacing w:after="0"/>
              <w:rPr>
                <w:sz w:val="20"/>
                <w:szCs w:val="20"/>
                <w:color w:val="auto"/>
              </w:rPr>
            </w:pPr>
            <w:r>
              <w:rPr>
                <w:rFonts w:ascii="Arial" w:cs="Arial" w:eastAsia="Arial" w:hAnsi="Arial"/>
                <w:sz w:val="18"/>
                <w:szCs w:val="18"/>
                <w:color w:val="auto"/>
              </w:rPr>
              <w:t>32.2</w:t>
            </w:r>
          </w:p>
        </w:tc>
        <w:tc>
          <w:tcPr>
            <w:tcW w:w="10240" w:type="dxa"/>
            <w:vAlign w:val="bottom"/>
          </w:tcPr>
          <w:p>
            <w:pPr>
              <w:ind w:left="220"/>
              <w:spacing w:after="0"/>
              <w:rPr>
                <w:sz w:val="20"/>
                <w:szCs w:val="20"/>
                <w:color w:val="auto"/>
              </w:rPr>
            </w:pPr>
            <w:r>
              <w:rPr>
                <w:rFonts w:ascii="Arial" w:cs="Arial" w:eastAsia="Arial" w:hAnsi="Arial"/>
                <w:sz w:val="18"/>
                <w:szCs w:val="18"/>
                <w:color w:val="auto"/>
                <w:w w:val="91"/>
              </w:rPr>
              <w:t>Certification of Chief Financial Officer under 18 U.S.C. §1350 pursuant to Section 906 of the Sarbanes-Oxley Act of 2002. Filed herewith.</w:t>
            </w:r>
          </w:p>
        </w:tc>
      </w:tr>
      <w:tr>
        <w:trPr>
          <w:trHeight w:val="324"/>
        </w:trPr>
        <w:tc>
          <w:tcPr>
            <w:tcW w:w="1160" w:type="dxa"/>
            <w:vAlign w:val="bottom"/>
          </w:tcPr>
          <w:p>
            <w:pPr>
              <w:ind w:left="240"/>
              <w:spacing w:after="0"/>
              <w:rPr>
                <w:sz w:val="20"/>
                <w:szCs w:val="20"/>
                <w:color w:val="auto"/>
              </w:rPr>
            </w:pPr>
            <w:r>
              <w:rPr>
                <w:rFonts w:ascii="Arial" w:cs="Arial" w:eastAsia="Arial" w:hAnsi="Arial"/>
                <w:sz w:val="18"/>
                <w:szCs w:val="18"/>
                <w:color w:val="auto"/>
              </w:rPr>
              <w:t>101.INS</w:t>
            </w:r>
          </w:p>
        </w:tc>
        <w:tc>
          <w:tcPr>
            <w:tcW w:w="10240" w:type="dxa"/>
            <w:vAlign w:val="bottom"/>
          </w:tcPr>
          <w:p>
            <w:pPr>
              <w:ind w:left="220"/>
              <w:spacing w:after="0"/>
              <w:rPr>
                <w:sz w:val="20"/>
                <w:szCs w:val="20"/>
                <w:color w:val="auto"/>
              </w:rPr>
            </w:pPr>
            <w:r>
              <w:rPr>
                <w:rFonts w:ascii="Arial" w:cs="Arial" w:eastAsia="Arial" w:hAnsi="Arial"/>
                <w:sz w:val="18"/>
                <w:szCs w:val="18"/>
                <w:color w:val="auto"/>
              </w:rPr>
              <w:t>XBRL Instance Document. Filed herewith.</w:t>
            </w:r>
          </w:p>
        </w:tc>
      </w:tr>
      <w:tr>
        <w:trPr>
          <w:trHeight w:val="324"/>
        </w:trPr>
        <w:tc>
          <w:tcPr>
            <w:tcW w:w="1160" w:type="dxa"/>
            <w:vAlign w:val="bottom"/>
          </w:tcPr>
          <w:p>
            <w:pPr>
              <w:ind w:left="240"/>
              <w:spacing w:after="0"/>
              <w:rPr>
                <w:sz w:val="20"/>
                <w:szCs w:val="20"/>
                <w:color w:val="auto"/>
              </w:rPr>
            </w:pPr>
            <w:r>
              <w:rPr>
                <w:rFonts w:ascii="Arial" w:cs="Arial" w:eastAsia="Arial" w:hAnsi="Arial"/>
                <w:sz w:val="18"/>
                <w:szCs w:val="18"/>
                <w:color w:val="auto"/>
              </w:rPr>
              <w:t>101.SCH</w:t>
            </w:r>
          </w:p>
        </w:tc>
        <w:tc>
          <w:tcPr>
            <w:tcW w:w="10240" w:type="dxa"/>
            <w:vAlign w:val="bottom"/>
          </w:tcPr>
          <w:p>
            <w:pPr>
              <w:ind w:left="220"/>
              <w:spacing w:after="0"/>
              <w:rPr>
                <w:sz w:val="20"/>
                <w:szCs w:val="20"/>
                <w:color w:val="auto"/>
              </w:rPr>
            </w:pPr>
            <w:r>
              <w:rPr>
                <w:rFonts w:ascii="Arial" w:cs="Arial" w:eastAsia="Arial" w:hAnsi="Arial"/>
                <w:sz w:val="18"/>
                <w:szCs w:val="18"/>
                <w:color w:val="auto"/>
              </w:rPr>
              <w:t>XBRL Taxonomy Extension Schema. Filed herewith.</w:t>
            </w:r>
          </w:p>
        </w:tc>
      </w:tr>
      <w:tr>
        <w:trPr>
          <w:trHeight w:val="324"/>
        </w:trPr>
        <w:tc>
          <w:tcPr>
            <w:tcW w:w="1160" w:type="dxa"/>
            <w:vAlign w:val="bottom"/>
          </w:tcPr>
          <w:p>
            <w:pPr>
              <w:ind w:left="220"/>
              <w:spacing w:after="0"/>
              <w:rPr>
                <w:sz w:val="20"/>
                <w:szCs w:val="20"/>
                <w:color w:val="auto"/>
              </w:rPr>
            </w:pPr>
            <w:r>
              <w:rPr>
                <w:rFonts w:ascii="Arial" w:cs="Arial" w:eastAsia="Arial" w:hAnsi="Arial"/>
                <w:sz w:val="18"/>
                <w:szCs w:val="18"/>
                <w:color w:val="auto"/>
              </w:rPr>
              <w:t>101.CAL</w:t>
            </w:r>
          </w:p>
        </w:tc>
        <w:tc>
          <w:tcPr>
            <w:tcW w:w="102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24"/>
        </w:trPr>
        <w:tc>
          <w:tcPr>
            <w:tcW w:w="1160" w:type="dxa"/>
            <w:vAlign w:val="bottom"/>
          </w:tcPr>
          <w:p>
            <w:pPr>
              <w:ind w:left="220"/>
              <w:spacing w:after="0"/>
              <w:rPr>
                <w:sz w:val="20"/>
                <w:szCs w:val="20"/>
                <w:color w:val="auto"/>
              </w:rPr>
            </w:pPr>
            <w:r>
              <w:rPr>
                <w:rFonts w:ascii="Arial" w:cs="Arial" w:eastAsia="Arial" w:hAnsi="Arial"/>
                <w:sz w:val="18"/>
                <w:szCs w:val="18"/>
                <w:color w:val="auto"/>
              </w:rPr>
              <w:t>101.LAB</w:t>
            </w:r>
          </w:p>
        </w:tc>
        <w:tc>
          <w:tcPr>
            <w:tcW w:w="102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Filed herewith.</w:t>
            </w:r>
          </w:p>
        </w:tc>
      </w:tr>
      <w:tr>
        <w:trPr>
          <w:trHeight w:val="324"/>
        </w:trPr>
        <w:tc>
          <w:tcPr>
            <w:tcW w:w="1160" w:type="dxa"/>
            <w:vAlign w:val="bottom"/>
          </w:tcPr>
          <w:p>
            <w:pPr>
              <w:ind w:left="220"/>
              <w:spacing w:after="0"/>
              <w:rPr>
                <w:sz w:val="20"/>
                <w:szCs w:val="20"/>
                <w:color w:val="auto"/>
              </w:rPr>
            </w:pPr>
            <w:r>
              <w:rPr>
                <w:rFonts w:ascii="Arial" w:cs="Arial" w:eastAsia="Arial" w:hAnsi="Arial"/>
                <w:sz w:val="18"/>
                <w:szCs w:val="18"/>
                <w:color w:val="auto"/>
              </w:rPr>
              <w:t>101.PRE</w:t>
            </w:r>
          </w:p>
        </w:tc>
        <w:tc>
          <w:tcPr>
            <w:tcW w:w="102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324"/>
        </w:trPr>
        <w:tc>
          <w:tcPr>
            <w:tcW w:w="1160" w:type="dxa"/>
            <w:vAlign w:val="bottom"/>
          </w:tcPr>
          <w:p>
            <w:pPr>
              <w:ind w:left="220"/>
              <w:spacing w:after="0"/>
              <w:rPr>
                <w:sz w:val="20"/>
                <w:szCs w:val="20"/>
                <w:color w:val="auto"/>
              </w:rPr>
            </w:pPr>
            <w:r>
              <w:rPr>
                <w:rFonts w:ascii="Arial" w:cs="Arial" w:eastAsia="Arial" w:hAnsi="Arial"/>
                <w:sz w:val="18"/>
                <w:szCs w:val="18"/>
                <w:color w:val="auto"/>
              </w:rPr>
              <w:t>101.DEF</w:t>
            </w:r>
          </w:p>
        </w:tc>
        <w:tc>
          <w:tcPr>
            <w:tcW w:w="10240" w:type="dxa"/>
            <w:vAlign w:val="bottom"/>
          </w:tcPr>
          <w:p>
            <w:pPr>
              <w:ind w:left="220"/>
              <w:spacing w:after="0"/>
              <w:rPr>
                <w:sz w:val="20"/>
                <w:szCs w:val="20"/>
                <w:color w:val="auto"/>
              </w:rPr>
            </w:pPr>
            <w:r>
              <w:rPr>
                <w:rFonts w:ascii="Arial" w:cs="Arial" w:eastAsia="Arial" w:hAnsi="Arial"/>
                <w:sz w:val="18"/>
                <w:szCs w:val="18"/>
                <w:color w:val="auto"/>
              </w:rPr>
              <w:t>XBRL Taxonomy Definition Linkbase. Filed herewith.</w:t>
            </w:r>
          </w:p>
        </w:tc>
      </w:tr>
      <w:tr>
        <w:trPr>
          <w:trHeight w:val="135"/>
        </w:trPr>
        <w:tc>
          <w:tcPr>
            <w:tcW w:w="1160" w:type="dxa"/>
            <w:vAlign w:val="bottom"/>
            <w:tcBorders>
              <w:bottom w:val="single" w:sz="8" w:color="auto"/>
            </w:tcBorders>
          </w:tcPr>
          <w:p>
            <w:pPr>
              <w:spacing w:after="0"/>
              <w:rPr>
                <w:sz w:val="11"/>
                <w:szCs w:val="11"/>
                <w:color w:val="auto"/>
              </w:rPr>
            </w:pPr>
          </w:p>
        </w:tc>
        <w:tc>
          <w:tcPr>
            <w:tcW w:w="10240" w:type="dxa"/>
            <w:vAlign w:val="bottom"/>
          </w:tcPr>
          <w:p>
            <w:pPr>
              <w:spacing w:after="0"/>
              <w:rPr>
                <w:sz w:val="11"/>
                <w:szCs w:val="1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360"/>
              <w:spacing w:after="0"/>
              <w:rPr>
                <w:sz w:val="20"/>
                <w:szCs w:val="20"/>
                <w:color w:val="auto"/>
              </w:rPr>
            </w:pPr>
            <w:r>
              <w:rPr>
                <w:rFonts w:ascii="Arial" w:cs="Arial" w:eastAsia="Arial" w:hAnsi="Arial"/>
                <w:sz w:val="18"/>
                <w:szCs w:val="18"/>
                <w:color w:val="auto"/>
              </w:rPr>
              <w:t>M&amp;T BANK CORPORATION</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August 4, 2016</w:t>
            </w:r>
          </w:p>
        </w:tc>
        <w:tc>
          <w:tcPr>
            <w:tcW w:w="7880" w:type="dxa"/>
            <w:vAlign w:val="bottom"/>
            <w:gridSpan w:val="2"/>
          </w:tcPr>
          <w:p>
            <w:pPr>
              <w:ind w:left="2360"/>
              <w:spacing w:after="0"/>
              <w:rPr>
                <w:sz w:val="20"/>
                <w:szCs w:val="20"/>
                <w:color w:val="auto"/>
              </w:rPr>
            </w:pPr>
            <w:r>
              <w:rPr>
                <w:rFonts w:ascii="Arial" w:cs="Arial" w:eastAsia="Arial" w:hAnsi="Arial"/>
                <w:sz w:val="18"/>
                <w:szCs w:val="18"/>
                <w:color w:val="auto"/>
              </w:rPr>
              <w:t>By:  /s/ Darren J. King</w:t>
            </w:r>
          </w:p>
        </w:tc>
      </w:tr>
      <w:tr>
        <w:trPr>
          <w:trHeight w:val="209"/>
        </w:trPr>
        <w:tc>
          <w:tcPr>
            <w:tcW w:w="3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Darren J. King</w:t>
            </w:r>
          </w:p>
        </w:tc>
      </w:tr>
      <w:tr>
        <w:trPr>
          <w:trHeight w:val="216"/>
        </w:trPr>
        <w:tc>
          <w:tcPr>
            <w:tcW w:w="3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365"/>
        </w:trPr>
        <w:tc>
          <w:tcPr>
            <w:tcW w:w="3540" w:type="dxa"/>
            <w:vAlign w:val="bottom"/>
          </w:tcPr>
          <w:p>
            <w:pPr>
              <w:spacing w:after="0"/>
              <w:rPr>
                <w:sz w:val="24"/>
                <w:szCs w:val="24"/>
                <w:color w:val="auto"/>
              </w:rPr>
            </w:pPr>
          </w:p>
        </w:tc>
        <w:tc>
          <w:tcPr>
            <w:tcW w:w="2740" w:type="dxa"/>
            <w:vAlign w:val="bottom"/>
          </w:tcPr>
          <w:p>
            <w:pPr>
              <w:jc w:val="right"/>
              <w:ind w:right="290"/>
              <w:spacing w:after="0"/>
              <w:rPr>
                <w:sz w:val="20"/>
                <w:szCs w:val="20"/>
                <w:color w:val="auto"/>
              </w:rPr>
            </w:pPr>
            <w:r>
              <w:rPr>
                <w:rFonts w:ascii="Arial" w:cs="Arial" w:eastAsia="Arial" w:hAnsi="Arial"/>
                <w:sz w:val="18"/>
                <w:szCs w:val="18"/>
                <w:color w:val="auto"/>
              </w:rPr>
              <w:t>-106-</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08" w:name="page109"/>
    <w:bookmarkEnd w:id="10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60" w:type="dxa"/>
            <w:vAlign w:val="bottom"/>
          </w:tcPr>
          <w:p>
            <w:pPr>
              <w:ind w:left="3920"/>
              <w:spacing w:after="0"/>
              <w:rPr>
                <w:sz w:val="20"/>
                <w:szCs w:val="20"/>
                <w:color w:val="auto"/>
              </w:rPr>
            </w:pPr>
            <w:r>
              <w:rPr>
                <w:rFonts w:ascii="Arial" w:cs="Arial" w:eastAsia="Arial" w:hAnsi="Arial"/>
                <w:sz w:val="18"/>
                <w:szCs w:val="18"/>
                <w:color w:val="auto"/>
              </w:rPr>
              <w:t>EXHIBIT INDEX</w:t>
            </w:r>
          </w:p>
        </w:tc>
      </w:tr>
      <w:tr>
        <w:trPr>
          <w:trHeight w:val="373"/>
        </w:trPr>
        <w:tc>
          <w:tcPr>
            <w:tcW w:w="920" w:type="dxa"/>
            <w:vAlign w:val="bottom"/>
            <w:gridSpan w:val="3"/>
          </w:tcPr>
          <w:p>
            <w:pPr>
              <w:jc w:val="center"/>
              <w:ind w:right="420"/>
              <w:spacing w:after="0"/>
              <w:rPr>
                <w:sz w:val="20"/>
                <w:szCs w:val="20"/>
                <w:color w:val="auto"/>
              </w:rPr>
            </w:pPr>
            <w:r>
              <w:rPr>
                <w:rFonts w:ascii="Arial" w:cs="Arial" w:eastAsia="Arial" w:hAnsi="Arial"/>
                <w:sz w:val="14"/>
                <w:szCs w:val="14"/>
                <w:color w:val="auto"/>
                <w:w w:val="99"/>
              </w:rPr>
              <w:t>Exhibit</w:t>
            </w:r>
          </w:p>
        </w:tc>
        <w:tc>
          <w:tcPr>
            <w:tcW w:w="10260" w:type="dxa"/>
            <w:vAlign w:val="bottom"/>
          </w:tcPr>
          <w:p>
            <w:pPr>
              <w:spacing w:after="0"/>
              <w:rPr>
                <w:sz w:val="24"/>
                <w:szCs w:val="24"/>
                <w:color w:val="auto"/>
              </w:rPr>
            </w:pPr>
          </w:p>
        </w:tc>
      </w:tr>
      <w:tr>
        <w:trPr>
          <w:trHeight w:val="167"/>
        </w:trPr>
        <w:tc>
          <w:tcPr>
            <w:tcW w:w="4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460" w:type="dxa"/>
            <w:vAlign w:val="bottom"/>
          </w:tcPr>
          <w:p>
            <w:pPr>
              <w:spacing w:after="0"/>
              <w:rPr>
                <w:sz w:val="14"/>
                <w:szCs w:val="14"/>
                <w:color w:val="auto"/>
              </w:rPr>
            </w:pPr>
          </w:p>
        </w:tc>
        <w:tc>
          <w:tcPr>
            <w:tcW w:w="10260" w:type="dxa"/>
            <w:vAlign w:val="bottom"/>
          </w:tcPr>
          <w:p>
            <w:pPr>
              <w:spacing w:after="0"/>
              <w:rPr>
                <w:sz w:val="14"/>
                <w:szCs w:val="14"/>
                <w:color w:val="auto"/>
              </w:rPr>
            </w:pPr>
          </w:p>
        </w:tc>
      </w:tr>
      <w:tr>
        <w:trPr>
          <w:trHeight w:val="345"/>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460" w:type="dxa"/>
            <w:vAlign w:val="bottom"/>
          </w:tcPr>
          <w:p>
            <w:pPr>
              <w:spacing w:after="0"/>
              <w:rPr>
                <w:sz w:val="24"/>
                <w:szCs w:val="24"/>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Consulting Agreement, dated as of June 14, 2016, between M&amp;T Bank Corporation and Robert E. Sadler, Jr. Filed herewith.</w:t>
            </w: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460" w:type="dxa"/>
            <w:vAlign w:val="bottom"/>
          </w:tcPr>
          <w:p>
            <w:pPr>
              <w:spacing w:after="0"/>
              <w:rPr>
                <w:sz w:val="24"/>
                <w:szCs w:val="24"/>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460" w:type="dxa"/>
            <w:vAlign w:val="bottom"/>
          </w:tcPr>
          <w:p>
            <w:pPr>
              <w:spacing w:after="0"/>
              <w:rPr>
                <w:sz w:val="24"/>
                <w:szCs w:val="24"/>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10"/>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460" w:type="dxa"/>
            <w:vAlign w:val="bottom"/>
          </w:tcPr>
          <w:p>
            <w:pPr>
              <w:spacing w:after="0"/>
              <w:rPr>
                <w:sz w:val="24"/>
                <w:szCs w:val="24"/>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w w:val="98"/>
              </w:rPr>
              <w:t>Certification of Chief Executive Officer under 18 U.S.C. §1350 pursuant to Section 906 of the Sarbanes-Oxley Act of 2002. Filed</w:t>
            </w:r>
          </w:p>
        </w:tc>
      </w:tr>
      <w:tr>
        <w:trPr>
          <w:trHeight w:val="230"/>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herewith.</w:t>
            </w: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32.2</w:t>
            </w:r>
          </w:p>
        </w:tc>
        <w:tc>
          <w:tcPr>
            <w:tcW w:w="460" w:type="dxa"/>
            <w:vAlign w:val="bottom"/>
          </w:tcPr>
          <w:p>
            <w:pPr>
              <w:spacing w:after="0"/>
              <w:rPr>
                <w:sz w:val="24"/>
                <w:szCs w:val="24"/>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w w:val="91"/>
              </w:rPr>
              <w:t>Certification of Chief Financial Officer under 18 U.S.C. §1350 pursuant to Section 906 of the Sarbanes-Oxley Act of 2002. Filed herewith.</w:t>
            </w:r>
          </w:p>
        </w:tc>
      </w:tr>
      <w:tr>
        <w:trPr>
          <w:trHeight w:val="324"/>
        </w:trPr>
        <w:tc>
          <w:tcPr>
            <w:tcW w:w="920" w:type="dxa"/>
            <w:vAlign w:val="bottom"/>
            <w:gridSpan w:val="3"/>
          </w:tcPr>
          <w:p>
            <w:pPr>
              <w:ind w:left="20"/>
              <w:spacing w:after="0"/>
              <w:rPr>
                <w:sz w:val="20"/>
                <w:szCs w:val="20"/>
                <w:color w:val="auto"/>
              </w:rPr>
            </w:pPr>
            <w:r>
              <w:rPr>
                <w:rFonts w:ascii="Arial" w:cs="Arial" w:eastAsia="Arial" w:hAnsi="Arial"/>
                <w:sz w:val="18"/>
                <w:szCs w:val="18"/>
                <w:color w:val="auto"/>
              </w:rPr>
              <w:t>101.INS</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Instance Document. Filed herewith.</w:t>
            </w:r>
          </w:p>
        </w:tc>
      </w:tr>
      <w:tr>
        <w:trPr>
          <w:trHeight w:val="324"/>
        </w:trPr>
        <w:tc>
          <w:tcPr>
            <w:tcW w:w="920" w:type="dxa"/>
            <w:vAlign w:val="bottom"/>
            <w:gridSpan w:val="3"/>
          </w:tcPr>
          <w:p>
            <w:pPr>
              <w:ind w:left="20"/>
              <w:spacing w:after="0"/>
              <w:rPr>
                <w:sz w:val="20"/>
                <w:szCs w:val="20"/>
                <w:color w:val="auto"/>
              </w:rPr>
            </w:pPr>
            <w:r>
              <w:rPr>
                <w:rFonts w:ascii="Arial" w:cs="Arial" w:eastAsia="Arial" w:hAnsi="Arial"/>
                <w:sz w:val="18"/>
                <w:szCs w:val="18"/>
                <w:color w:val="auto"/>
              </w:rPr>
              <w:t>101.SCH</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Taxonomy Extension Schema. Filed herewith.</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Filed herewith.</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Taxonomy Definition Linkbase. Filed herewith.</w:t>
            </w:r>
          </w:p>
        </w:tc>
      </w:tr>
      <w:tr>
        <w:trPr>
          <w:trHeight w:val="365"/>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60" w:type="dxa"/>
            <w:vAlign w:val="bottom"/>
          </w:tcPr>
          <w:p>
            <w:pPr>
              <w:ind w:left="4380"/>
              <w:spacing w:after="0"/>
              <w:rPr>
                <w:sz w:val="20"/>
                <w:szCs w:val="20"/>
                <w:color w:val="auto"/>
              </w:rPr>
            </w:pPr>
            <w:r>
              <w:rPr>
                <w:rFonts w:ascii="Arial" w:cs="Arial" w:eastAsia="Arial" w:hAnsi="Arial"/>
                <w:sz w:val="18"/>
                <w:szCs w:val="18"/>
                <w:color w:val="auto"/>
              </w:rPr>
              <w:t>-107-</w:t>
            </w:r>
          </w:p>
        </w:tc>
      </w:tr>
    </w:tbl>
    <w:p>
      <w:pPr>
        <w:sectPr>
          <w:pgSz w:w="11900" w:h="16838" w:orient="portrait"/>
          <w:cols w:equalWidth="0" w:num="1">
            <w:col w:w="11180"/>
          </w:cols>
          <w:pgMar w:left="460" w:top="274" w:right="25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E. Sadler,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226 Ridgeview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Palm Beach, FL 33480</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Consulting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Bob:</w:t>
      </w:r>
    </w:p>
    <w:p>
      <w:pPr>
        <w:spacing w:after="0" w:line="225"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M&amp;T Bank Corporation (M&amp;T) is pleased that you have agreed to renew your Consulting Agreement for an additional two year period, as detailed below. This letter describes the terms and conditions of your services as a consultant, as well as the remuneration provided for those services.</w:t>
      </w:r>
    </w:p>
    <w:p>
      <w:pPr>
        <w:spacing w:after="0" w:line="268"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Engagement</w:t>
      </w:r>
    </w:p>
    <w:p>
      <w:pPr>
        <w:spacing w:after="0" w:line="121" w:lineRule="exact"/>
        <w:rPr>
          <w:sz w:val="20"/>
          <w:szCs w:val="20"/>
          <w:color w:val="auto"/>
        </w:rPr>
      </w:pPr>
    </w:p>
    <w:p>
      <w:pPr>
        <w:ind w:left="920" w:right="40"/>
        <w:spacing w:after="0" w:line="290" w:lineRule="auto"/>
        <w:rPr>
          <w:sz w:val="20"/>
          <w:szCs w:val="20"/>
          <w:color w:val="auto"/>
        </w:rPr>
      </w:pPr>
      <w:r>
        <w:rPr>
          <w:rFonts w:ascii="Arial" w:cs="Arial" w:eastAsia="Arial" w:hAnsi="Arial"/>
          <w:sz w:val="16"/>
          <w:szCs w:val="16"/>
          <w:color w:val="auto"/>
        </w:rPr>
        <w:t>Upon the terms and subject to the conditions of this letter, you agree to serve as a consultant to M&amp;T. The services to be performed as a consultant will include, but are not limited to: (1) provide strategic advice and counsel regarding all aspects of the business to M&amp;T management and the Board of Directors of M&amp;T, as requested, including product development/expansion, enterprise geographic expansion, acquisitions, mergers, and certain customer transactions; (2) be available to meet with, and to be involved with, clients and counterparties, at the request of M&amp;T, where M&amp;T believes that your personal knowledge, attendance and participation may be beneficial to M&amp;T; (3) represent M&amp;T at industry functions and/or with industry trade groups; (4) serve as Chairman of the Florida Advisory Council of Wilmington Trust, National Association; and (5) perform such other services as the parties may mutually agree upon from time to time during this engagement (collectively, the “Services”). You agree to perform the Services faithfully and diligently for M&amp;T as set forth in this letter agreement.</w:t>
      </w:r>
    </w:p>
    <w:p>
      <w:pPr>
        <w:spacing w:after="0" w:line="311"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121"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The term of this consulting agreement shall be from July 1, 2016 until June 30, 2018 (the “Term”), unless it is sooner terminated or renewed, each as provided in this letter agreement. You are under no obligation to continue this engagement beyond the Term. Additionally, M&amp;T and you may mutually terminate the Term before it is scheduled to expire as provided for in Section 4.</w:t>
      </w:r>
    </w:p>
    <w:p>
      <w:pPr>
        <w:spacing w:after="0" w:line="326"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Fees</w:t>
      </w:r>
    </w:p>
    <w:p>
      <w:pPr>
        <w:spacing w:after="0" w:line="121"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During the Term, you will receive an annual retainer of $200,000.00 (the “Consulting Fee”). The Consulting Fee will be payable quarterly in arrears. In addition, during the Term, M&amp;T shall</w:t>
      </w:r>
    </w:p>
    <w:p>
      <w:pPr>
        <w:sectPr>
          <w:pgSz w:w="11900" w:h="16838" w:orient="portrait"/>
          <w:cols w:equalWidth="0" w:num="1">
            <w:col w:w="11420"/>
          </w:cols>
          <w:pgMar w:left="240" w:top="125" w:right="239" w:bottom="1440" w:gutter="0" w:footer="0" w:header="0"/>
        </w:sectPr>
      </w:pPr>
    </w:p>
    <w:bookmarkStart w:id="110" w:name="page111"/>
    <w:bookmarkEnd w:id="110"/>
    <w:p>
      <w:pPr>
        <w:ind w:left="9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you with the use of an office located at One M&amp;T Center, Buffalo, NY 14203 and administrative support, as determined by M&amp;T in its discretion, and shall reimburse actual out-of-pocket expenses reasonably incurred by you in connection with the Services (subject to M&amp;T’s applicable expense reimbursement policy, as in effect from time to time).</w:t>
      </w:r>
    </w:p>
    <w:p>
      <w:pPr>
        <w:spacing w:after="0" w:line="326"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Renewal and Termination</w:t>
      </w:r>
    </w:p>
    <w:p>
      <w:pPr>
        <w:spacing w:after="0" w:line="121" w:lineRule="exact"/>
        <w:rPr>
          <w:sz w:val="20"/>
          <w:szCs w:val="20"/>
          <w:color w:val="auto"/>
        </w:rPr>
      </w:pPr>
    </w:p>
    <w:p>
      <w:pPr>
        <w:ind w:left="920" w:right="180"/>
        <w:spacing w:after="0" w:line="308" w:lineRule="auto"/>
        <w:rPr>
          <w:sz w:val="20"/>
          <w:szCs w:val="20"/>
          <w:color w:val="auto"/>
        </w:rPr>
      </w:pPr>
      <w:r>
        <w:rPr>
          <w:rFonts w:ascii="Arial" w:cs="Arial" w:eastAsia="Arial" w:hAnsi="Arial"/>
          <w:sz w:val="17"/>
          <w:szCs w:val="17"/>
          <w:color w:val="auto"/>
        </w:rPr>
        <w:t>M&amp;T or you may terminate the Term for any reason before its scheduled expiration by written notice to the other party, which notice may be effective immediately. No part of the Consulting Fee will be payable for any period following the date of termination.</w:t>
      </w:r>
    </w:p>
    <w:p>
      <w:pPr>
        <w:spacing w:after="0" w:line="38"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The Term may be renewed from time to time if agreed to in writing by M&amp;T and you (although neither party has any obligation to agree to a renewal term).</w:t>
      </w:r>
    </w:p>
    <w:p>
      <w:pPr>
        <w:spacing w:after="0" w:line="315"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You agree that you are performing the Services for M&amp;T as an independent contractor and not as an employee or M&amp;T.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 acknowledge that the foregoing terms are acceptable to you, please execute and return a copy of this letter agreement to my attention.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Janet M. Coletti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Janet M. Coletti</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Robert E. Sadler,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E. Sadler, Jr.</w:t>
      </w:r>
    </w:p>
    <w:p>
      <w:pPr>
        <w:sectPr>
          <w:pgSz w:w="11900" w:h="16838" w:orient="portrait"/>
          <w:cols w:equalWidth="0" w:num="1">
            <w:col w:w="11240"/>
          </w:cols>
          <w:pgMar w:left="240" w:top="274" w:right="4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31"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Darren J. King, certify that:</w:t>
      </w:r>
    </w:p>
    <w:p>
      <w:pPr>
        <w:spacing w:after="0" w:line="131"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Darren J. King</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76" w:lineRule="exact"/>
        <w:rPr>
          <w:sz w:val="20"/>
          <w:szCs w:val="20"/>
          <w:color w:val="auto"/>
        </w:rPr>
      </w:pPr>
    </w:p>
    <w:p>
      <w:pPr>
        <w:ind w:left="900" w:right="20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2016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2016</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 Darren J. King, Executive Vice President and Chief Financial Officer of M&amp;T Bank Corporation, certify, pursuant to Section 906 of the Sarbanes-Oxley Act of 2002, 18 U.S.C. Section 1350, that:</w:t>
      </w:r>
    </w:p>
    <w:p>
      <w:pPr>
        <w:spacing w:after="0" w:line="76" w:lineRule="exact"/>
        <w:rPr>
          <w:sz w:val="20"/>
          <w:szCs w:val="20"/>
          <w:color w:val="auto"/>
        </w:rPr>
      </w:pPr>
    </w:p>
    <w:p>
      <w:pPr>
        <w:ind w:left="900" w:right="20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2016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Darren J. King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2016</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decimal"/>
      <w:start w:val="1"/>
    </w:lvl>
  </w:abstractNum>
  <w:abstractNum w:abstractNumId="3">
    <w:nsid w:val="749ABB43"/>
    <w:multiLevelType w:val="hybridMultilevel"/>
    <w:lvl w:ilvl="0">
      <w:lvlJc w:val="left"/>
      <w:lvlText w:val="%1."/>
      <w:numFmt w:val="decimal"/>
      <w:start w:val="2"/>
    </w:lvl>
  </w:abstractNum>
  <w:abstractNum w:abstractNumId="4">
    <w:nsid w:val="3DC240FB"/>
    <w:multiLevelType w:val="hybridMultilevel"/>
    <w:lvl w:ilvl="0">
      <w:lvlJc w:val="left"/>
      <w:lvlText w:val="%1."/>
      <w:numFmt w:val="decimal"/>
      <w:start w:val="2"/>
    </w:lvl>
  </w:abstractNum>
  <w:abstractNum w:abstractNumId="5">
    <w:nsid w:val="1BA026FA"/>
    <w:multiLevelType w:val="hybridMultilevel"/>
    <w:lvl w:ilvl="0">
      <w:lvlJc w:val="left"/>
      <w:lvlText w:val="(%1)"/>
      <w:numFmt w:val="lowerLetter"/>
      <w:start w:val="1"/>
    </w:lvl>
  </w:abstractNum>
  <w:abstractNum w:abstractNumId="6">
    <w:nsid w:val="79A1DEAA"/>
    <w:multiLevelType w:val="hybridMultilevel"/>
    <w:lvl w:ilvl="0">
      <w:lvlJc w:val="left"/>
      <w:lvlText w:val="%1."/>
      <w:numFmt w:val="decimal"/>
      <w:start w:val="3"/>
    </w:lvl>
  </w:abstractNum>
  <w:abstractNum w:abstractNumId="7">
    <w:nsid w:val="75C6C33A"/>
    <w:multiLevelType w:val="hybridMultilevel"/>
    <w:lvl w:ilvl="0">
      <w:lvlJc w:val="left"/>
      <w:lvlText w:val="%1."/>
      <w:numFmt w:val="decimal"/>
      <w:start w:val="3"/>
    </w:lvl>
  </w:abstractNum>
  <w:abstractNum w:abstractNumId="8">
    <w:nsid w:val="12E685FB"/>
    <w:multiLevelType w:val="hybridMultilevel"/>
    <w:lvl w:ilvl="0">
      <w:lvlJc w:val="left"/>
      <w:lvlText w:val="%1."/>
      <w:numFmt w:val="decimal"/>
      <w:start w:val="3"/>
    </w:lvl>
  </w:abstractNum>
  <w:abstractNum w:abstractNumId="9">
    <w:nsid w:val="70C6A529"/>
    <w:multiLevelType w:val="hybridMultilevel"/>
    <w:lvl w:ilvl="0">
      <w:lvlJc w:val="left"/>
      <w:lvlText w:val="%1."/>
      <w:numFmt w:val="decimal"/>
      <w:start w:val="3"/>
    </w:lvl>
  </w:abstractNum>
  <w:abstractNum w:abstractNumId="10">
    <w:nsid w:val="520EEDD1"/>
    <w:multiLevelType w:val="hybridMultilevel"/>
    <w:lvl w:ilvl="0">
      <w:lvlJc w:val="left"/>
      <w:lvlText w:val="%1."/>
      <w:numFmt w:val="decimal"/>
      <w:start w:val="4"/>
    </w:lvl>
  </w:abstractNum>
  <w:abstractNum w:abstractNumId="11">
    <w:nsid w:val="374A3FE6"/>
    <w:multiLevelType w:val="hybridMultilevel"/>
    <w:lvl w:ilvl="0">
      <w:lvlJc w:val="left"/>
      <w:lvlText w:val="(%1)"/>
      <w:numFmt w:val="lowerLetter"/>
      <w:start w:val="1"/>
    </w:lvl>
  </w:abstractNum>
  <w:abstractNum w:abstractNumId="12">
    <w:nsid w:val="4F4EF005"/>
    <w:multiLevelType w:val="hybridMultilevel"/>
    <w:lvl w:ilvl="0">
      <w:lvlJc w:val="left"/>
      <w:lvlText w:val="%1."/>
      <w:numFmt w:val="decimal"/>
      <w:start w:val="4"/>
    </w:lvl>
  </w:abstractNum>
  <w:abstractNum w:abstractNumId="13">
    <w:nsid w:val="23F9C13C"/>
    <w:multiLevelType w:val="hybridMultilevel"/>
    <w:lvl w:ilvl="0">
      <w:lvlJc w:val="left"/>
      <w:lvlText w:val="(%1)"/>
      <w:numFmt w:val="lowerLetter"/>
      <w:start w:val="1"/>
    </w:lvl>
  </w:abstractNum>
  <w:abstractNum w:abstractNumId="14">
    <w:nsid w:val="649BB77C"/>
    <w:multiLevelType w:val="hybridMultilevel"/>
    <w:lvl w:ilvl="0">
      <w:lvlJc w:val="left"/>
      <w:lvlText w:val="%1."/>
      <w:numFmt w:val="decimal"/>
      <w:start w:val="4"/>
    </w:lvl>
  </w:abstractNum>
  <w:abstractNum w:abstractNumId="15">
    <w:nsid w:val="275AC794"/>
    <w:multiLevelType w:val="hybridMultilevel"/>
    <w:lvl w:ilvl="0">
      <w:lvlJc w:val="left"/>
      <w:lvlText w:val="%1."/>
      <w:numFmt w:val="decimal"/>
      <w:start w:val="4"/>
    </w:lvl>
  </w:abstractNum>
  <w:abstractNum w:abstractNumId="16">
    <w:nsid w:val="39386575"/>
    <w:multiLevelType w:val="hybridMultilevel"/>
    <w:lvl w:ilvl="0">
      <w:lvlJc w:val="left"/>
      <w:lvlText w:val="%1."/>
      <w:numFmt w:val="decimal"/>
      <w:start w:val="4"/>
    </w:lvl>
  </w:abstractNum>
  <w:abstractNum w:abstractNumId="17">
    <w:nsid w:val="1CF10FD8"/>
    <w:multiLevelType w:val="hybridMultilevel"/>
    <w:lvl w:ilvl="0">
      <w:lvlJc w:val="left"/>
      <w:lvlText w:val="%1."/>
      <w:numFmt w:val="decimal"/>
      <w:start w:val="4"/>
    </w:lvl>
  </w:abstractNum>
  <w:abstractNum w:abstractNumId="18">
    <w:nsid w:val="180115BE"/>
    <w:multiLevelType w:val="hybridMultilevel"/>
    <w:lvl w:ilvl="0">
      <w:lvlJc w:val="left"/>
      <w:lvlText w:val="%1."/>
      <w:numFmt w:val="decimal"/>
      <w:start w:val="4"/>
    </w:lvl>
  </w:abstractNum>
  <w:abstractNum w:abstractNumId="19">
    <w:nsid w:val="235BA861"/>
    <w:multiLevelType w:val="hybridMultilevel"/>
    <w:lvl w:ilvl="0">
      <w:lvlJc w:val="left"/>
      <w:lvlText w:val="%1."/>
      <w:numFmt w:val="decimal"/>
      <w:start w:val="4"/>
    </w:lvl>
  </w:abstractNum>
  <w:abstractNum w:abstractNumId="20">
    <w:nsid w:val="47398C89"/>
    <w:multiLevelType w:val="hybridMultilevel"/>
    <w:lvl w:ilvl="0">
      <w:lvlJc w:val="left"/>
      <w:lvlText w:val="%1."/>
      <w:numFmt w:val="decimal"/>
      <w:start w:val="4"/>
    </w:lvl>
  </w:abstractNum>
  <w:abstractNum w:abstractNumId="21">
    <w:nsid w:val="354FE9F9"/>
    <w:multiLevelType w:val="hybridMultilevel"/>
    <w:lvl w:ilvl="0">
      <w:lvlJc w:val="left"/>
      <w:lvlText w:val="(%1)"/>
      <w:numFmt w:val="lowerLetter"/>
      <w:start w:val="1"/>
    </w:lvl>
  </w:abstractNum>
  <w:abstractNum w:abstractNumId="22">
    <w:nsid w:val="15B5AF5C"/>
    <w:multiLevelType w:val="hybridMultilevel"/>
    <w:lvl w:ilvl="0">
      <w:lvlJc w:val="left"/>
      <w:lvlText w:val="%1."/>
      <w:numFmt w:val="decimal"/>
      <w:start w:val="4"/>
    </w:lvl>
  </w:abstractNum>
  <w:abstractNum w:abstractNumId="23">
    <w:nsid w:val="741226BB"/>
    <w:multiLevelType w:val="hybridMultilevel"/>
    <w:lvl w:ilvl="0">
      <w:lvlJc w:val="left"/>
      <w:lvlText w:val="(%1)"/>
      <w:numFmt w:val="lowerLetter"/>
      <w:start w:val="1"/>
    </w:lvl>
  </w:abstractNum>
  <w:abstractNum w:abstractNumId="24">
    <w:nsid w:val="D34B6A8"/>
    <w:multiLevelType w:val="hybridMultilevel"/>
    <w:lvl w:ilvl="0">
      <w:lvlJc w:val="left"/>
      <w:lvlText w:val="%1."/>
      <w:numFmt w:val="decimal"/>
      <w:start w:val="4"/>
    </w:lvl>
  </w:abstractNum>
  <w:abstractNum w:abstractNumId="25">
    <w:nsid w:val="10233C99"/>
    <w:multiLevelType w:val="hybridMultilevel"/>
    <w:lvl w:ilvl="0">
      <w:lvlJc w:val="left"/>
      <w:lvlText w:val="(%1)"/>
      <w:numFmt w:val="lowerLetter"/>
      <w:start w:val="1"/>
    </w:lvl>
  </w:abstractNum>
  <w:abstractNum w:abstractNumId="26">
    <w:nsid w:val="3F6AB60F"/>
    <w:multiLevelType w:val="hybridMultilevel"/>
    <w:lvl w:ilvl="0">
      <w:lvlJc w:val="left"/>
      <w:lvlText w:val="%1."/>
      <w:numFmt w:val="decimal"/>
      <w:start w:val="4"/>
    </w:lvl>
  </w:abstractNum>
  <w:abstractNum w:abstractNumId="27">
    <w:nsid w:val="61574095"/>
    <w:multiLevelType w:val="hybridMultilevel"/>
    <w:lvl w:ilvl="0">
      <w:lvlJc w:val="left"/>
      <w:lvlText w:val="(%1)"/>
      <w:numFmt w:val="lowerLetter"/>
      <w:start w:val="1"/>
    </w:lvl>
  </w:abstractNum>
  <w:abstractNum w:abstractNumId="28">
    <w:nsid w:val="7E0C57B1"/>
    <w:multiLevelType w:val="hybridMultilevel"/>
    <w:lvl w:ilvl="0">
      <w:lvlJc w:val="left"/>
      <w:lvlText w:val="%1."/>
      <w:numFmt w:val="decimal"/>
      <w:start w:val="5"/>
    </w:lvl>
  </w:abstractNum>
  <w:abstractNum w:abstractNumId="29">
    <w:nsid w:val="77AE35EB"/>
    <w:multiLevelType w:val="hybridMultilevel"/>
    <w:lvl w:ilvl="0">
      <w:lvlJc w:val="left"/>
      <w:lvlText w:val="%1."/>
      <w:numFmt w:val="decimal"/>
      <w:start w:val="6"/>
    </w:lvl>
  </w:abstractNum>
  <w:abstractNum w:abstractNumId="30">
    <w:nsid w:val="579BE4F1"/>
    <w:multiLevelType w:val="hybridMultilevel"/>
    <w:lvl w:ilvl="0">
      <w:lvlJc w:val="left"/>
      <w:lvlText w:val="%1."/>
      <w:numFmt w:val="decimal"/>
      <w:start w:val="6"/>
    </w:lvl>
  </w:abstractNum>
  <w:abstractNum w:abstractNumId="31">
    <w:nsid w:val="310C50B3"/>
    <w:multiLevelType w:val="hybridMultilevel"/>
    <w:lvl w:ilvl="0">
      <w:lvlJc w:val="left"/>
      <w:lvlText w:val="(%1)"/>
      <w:numFmt w:val="lowerLetter"/>
      <w:start w:val="1"/>
    </w:lvl>
  </w:abstractNum>
  <w:abstractNum w:abstractNumId="32">
    <w:nsid w:val="5FF87E05"/>
    <w:multiLevelType w:val="hybridMultilevel"/>
    <w:lvl w:ilvl="0">
      <w:lvlJc w:val="left"/>
      <w:lvlText w:val="%1."/>
      <w:numFmt w:val="decimal"/>
      <w:start w:val="7"/>
    </w:lvl>
  </w:abstractNum>
  <w:abstractNum w:abstractNumId="33">
    <w:nsid w:val="2F305DEF"/>
    <w:multiLevelType w:val="hybridMultilevel"/>
    <w:lvl w:ilvl="0">
      <w:lvlJc w:val="left"/>
      <w:lvlText w:val="%1."/>
      <w:numFmt w:val="decimal"/>
      <w:start w:val="8"/>
    </w:lvl>
  </w:abstractNum>
  <w:abstractNum w:abstractNumId="34">
    <w:nsid w:val="25A70BF7"/>
    <w:multiLevelType w:val="hybridMultilevel"/>
    <w:lvl w:ilvl="0">
      <w:lvlJc w:val="left"/>
      <w:lvlText w:val="%1."/>
      <w:numFmt w:val="decimal"/>
      <w:start w:val="9"/>
    </w:lvl>
  </w:abstractNum>
  <w:abstractNum w:abstractNumId="35">
    <w:nsid w:val="1DBABF00"/>
    <w:multiLevelType w:val="hybridMultilevel"/>
    <w:lvl w:ilvl="0">
      <w:lvlJc w:val="left"/>
      <w:lvlText w:val="(%1)"/>
      <w:numFmt w:val="lowerLetter"/>
      <w:start w:val="1"/>
    </w:lvl>
  </w:abstractNum>
  <w:abstractNum w:abstractNumId="36">
    <w:nsid w:val="4AD084E9"/>
    <w:multiLevelType w:val="hybridMultilevel"/>
    <w:lvl w:ilvl="0">
      <w:lvlJc w:val="left"/>
      <w:lvlText w:val="%1."/>
      <w:numFmt w:val="decimal"/>
      <w:start w:val="10"/>
    </w:lvl>
  </w:abstractNum>
  <w:abstractNum w:abstractNumId="37">
    <w:nsid w:val="1F48EAA1"/>
    <w:multiLevelType w:val="hybridMultilevel"/>
    <w:lvl w:ilvl="0">
      <w:lvlJc w:val="left"/>
      <w:lvlText w:val="(%1)"/>
      <w:numFmt w:val="lowerLetter"/>
      <w:start w:val="1"/>
    </w:lvl>
  </w:abstractNum>
  <w:abstractNum w:abstractNumId="38">
    <w:nsid w:val="1381823A"/>
    <w:multiLevelType w:val="hybridMultilevel"/>
    <w:lvl w:ilvl="0">
      <w:lvlJc w:val="left"/>
      <w:lvlText w:val="%1."/>
      <w:numFmt w:val="decimal"/>
      <w:start w:val="10"/>
    </w:lvl>
  </w:abstractNum>
  <w:abstractNum w:abstractNumId="39">
    <w:nsid w:val="5DB70AE5"/>
    <w:multiLevelType w:val="hybridMultilevel"/>
    <w:lvl w:ilvl="0">
      <w:lvlJc w:val="left"/>
      <w:lvlText w:val="(%1)"/>
      <w:numFmt w:val="lowerLetter"/>
      <w:start w:val="1"/>
    </w:lvl>
  </w:abstractNum>
  <w:abstractNum w:abstractNumId="40">
    <w:nsid w:val="100F8FCA"/>
    <w:multiLevelType w:val="hybridMultilevel"/>
    <w:lvl w:ilvl="0">
      <w:lvlJc w:val="left"/>
      <w:lvlText w:val="%1."/>
      <w:numFmt w:val="decimal"/>
      <w:start w:val="10"/>
    </w:lvl>
  </w:abstractNum>
  <w:abstractNum w:abstractNumId="41">
    <w:nsid w:val="6590700B"/>
    <w:multiLevelType w:val="hybridMultilevel"/>
    <w:lvl w:ilvl="0">
      <w:lvlJc w:val="left"/>
      <w:lvlText w:val="%1."/>
      <w:numFmt w:val="decimal"/>
      <w:start w:val="10"/>
    </w:lvl>
  </w:abstractNum>
  <w:abstractNum w:abstractNumId="42">
    <w:nsid w:val="15014ACB"/>
    <w:multiLevelType w:val="hybridMultilevel"/>
    <w:lvl w:ilvl="0">
      <w:lvlJc w:val="left"/>
      <w:lvlText w:val="%1."/>
      <w:numFmt w:val="decimal"/>
      <w:start w:val="11"/>
    </w:lvl>
  </w:abstractNum>
  <w:abstractNum w:abstractNumId="43">
    <w:nsid w:val="5F5E7FD0"/>
    <w:multiLevelType w:val="hybridMultilevel"/>
    <w:lvl w:ilvl="0">
      <w:lvlJc w:val="left"/>
      <w:lvlText w:val="%1."/>
      <w:numFmt w:val="decimal"/>
      <w:start w:val="11"/>
    </w:lvl>
  </w:abstractNum>
  <w:abstractNum w:abstractNumId="44">
    <w:nsid w:val="98A3148"/>
    <w:multiLevelType w:val="hybridMultilevel"/>
    <w:lvl w:ilvl="0">
      <w:lvlJc w:val="left"/>
      <w:lvlText w:val="%1."/>
      <w:numFmt w:val="decimal"/>
      <w:start w:val="12"/>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1."/>
      <w:numFmt w:val="decimal"/>
      <w:start w:val="12"/>
    </w:lvl>
  </w:abstractNum>
  <w:abstractNum w:abstractNumId="47">
    <w:nsid w:val="42C296BD"/>
    <w:multiLevelType w:val="hybridMultilevel"/>
    <w:lvl w:ilvl="0">
      <w:lvlJc w:val="left"/>
      <w:lvlText w:val="%1."/>
      <w:numFmt w:val="decimal"/>
      <w:start w:val="12"/>
    </w:lvl>
  </w:abstractNum>
  <w:abstractNum w:abstractNumId="48">
    <w:nsid w:val="168E121F"/>
    <w:multiLevelType w:val="hybridMultilevel"/>
    <w:lvl w:ilvl="0">
      <w:lvlJc w:val="left"/>
      <w:lvlText w:val="(%1)"/>
      <w:numFmt w:val="lowerLetter"/>
      <w:start w:val="1"/>
    </w:lvl>
  </w:abstractNum>
  <w:abstractNum w:abstractNumId="49">
    <w:nsid w:val="1EBA5D23"/>
    <w:multiLevelType w:val="hybridMultilevel"/>
    <w:lvl w:ilvl="0">
      <w:lvlJc w:val="left"/>
      <w:lvlText w:val="%1."/>
      <w:numFmt w:val="decimal"/>
      <w:start w:val="12"/>
    </w:lvl>
  </w:abstractNum>
  <w:abstractNum w:abstractNumId="50">
    <w:nsid w:val="661E3F1E"/>
    <w:multiLevelType w:val="hybridMultilevel"/>
    <w:lvl w:ilvl="0">
      <w:lvlJc w:val="left"/>
      <w:lvlText w:val="%1."/>
      <w:numFmt w:val="decimal"/>
      <w:start w:val="12"/>
    </w:lvl>
  </w:abstractNum>
  <w:abstractNum w:abstractNumId="51">
    <w:nsid w:val="5DC79EA8"/>
    <w:multiLevelType w:val="hybridMultilevel"/>
    <w:lvl w:ilvl="0">
      <w:lvlJc w:val="left"/>
      <w:lvlText w:val="%1."/>
      <w:numFmt w:val="decimal"/>
      <w:start w:val="12"/>
    </w:lvl>
  </w:abstractNum>
  <w:abstractNum w:abstractNumId="52">
    <w:nsid w:val="540A471C"/>
    <w:multiLevelType w:val="hybridMultilevel"/>
    <w:lvl w:ilvl="0">
      <w:lvlJc w:val="left"/>
      <w:lvlText w:val="(%1)"/>
      <w:numFmt w:val="lowerLetter"/>
      <w:start w:val="1"/>
    </w:lvl>
  </w:abstractNum>
  <w:abstractNum w:abstractNumId="53">
    <w:nsid w:val="7BD3EE7B"/>
    <w:multiLevelType w:val="hybridMultilevel"/>
    <w:lvl w:ilvl="0">
      <w:lvlJc w:val="left"/>
      <w:lvlText w:val="%1."/>
      <w:numFmt w:val="decimal"/>
      <w:start w:val="12"/>
    </w:lvl>
  </w:abstractNum>
  <w:abstractNum w:abstractNumId="54">
    <w:nsid w:val="51D9C564"/>
    <w:multiLevelType w:val="hybridMultilevel"/>
    <w:lvl w:ilvl="0">
      <w:lvlJc w:val="left"/>
      <w:lvlText w:val="%1."/>
      <w:numFmt w:val="decimal"/>
      <w:start w:val="12"/>
    </w:lvl>
  </w:abstractNum>
  <w:abstractNum w:abstractNumId="55">
    <w:nsid w:val="613EFDC5"/>
    <w:multiLevelType w:val="hybridMultilevel"/>
    <w:lvl w:ilvl="0">
      <w:lvlJc w:val="left"/>
      <w:lvlText w:val="(%1)"/>
      <w:numFmt w:val="lowerLetter"/>
      <w:start w:val="1"/>
    </w:lvl>
  </w:abstractNum>
  <w:abstractNum w:abstractNumId="56">
    <w:nsid w:val="BF72B14"/>
    <w:multiLevelType w:val="hybridMultilevel"/>
    <w:lvl w:ilvl="0">
      <w:lvlJc w:val="left"/>
      <w:lvlText w:val="%1."/>
      <w:numFmt w:val="decimal"/>
      <w:start w:val="12"/>
    </w:lvl>
  </w:abstractNum>
  <w:abstractNum w:abstractNumId="57">
    <w:nsid w:val="11447B73"/>
    <w:multiLevelType w:val="hybridMultilevel"/>
    <w:lvl w:ilvl="0">
      <w:lvlJc w:val="left"/>
      <w:lvlText w:val="%1."/>
      <w:numFmt w:val="decimal"/>
      <w:start w:val="12"/>
    </w:lvl>
  </w:abstractNum>
  <w:abstractNum w:abstractNumId="58">
    <w:nsid w:val="42963E5A"/>
    <w:multiLevelType w:val="hybridMultilevel"/>
    <w:lvl w:ilvl="0">
      <w:lvlJc w:val="left"/>
      <w:lvlText w:val="%1."/>
      <w:numFmt w:val="decimal"/>
      <w:start w:val="12"/>
    </w:lvl>
  </w:abstractNum>
  <w:abstractNum w:abstractNumId="59">
    <w:nsid w:val="A0382C5"/>
    <w:multiLevelType w:val="hybridMultilevel"/>
    <w:lvl w:ilvl="0">
      <w:lvlJc w:val="left"/>
      <w:lvlText w:val="%1."/>
      <w:numFmt w:val="decimal"/>
      <w:start w:val="13"/>
    </w:lvl>
  </w:abstractNum>
  <w:abstractNum w:abstractNumId="60">
    <w:nsid w:val="8F2B15E"/>
    <w:multiLevelType w:val="hybridMultilevel"/>
    <w:lvl w:ilvl="0">
      <w:lvlJc w:val="left"/>
      <w:lvlText w:val="%1."/>
      <w:numFmt w:val="decimal"/>
      <w:start w:val="13"/>
    </w:lvl>
  </w:abstractNum>
  <w:abstractNum w:abstractNumId="61">
    <w:nsid w:val="1A32234B"/>
    <w:multiLevelType w:val="hybridMultilevel"/>
    <w:lvl w:ilvl="0">
      <w:lvlJc w:val="left"/>
      <w:lvlText w:val="%1."/>
      <w:numFmt w:val="decimal"/>
      <w:start w:val="13"/>
    </w:lvl>
  </w:abstractNum>
  <w:abstractNum w:abstractNumId="62">
    <w:nsid w:val="3B0FD379"/>
    <w:multiLevelType w:val="hybridMultilevel"/>
    <w:lvl w:ilvl="0">
      <w:lvlJc w:val="left"/>
      <w:lvlText w:val="%1."/>
      <w:numFmt w:val="decimal"/>
      <w:start w:val="14"/>
    </w:lvl>
  </w:abstractNum>
  <w:abstractNum w:abstractNumId="63">
    <w:nsid w:val="68EB2F63"/>
    <w:multiLevelType w:val="hybridMultilevel"/>
    <w:lvl w:ilvl="0">
      <w:lvlJc w:val="left"/>
      <w:lvlText w:val="%1."/>
      <w:numFmt w:val="decimal"/>
      <w:start w:val="14"/>
    </w:lvl>
  </w:abstractNum>
  <w:abstractNum w:abstractNumId="64">
    <w:nsid w:val="4962813B"/>
    <w:multiLevelType w:val="hybridMultilevel"/>
    <w:lvl w:ilvl="0">
      <w:lvlJc w:val="left"/>
      <w:lvlText w:val="(%1)"/>
      <w:numFmt w:val="lowerLetter"/>
      <w:start w:val="1"/>
    </w:lvl>
  </w:abstractNum>
  <w:abstractNum w:abstractNumId="65">
    <w:nsid w:val="60B6DF70"/>
    <w:multiLevelType w:val="hybridMultilevel"/>
    <w:lvl w:ilvl="0">
      <w:lvlJc w:val="left"/>
      <w:lvlText w:val="%1."/>
      <w:numFmt w:val="decimal"/>
      <w:start w:val="15"/>
    </w:lvl>
  </w:abstractNum>
  <w:abstractNum w:abstractNumId="66">
    <w:nsid w:val="6A5EE64"/>
    <w:multiLevelType w:val="hybridMultilevel"/>
    <w:lvl w:ilvl="0">
      <w:lvlJc w:val="left"/>
      <w:lvlText w:val="%1."/>
      <w:numFmt w:val="decimal"/>
      <w:start w:val="16"/>
    </w:lvl>
  </w:abstractNum>
  <w:abstractNum w:abstractNumId="67">
    <w:nsid w:val="14330624"/>
    <w:multiLevelType w:val="hybridMultilevel"/>
    <w:lvl w:ilvl="0">
      <w:lvlJc w:val="left"/>
      <w:lvlText w:val="(%1)"/>
      <w:numFmt w:val="lowerLetter"/>
      <w:start w:val="1"/>
    </w:lvl>
  </w:abstractNum>
  <w:abstractNum w:abstractNumId="68">
    <w:nsid w:val="7FFFCA11"/>
    <w:multiLevelType w:val="hybridMultilevel"/>
    <w:lvl w:ilvl="0">
      <w:lvlJc w:val="left"/>
      <w:lvlText w:val="(%1)"/>
      <w:numFmt w:val="lowerLetter"/>
      <w:start w:val="1"/>
    </w:lvl>
  </w:abstractNum>
  <w:abstractNum w:abstractNumId="69">
    <w:nsid w:val="1A27709E"/>
    <w:multiLevelType w:val="hybridMultilevel"/>
    <w:lvl w:ilvl="0">
      <w:lvlJc w:val="left"/>
      <w:lvlText w:val="(%1)"/>
      <w:numFmt w:val="lowerLetter"/>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1)"/>
      <w:numFmt w:val="lowerLetter"/>
      <w:start w:val="1"/>
    </w:lvl>
  </w:abstractNum>
  <w:abstractNum w:abstractNumId="72">
    <w:nsid w:val="7FB7E0AA"/>
    <w:multiLevelType w:val="hybridMultilevel"/>
    <w:lvl w:ilvl="0">
      <w:lvlJc w:val="left"/>
      <w:lvlText w:val="(%1)"/>
      <w:numFmt w:val="lowerLetter"/>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1)"/>
      <w:numFmt w:val="lowerLetter"/>
      <w:start w:val="1"/>
    </w:lvl>
  </w:abstractNum>
  <w:abstractNum w:abstractNumId="78">
    <w:nsid w:val="4C04A8AF"/>
    <w:multiLevelType w:val="hybridMultilevel"/>
    <w:lvl w:ilvl="0">
      <w:lvlJc w:val="left"/>
      <w:lvlText w:val="(%1)"/>
      <w:numFmt w:val="lowerLetter"/>
      <w:start w:val="1"/>
    </w:lvl>
  </w:abstractNum>
  <w:abstractNum w:abstractNumId="79">
    <w:nsid w:val="1716703B"/>
    <w:multiLevelType w:val="hybridMultilevel"/>
    <w:lvl w:ilvl="0">
      <w:lvlJc w:val="left"/>
      <w:lvlText w:val="(%1)"/>
      <w:numFmt w:val="lowerLetter"/>
      <w:start w:val="3"/>
    </w:lvl>
  </w:abstractNum>
  <w:abstractNum w:abstractNumId="80">
    <w:nsid w:val="14E17E33"/>
    <w:multiLevelType w:val="hybridMultilevel"/>
    <w:lvl w:ilvl="0">
      <w:lvlJc w:val="left"/>
      <w:lvlText w:val="(%1)"/>
      <w:numFmt w:val="decimal"/>
      <w:start w:val="1"/>
    </w:lvl>
  </w:abstractNum>
  <w:abstractNum w:abstractNumId="81">
    <w:nsid w:val="3222E7CD"/>
    <w:multiLevelType w:val="hybridMultilevel"/>
    <w:lvl w:ilvl="0">
      <w:lvlJc w:val="left"/>
      <w:lvlText w:val="%1."/>
      <w:numFmt w:val="decimal"/>
      <w:start w:val="1"/>
    </w:lvl>
  </w:abstractNum>
  <w:abstractNum w:abstractNumId="82">
    <w:nsid w:val="74DE0EE3"/>
    <w:multiLevelType w:val="hybridMultilevel"/>
    <w:lvl w:ilvl="0">
      <w:lvlJc w:val="left"/>
      <w:lvlText w:val="%1."/>
      <w:numFmt w:val="decimal"/>
      <w:start w:val="2"/>
    </w:lvl>
  </w:abstractNum>
  <w:abstractNum w:abstractNumId="83">
    <w:nsid w:val="68EBC550"/>
    <w:multiLevelType w:val="hybridMultilevel"/>
    <w:lvl w:ilvl="0">
      <w:lvlJc w:val="left"/>
      <w:lvlText w:val="%1."/>
      <w:numFmt w:val="decimal"/>
      <w:start w:val="3"/>
    </w:lvl>
  </w:abstractNum>
  <w:abstractNum w:abstractNumId="84">
    <w:nsid w:val="2DF6D648"/>
    <w:multiLevelType w:val="hybridMultilevel"/>
    <w:lvl w:ilvl="0">
      <w:lvlJc w:val="left"/>
      <w:lvlText w:val="%1."/>
      <w:numFmt w:val="decimal"/>
      <w:start w:val="4"/>
    </w:lvl>
  </w:abstractNum>
  <w:abstractNum w:abstractNumId="85">
    <w:nsid w:val="46B7D447"/>
    <w:multiLevelType w:val="hybridMultilevel"/>
    <w:lvl w:ilvl="0">
      <w:lvlJc w:val="left"/>
      <w:lvlText w:val="%1."/>
      <w:numFmt w:val="decimal"/>
      <w:start w:val="5"/>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1)"/>
      <w:numFmt w:val="lowerLetter"/>
      <w:start w:val="1"/>
    </w:lvl>
  </w:abstractNum>
  <w:abstractNum w:abstractNumId="88">
    <w:nsid w:val="57FC4FBB"/>
    <w:multiLevelType w:val="hybridMultilevel"/>
    <w:lvl w:ilvl="0">
      <w:lvlJc w:val="left"/>
      <w:lvlText w:val="%1."/>
      <w:numFmt w:val="decimal"/>
      <w:start w:val="5"/>
    </w:lvl>
  </w:abstractNum>
  <w:abstractNum w:abstractNumId="89">
    <w:nsid w:val="CC1016F"/>
    <w:multiLevelType w:val="hybridMultilevel"/>
    <w:lvl w:ilvl="0">
      <w:lvlJc w:val="left"/>
      <w:lvlText w:val="%1)"/>
      <w:numFmt w:val="lowerLetter"/>
      <w:start w:val="1"/>
    </w:lvl>
  </w:abstractNum>
  <w:abstractNum w:abstractNumId="90">
    <w:nsid w:val="43F18422"/>
    <w:multiLevelType w:val="hybridMultilevel"/>
    <w:lvl w:ilvl="0">
      <w:lvlJc w:val="left"/>
      <w:lvlText w:val="%1."/>
      <w:numFmt w:val="decimal"/>
      <w:start w:val="1"/>
    </w:lvl>
  </w:abstractNum>
  <w:abstractNum w:abstractNumId="91">
    <w:nsid w:val="60EF0119"/>
    <w:multiLevelType w:val="hybridMultilevel"/>
    <w:lvl w:ilvl="0">
      <w:lvlJc w:val="left"/>
      <w:lvlText w:val="%1)"/>
      <w:numFmt w:val="lowerLetter"/>
      <w:start w:val="1"/>
    </w:lvl>
  </w:abstractNum>
  <w:abstractNum w:abstractNumId="92">
    <w:nsid w:val="26F324BA"/>
    <w:multiLevelType w:val="hybridMultilevel"/>
    <w:lvl w:ilvl="0">
      <w:lvlJc w:val="left"/>
      <w:lvlText w:val="%1."/>
      <w:numFmt w:val="decimal"/>
      <w:start w:val="5"/>
    </w:lvl>
  </w:abstractNum>
  <w:abstractNum w:abstractNumId="93">
    <w:nsid w:val="7F01579B"/>
    <w:multiLevelType w:val="hybridMultilevel"/>
    <w:lvl w:ilvl="0">
      <w:lvlJc w:val="left"/>
      <w:lvlText w:val="%1)"/>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2019-12-29T11:12:48Z</dcterms:created>
  <dcterms:modified xsi:type="dcterms:W3CDTF">2019-12-29T11:12:48Z</dcterms:modified>
</cp:coreProperties>
</file>