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M&amp;T BANK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300" w:type="dxa"/>
        <w:tblCellMar>
          <w:top w:w="0" w:type="dxa"/>
          <w:left w:w="0" w:type="dxa"/>
          <w:bottom w:w="0" w:type="dxa"/>
          <w:right w:w="0" w:type="dxa"/>
        </w:tblCellMar>
      </w:tblPr>
      <w:tr>
        <w:trPr>
          <w:trHeight w:val="218"/>
        </w:trPr>
        <w:tc>
          <w:tcPr>
            <w:tcW w:w="2820" w:type="dxa"/>
            <w:vAlign w:val="bottom"/>
          </w:tcPr>
          <w:p>
            <w:pPr>
              <w:spacing w:after="0"/>
              <w:rPr>
                <w:sz w:val="18"/>
                <w:szCs w:val="18"/>
                <w:color w:val="auto"/>
              </w:rPr>
            </w:pPr>
          </w:p>
        </w:tc>
        <w:tc>
          <w:tcPr>
            <w:tcW w:w="5400" w:type="dxa"/>
            <w:vAlign w:val="bottom"/>
          </w:tcPr>
          <w:p>
            <w:pPr>
              <w:jc w:val="center"/>
              <w:ind w:right="2542"/>
              <w:spacing w:after="0"/>
              <w:rPr>
                <w:sz w:val="20"/>
                <w:szCs w:val="20"/>
                <w:color w:val="auto"/>
              </w:rPr>
            </w:pPr>
            <w:r>
              <w:rPr>
                <w:rFonts w:ascii="Arial" w:cs="Arial" w:eastAsia="Arial" w:hAnsi="Arial"/>
                <w:sz w:val="18"/>
                <w:szCs w:val="18"/>
                <w:b w:val="1"/>
                <w:bCs w:val="1"/>
                <w:color w:val="auto"/>
                <w:w w:val="90"/>
              </w:rPr>
              <w:t>New York</w:t>
            </w:r>
          </w:p>
        </w:tc>
      </w:tr>
      <w:tr>
        <w:trPr>
          <w:trHeight w:val="174"/>
        </w:trPr>
        <w:tc>
          <w:tcPr>
            <w:tcW w:w="2820" w:type="dxa"/>
            <w:vAlign w:val="bottom"/>
          </w:tcPr>
          <w:p>
            <w:pPr>
              <w:spacing w:after="0"/>
              <w:rPr>
                <w:sz w:val="15"/>
                <w:szCs w:val="15"/>
                <w:color w:val="auto"/>
              </w:rPr>
            </w:pPr>
          </w:p>
        </w:tc>
        <w:tc>
          <w:tcPr>
            <w:tcW w:w="5400" w:type="dxa"/>
            <w:vAlign w:val="bottom"/>
          </w:tcPr>
          <w:p>
            <w:pPr>
              <w:jc w:val="center"/>
              <w:ind w:right="2522"/>
              <w:spacing w:after="0"/>
              <w:rPr>
                <w:sz w:val="20"/>
                <w:szCs w:val="20"/>
                <w:color w:val="auto"/>
              </w:rPr>
            </w:pPr>
            <w:r>
              <w:rPr>
                <w:rFonts w:ascii="Arial" w:cs="Arial" w:eastAsia="Arial" w:hAnsi="Arial"/>
                <w:sz w:val="14"/>
                <w:szCs w:val="14"/>
                <w:b w:val="1"/>
                <w:bCs w:val="1"/>
                <w:color w:val="auto"/>
                <w:w w:val="87"/>
              </w:rPr>
              <w:t>(State or other jurisdiction of incorporation)</w:t>
            </w:r>
          </w:p>
        </w:tc>
      </w:tr>
      <w:tr>
        <w:trPr>
          <w:trHeight w:val="393"/>
        </w:trPr>
        <w:tc>
          <w:tcPr>
            <w:tcW w:w="2820" w:type="dxa"/>
            <w:vAlign w:val="bottom"/>
          </w:tcPr>
          <w:p>
            <w:pPr>
              <w:jc w:val="center"/>
              <w:ind w:right="2"/>
              <w:spacing w:after="0"/>
              <w:rPr>
                <w:sz w:val="20"/>
                <w:szCs w:val="20"/>
                <w:color w:val="auto"/>
              </w:rPr>
            </w:pPr>
            <w:r>
              <w:rPr>
                <w:rFonts w:ascii="Arial" w:cs="Arial" w:eastAsia="Arial" w:hAnsi="Arial"/>
                <w:sz w:val="18"/>
                <w:szCs w:val="18"/>
                <w:b w:val="1"/>
                <w:bCs w:val="1"/>
                <w:color w:val="auto"/>
                <w:w w:val="89"/>
              </w:rPr>
              <w:t>1-9861</w:t>
            </w:r>
          </w:p>
        </w:tc>
        <w:tc>
          <w:tcPr>
            <w:tcW w:w="5400" w:type="dxa"/>
            <w:vAlign w:val="bottom"/>
          </w:tcPr>
          <w:p>
            <w:pPr>
              <w:jc w:val="right"/>
              <w:ind w:right="542"/>
              <w:spacing w:after="0"/>
              <w:rPr>
                <w:sz w:val="20"/>
                <w:szCs w:val="20"/>
                <w:color w:val="auto"/>
              </w:rPr>
            </w:pPr>
            <w:r>
              <w:rPr>
                <w:rFonts w:ascii="Arial" w:cs="Arial" w:eastAsia="Arial" w:hAnsi="Arial"/>
                <w:sz w:val="18"/>
                <w:szCs w:val="18"/>
                <w:b w:val="1"/>
                <w:bCs w:val="1"/>
                <w:color w:val="auto"/>
              </w:rPr>
              <w:t>16-0968385</w:t>
            </w:r>
          </w:p>
        </w:tc>
      </w:tr>
      <w:tr>
        <w:trPr>
          <w:trHeight w:val="174"/>
        </w:trPr>
        <w:tc>
          <w:tcPr>
            <w:tcW w:w="282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(Commission File Number)</w:t>
            </w:r>
          </w:p>
        </w:tc>
        <w:tc>
          <w:tcPr>
            <w:tcW w:w="5400" w:type="dxa"/>
            <w:vAlign w:val="bottom"/>
          </w:tcPr>
          <w:p>
            <w:pPr>
              <w:jc w:val="center"/>
              <w:ind w:left="32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2820" w:type="dxa"/>
            <w:vAlign w:val="bottom"/>
          </w:tcPr>
          <w:p>
            <w:pPr>
              <w:jc w:val="center"/>
              <w:ind w:right="22"/>
              <w:spacing w:after="0"/>
              <w:rPr>
                <w:sz w:val="20"/>
                <w:szCs w:val="20"/>
                <w:color w:val="auto"/>
              </w:rPr>
            </w:pPr>
            <w:r>
              <w:rPr>
                <w:rFonts w:ascii="Arial" w:cs="Arial" w:eastAsia="Arial" w:hAnsi="Arial"/>
                <w:sz w:val="18"/>
                <w:szCs w:val="18"/>
                <w:b w:val="1"/>
                <w:bCs w:val="1"/>
                <w:color w:val="auto"/>
                <w:w w:val="92"/>
              </w:rPr>
              <w:t>One M&amp;T Plaza, Buffalo, New York</w:t>
            </w:r>
          </w:p>
        </w:tc>
        <w:tc>
          <w:tcPr>
            <w:tcW w:w="5400" w:type="dxa"/>
            <w:vAlign w:val="bottom"/>
          </w:tcPr>
          <w:p>
            <w:pPr>
              <w:jc w:val="right"/>
              <w:ind w:right="742"/>
              <w:spacing w:after="0"/>
              <w:rPr>
                <w:sz w:val="20"/>
                <w:szCs w:val="20"/>
                <w:color w:val="auto"/>
              </w:rPr>
            </w:pPr>
            <w:r>
              <w:rPr>
                <w:rFonts w:ascii="Arial" w:cs="Arial" w:eastAsia="Arial" w:hAnsi="Arial"/>
                <w:sz w:val="18"/>
                <w:szCs w:val="18"/>
                <w:b w:val="1"/>
                <w:bCs w:val="1"/>
                <w:color w:val="auto"/>
              </w:rPr>
              <w:t>14203</w:t>
            </w:r>
          </w:p>
        </w:tc>
      </w:tr>
      <w:tr>
        <w:trPr>
          <w:trHeight w:val="174"/>
        </w:trPr>
        <w:tc>
          <w:tcPr>
            <w:tcW w:w="282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400" w:type="dxa"/>
            <w:vAlign w:val="bottom"/>
          </w:tcPr>
          <w:p>
            <w:pPr>
              <w:jc w:val="center"/>
              <w:ind w:left="326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(716) 842-5445</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96520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1" w:name="page2"/>
    <w:bookmarkEnd w:id="1"/>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 This Amendment No. 1 amends the Current Report on Form 8-K dated May 13, 2011, to provide the financial statement information referred to in parts (a) and (b) of Item 9.01 below relating to the recently completed merger of a wholly-owned subsidiary of M&amp;T Bank Corporation (“M&amp;T”) with and into Wilmington Trust Corporation (“Wilmington”), with Wilmington continuing as the surviving corporation and a wholly owned subsidiary of M&amp;T (the “Merger”).</w:t>
      </w:r>
    </w:p>
    <w:p>
      <w:pPr>
        <w:spacing w:after="0" w:line="2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financial statements specified in Rule 3-05(b) of Regulation S-X were included in (1) Wilmington’s Annual Report on Form 10-K for the fiscal year ended December 31, 2010, filed with the Securities and Exchange Commission on March 1, 2011, and (2) Wilmington’s Quarterly Report on Form 10-Q for the quarter ended March 31, 2011, filed with the Securities and Exchange Commission on May 13, 2011, and are incorporated herein by reference.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An unaudited pro forma condensed combined balance sheet of M&amp;T as of March 31, 2011 and unaudited pro forma condensed combined statements of income of M&amp;T for the year ended December 31, 2010 and for the three months ended March 31, 2011 are filed herewith as Exhibit 99.2.</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unaudited pro forma condensed combined balance sheet assumes that the Merger was consummated on March 31, 2011. The unaudited pro forma condensed combined statements of income assume that the Merger was consummated on January 1, 2010 and reflect the pro forma consolidation of the results of operations of M&amp;T and Wilmington for the year ended December 31, 2010 and for the three months ended March 31, 2011. These results combine the historical financial data of Wilmington with that of M&amp;T and, while certain adjustments were made for the estimated impact of certain fair valuation adjustments and other acquisition-related activity, they are not indicative of what would have occurred had the acquisition taken place on the indicated dates. In particular, no adjustments have been made to eliminate the amount of Wilmington’s provision for credit losses or the impact of other-than-temporary impairment losses recognized by Wilmington in 2010 and in the first three months of 2011 that may not have been necessary had the acquired loans and investment securities been recorded at fair value as of January 1, 2010. Additionally, as a result of the Merger, M&amp;T expects to achieve substantial benefits, primarily in the area of operating cost savings. Implementation of cost savings strategies began soon after closing and such strategies are expected to be fully implemented during 2012. Management also estimates that operating cost savings that may be realized during the first twelve months following the Merger will be offset by various merger-related expenses associated with systems conversions and other costs of integrating and conforming the acquired operations with M&amp;T. The unaudited pro forma earnings do not reflect any direct costs or potential savings which are expected to result from the Merger and are not indicative of the results of future operations. No assurances can be given with respect to the ultimate level of cost savings to be realized or merger-related expenses to be incurred. Certain amounts in Wilmington’s historical balance sheet and statement of operations as shown have been reclassified to conform to M&amp;T’s presentation.</w:t>
      </w:r>
    </w:p>
    <w:p>
      <w:pPr>
        <w:spacing w:after="0" w:line="128"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The unaudited pro forma condensed financial information is not necessarily indicative of the future financial position or future results of operations of M&amp;T or of the financial position or the results of operations of M&amp;T that would actually have occurred had the Merger been in effect as of the date or for the periods presented. In addition, the preceding paragraph includes forward-looking statements that are based on current expectations, estimates and projections about M&amp;T’s business, management’s beliefs and assumptions made by management and are not guarantees of future performance and involve certain risks, uncertainties and assumptions (“Future Factors”), which are difficult to predict. Therefore, actual outcomes and results may differ materially from what is expressed or forecasted in such forward-looking statements. Future Factors include expected costs savings from the Merger that cannot be fully realized or that cannot be realized within the expected time frame; revenues following the Merger that are lower than expected; significant increases in competitive pressure among depository institutions; greater than expected costs or difficulties related to the integration of the business of M&amp;T and Wilmington, general economic conditions, either nationally or in the</w:t>
      </w:r>
    </w:p>
    <w:p>
      <w:pPr>
        <w:sectPr>
          <w:pgSz w:w="11900" w:h="16838" w:orient="portrait"/>
          <w:cols w:equalWidth="0" w:num="1">
            <w:col w:w="11360"/>
          </w:cols>
          <w:pgMar w:left="240" w:top="280" w:right="299" w:bottom="1440" w:gutter="0" w:footer="0" w:header="0"/>
        </w:sectPr>
      </w:pPr>
    </w:p>
    <w:bookmarkStart w:id="2" w:name="page3"/>
    <w:bookmarkEnd w:id="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markets in which M&amp;T will be doing business, that are less favorable than expected; and legislative or regulatory requirements or changes that adversely affect the business in which M&amp;T is engaged. Future Factors also include changes in interest rates, spreads on earning assets and interest-bearing liabilities, and interest rate sensitivity; credit losses and market values of loans, investment securities and other assets and liabilities;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including environmental regulations;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full realization of anticipated cost savings and revenue enhancements. 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 M&amp;T’s forward-looking statements speak only as of the date on which such statements are made. By making any forward-looking statements, M&amp;T assumes no duty to update them to reflect new, changing or unanticipated events or circumstances, except as may be required by applicable law or regulation.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10240" w:type="dxa"/>
            <w:vAlign w:val="bottom"/>
          </w:tcPr>
          <w:p>
            <w:pPr>
              <w:ind w:left="1040"/>
              <w:spacing w:after="0"/>
              <w:rPr>
                <w:sz w:val="20"/>
                <w:szCs w:val="20"/>
                <w:color w:val="auto"/>
              </w:rPr>
            </w:pPr>
            <w:r>
              <w:rPr>
                <w:rFonts w:ascii="Arial" w:cs="Arial" w:eastAsia="Arial" w:hAnsi="Arial"/>
                <w:sz w:val="18"/>
                <w:szCs w:val="18"/>
                <w:color w:val="auto"/>
              </w:rPr>
              <w:t>The following exhibits are filed herewith:</w:t>
            </w: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No.</w:t>
            </w:r>
          </w:p>
        </w:tc>
        <w:tc>
          <w:tcPr>
            <w:tcW w:w="10240" w:type="dxa"/>
            <w:vAlign w:val="bottom"/>
          </w:tcPr>
          <w:p>
            <w:pPr>
              <w:ind w:left="5060"/>
              <w:spacing w:after="0"/>
              <w:rPr>
                <w:sz w:val="20"/>
                <w:szCs w:val="20"/>
                <w:color w:val="auto"/>
              </w:rPr>
            </w:pPr>
            <w:r>
              <w:rPr>
                <w:rFonts w:ascii="Arial" w:cs="Arial" w:eastAsia="Arial" w:hAnsi="Arial"/>
                <w:sz w:val="14"/>
                <w:szCs w:val="14"/>
                <w:b w:val="1"/>
                <w:bCs w:val="1"/>
                <w:color w:val="auto"/>
              </w:rPr>
              <w:t>Description of Exhibit</w:t>
            </w:r>
          </w:p>
        </w:tc>
      </w:tr>
      <w:tr>
        <w:trPr>
          <w:trHeight w:val="309"/>
        </w:trPr>
        <w:tc>
          <w:tcPr>
            <w:tcW w:w="460" w:type="dxa"/>
            <w:vAlign w:val="bottom"/>
          </w:tcPr>
          <w:p>
            <w:pPr>
              <w:jc w:val="right"/>
              <w:ind w:right="58"/>
              <w:spacing w:after="0"/>
              <w:rPr>
                <w:sz w:val="20"/>
                <w:szCs w:val="20"/>
                <w:color w:val="auto"/>
              </w:rPr>
            </w:pPr>
            <w:r>
              <w:rPr>
                <w:rFonts w:ascii="Arial" w:cs="Arial" w:eastAsia="Arial" w:hAnsi="Arial"/>
                <w:sz w:val="18"/>
                <w:szCs w:val="18"/>
                <w:color w:val="auto"/>
              </w:rPr>
              <w:t>2.1</w:t>
            </w:r>
          </w:p>
        </w:tc>
        <w:tc>
          <w:tcPr>
            <w:tcW w:w="10240" w:type="dxa"/>
            <w:vAlign w:val="bottom"/>
          </w:tcPr>
          <w:p>
            <w:pPr>
              <w:ind w:left="440"/>
              <w:spacing w:after="0"/>
              <w:rPr>
                <w:sz w:val="20"/>
                <w:szCs w:val="20"/>
                <w:color w:val="auto"/>
              </w:rPr>
            </w:pPr>
            <w:r>
              <w:rPr>
                <w:rFonts w:ascii="Arial" w:cs="Arial" w:eastAsia="Arial" w:hAnsi="Arial"/>
                <w:sz w:val="18"/>
                <w:szCs w:val="18"/>
                <w:color w:val="auto"/>
                <w:w w:val="89"/>
              </w:rPr>
              <w:t>Agreement and Plan of Merger dated as of October 31, 2010 by and among M&amp;T Bank Corporation, MTB One, Inc. and Wilmington Trust</w:t>
            </w:r>
          </w:p>
        </w:tc>
      </w:tr>
      <w:tr>
        <w:trPr>
          <w:trHeight w:val="222"/>
        </w:trPr>
        <w:tc>
          <w:tcPr>
            <w:tcW w:w="460" w:type="dxa"/>
            <w:vAlign w:val="bottom"/>
          </w:tcPr>
          <w:p>
            <w:pPr>
              <w:spacing w:after="0"/>
              <w:rPr>
                <w:sz w:val="19"/>
                <w:szCs w:val="19"/>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Corporation (incorporated by reference to Exhibit 2.1 to M&amp;T’s Current Report on Form 8-K filed on November 2, 2010).</w:t>
            </w:r>
          </w:p>
        </w:tc>
      </w:tr>
      <w:tr>
        <w:trPr>
          <w:trHeight w:val="324"/>
        </w:trPr>
        <w:tc>
          <w:tcPr>
            <w:tcW w:w="460" w:type="dxa"/>
            <w:vAlign w:val="bottom"/>
          </w:tcPr>
          <w:p>
            <w:pPr>
              <w:jc w:val="right"/>
              <w:ind w:right="58"/>
              <w:spacing w:after="0"/>
              <w:rPr>
                <w:sz w:val="20"/>
                <w:szCs w:val="20"/>
                <w:color w:val="auto"/>
              </w:rPr>
            </w:pPr>
            <w:r>
              <w:rPr>
                <w:rFonts w:ascii="Arial" w:cs="Arial" w:eastAsia="Arial" w:hAnsi="Arial"/>
                <w:sz w:val="18"/>
                <w:szCs w:val="18"/>
                <w:color w:val="auto"/>
              </w:rPr>
              <w:t>4.1</w:t>
            </w:r>
          </w:p>
        </w:tc>
        <w:tc>
          <w:tcPr>
            <w:tcW w:w="10240" w:type="dxa"/>
            <w:vAlign w:val="bottom"/>
          </w:tcPr>
          <w:p>
            <w:pPr>
              <w:ind w:left="440"/>
              <w:spacing w:after="0"/>
              <w:rPr>
                <w:sz w:val="20"/>
                <w:szCs w:val="20"/>
                <w:color w:val="auto"/>
              </w:rPr>
            </w:pPr>
            <w:r>
              <w:rPr>
                <w:rFonts w:ascii="Arial" w:cs="Arial" w:eastAsia="Arial" w:hAnsi="Arial"/>
                <w:sz w:val="18"/>
                <w:szCs w:val="18"/>
                <w:color w:val="auto"/>
              </w:rPr>
              <w:t>Warrant to Purchase Shares of M&amp;T Bank Corporation Common Stock effective May 16, 2011.*</w:t>
            </w:r>
          </w:p>
        </w:tc>
      </w:tr>
      <w:tr>
        <w:trPr>
          <w:trHeight w:val="324"/>
        </w:trPr>
        <w:tc>
          <w:tcPr>
            <w:tcW w:w="460" w:type="dxa"/>
            <w:vAlign w:val="bottom"/>
          </w:tcPr>
          <w:p>
            <w:pPr>
              <w:jc w:val="right"/>
              <w:ind w:right="58"/>
              <w:spacing w:after="0"/>
              <w:rPr>
                <w:sz w:val="20"/>
                <w:szCs w:val="20"/>
                <w:color w:val="auto"/>
              </w:rPr>
            </w:pPr>
            <w:r>
              <w:rPr>
                <w:rFonts w:ascii="Arial" w:cs="Arial" w:eastAsia="Arial" w:hAnsi="Arial"/>
                <w:sz w:val="18"/>
                <w:szCs w:val="18"/>
                <w:color w:val="auto"/>
                <w:w w:val="85"/>
              </w:rPr>
              <w:t>23.1</w:t>
            </w:r>
          </w:p>
        </w:tc>
        <w:tc>
          <w:tcPr>
            <w:tcW w:w="10240" w:type="dxa"/>
            <w:vAlign w:val="bottom"/>
          </w:tcPr>
          <w:p>
            <w:pPr>
              <w:ind w:left="440"/>
              <w:spacing w:after="0"/>
              <w:rPr>
                <w:sz w:val="20"/>
                <w:szCs w:val="20"/>
                <w:color w:val="auto"/>
              </w:rPr>
            </w:pPr>
            <w:r>
              <w:rPr>
                <w:rFonts w:ascii="Arial" w:cs="Arial" w:eastAsia="Arial" w:hAnsi="Arial"/>
                <w:sz w:val="18"/>
                <w:szCs w:val="18"/>
                <w:color w:val="auto"/>
              </w:rPr>
              <w:t>Consent of KPMG LLP.</w:t>
            </w:r>
          </w:p>
        </w:tc>
      </w:tr>
      <w:tr>
        <w:trPr>
          <w:trHeight w:val="324"/>
        </w:trPr>
        <w:tc>
          <w:tcPr>
            <w:tcW w:w="460" w:type="dxa"/>
            <w:vAlign w:val="bottom"/>
          </w:tcPr>
          <w:p>
            <w:pPr>
              <w:jc w:val="right"/>
              <w:ind w:right="58"/>
              <w:spacing w:after="0"/>
              <w:rPr>
                <w:sz w:val="20"/>
                <w:szCs w:val="20"/>
                <w:color w:val="auto"/>
              </w:rPr>
            </w:pPr>
            <w:r>
              <w:rPr>
                <w:rFonts w:ascii="Arial" w:cs="Arial" w:eastAsia="Arial" w:hAnsi="Arial"/>
                <w:sz w:val="18"/>
                <w:szCs w:val="18"/>
                <w:color w:val="auto"/>
                <w:w w:val="85"/>
              </w:rPr>
              <w:t>99.1</w:t>
            </w:r>
          </w:p>
        </w:tc>
        <w:tc>
          <w:tcPr>
            <w:tcW w:w="10240" w:type="dxa"/>
            <w:vAlign w:val="bottom"/>
          </w:tcPr>
          <w:p>
            <w:pPr>
              <w:ind w:left="440"/>
              <w:spacing w:after="0"/>
              <w:rPr>
                <w:sz w:val="20"/>
                <w:szCs w:val="20"/>
                <w:color w:val="auto"/>
              </w:rPr>
            </w:pPr>
            <w:r>
              <w:rPr>
                <w:rFonts w:ascii="Arial" w:cs="Arial" w:eastAsia="Arial" w:hAnsi="Arial"/>
                <w:sz w:val="18"/>
                <w:szCs w:val="18"/>
                <w:color w:val="auto"/>
              </w:rPr>
              <w:t>Press release dated May 16, 2011.*</w:t>
            </w:r>
          </w:p>
        </w:tc>
      </w:tr>
      <w:tr>
        <w:trPr>
          <w:trHeight w:val="318"/>
        </w:trPr>
        <w:tc>
          <w:tcPr>
            <w:tcW w:w="460" w:type="dxa"/>
            <w:vAlign w:val="bottom"/>
          </w:tcPr>
          <w:p>
            <w:pPr>
              <w:jc w:val="right"/>
              <w:ind w:right="58"/>
              <w:spacing w:after="0"/>
              <w:rPr>
                <w:sz w:val="20"/>
                <w:szCs w:val="20"/>
                <w:color w:val="auto"/>
              </w:rPr>
            </w:pPr>
            <w:r>
              <w:rPr>
                <w:rFonts w:ascii="Arial" w:cs="Arial" w:eastAsia="Arial" w:hAnsi="Arial"/>
                <w:sz w:val="18"/>
                <w:szCs w:val="18"/>
                <w:color w:val="auto"/>
                <w:w w:val="85"/>
              </w:rPr>
              <w:t>99.2</w:t>
            </w:r>
          </w:p>
        </w:tc>
        <w:tc>
          <w:tcPr>
            <w:tcW w:w="10240" w:type="dxa"/>
            <w:vAlign w:val="bottom"/>
          </w:tcPr>
          <w:p>
            <w:pPr>
              <w:ind w:left="440"/>
              <w:spacing w:after="0"/>
              <w:rPr>
                <w:sz w:val="20"/>
                <w:szCs w:val="20"/>
                <w:color w:val="auto"/>
              </w:rPr>
            </w:pPr>
            <w:r>
              <w:rPr>
                <w:rFonts w:ascii="Arial" w:cs="Arial" w:eastAsia="Arial" w:hAnsi="Arial"/>
                <w:sz w:val="18"/>
                <w:szCs w:val="18"/>
                <w:color w:val="auto"/>
                <w:w w:val="87"/>
              </w:rPr>
              <w:t>Unaudited Pro Forma Condensed Combined Balance Sheet of M&amp;T as of March 31, 2011 and Unaudited Pro Forma Condensed Combined</w:t>
            </w:r>
          </w:p>
        </w:tc>
      </w:tr>
      <w:tr>
        <w:trPr>
          <w:trHeight w:val="222"/>
        </w:trPr>
        <w:tc>
          <w:tcPr>
            <w:tcW w:w="460" w:type="dxa"/>
            <w:vAlign w:val="bottom"/>
          </w:tcPr>
          <w:p>
            <w:pPr>
              <w:spacing w:after="0"/>
              <w:rPr>
                <w:sz w:val="19"/>
                <w:szCs w:val="19"/>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Statements of Income of M&amp;T for the year ended December 31, 2010 and for the three months ended March 31, 2011.</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ectPr>
          <w:pgSz w:w="11900" w:h="16838" w:orient="portrait"/>
          <w:cols w:equalWidth="0" w:num="1">
            <w:col w:w="11400"/>
          </w:cols>
          <w:pgMar w:left="240" w:top="280"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M&amp;T BANK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R. Spychala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R. Spychala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Controller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2011</w:t>
      </w:r>
    </w:p>
    <w:p>
      <w:pPr>
        <w:sectPr>
          <w:pgSz w:w="11900" w:h="16838" w:orient="portrait"/>
          <w:cols w:equalWidth="0" w:num="1">
            <w:col w:w="11400"/>
          </w:cols>
          <w:pgMar w:left="240" w:top="280"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on Forms S-8 (Nos. 333-57330, 333-63660, 33-12207, 33-58500, 33-63917, 333-43171, 333-43175, 333-63985, 333-97031, 33-32044, 333-16077, 333-84384, 333-127406, 333-150122, 333-164015, 333-163992, 333-160769, 333-159795, 333-174312 and 333-170740) and Form S-3 (No. 333-155759) of M&amp;T Bank Corporation of our reports dated March 1, 2011 with respect to the consolidated statements of condition of Wilmington Trust Corporation and subsidiaries (the Corporation) as of December 31, 2010 and 2009, and the related consolidated statements of income, changes in stockholders’ equity and cash flows for each of the years in the three-year period ended December 31, 2010, and the effectiveness of internal control over financial reporting as of December 31, 2010, which reports appear in the December 31, 2010 Form 10-K of the Corporation.</w:t>
      </w:r>
    </w:p>
    <w:p>
      <w:pPr>
        <w:spacing w:after="0" w:line="1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report dated March 1, 2011, on the consolidated statements of condition of the Corporation as of December 31, 2010 and 2009, and the related consolidated statements of income, changes in stockholders’ equity, and cash flows for each of the years in the three-year period ended December 31, 2010, refers to the Corporation’s recurring losses from operations, due principally to increasing provisions for loan losses, and continuing experience of credit deterioration in its loan portfolio. In addition, based on discussions with its regulators, management believed that, without an acceptable change of control transaction, the Corporation would face significant regulatory action that would result in an inability to conduct business in a manner consistent with historical practice. On November 1, 2010, the Corporation entered into a definitive merger agreement with M&amp;T Bank Corporation whereby, subject to certain covenants and conditions precedent, including regulatory and shareholder approval, the Corporation’s shareholders will exchange shares of the Corporation’s common stock for shares of M&amp;T Bank Corporation common stock.</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Our report dated March 1, 2011, on the consolidated statements of condition of the Corporation as of December 31, 2010 and 2009, and the related consolidated statements of income, changes in stockholders’ equity, and cash flows for each of the years in the three-year period ended December 31, 2010, refer to the Corporation’s change in its method of accounting for other-than-temporary impairments of debt securities due to the adoption of FASB Staff Position No. FAS 115-2 and FAS 124-2. “Recognition and Presentation of Other-Than-Temporary Impairments,” (included in FASB ASC Topic 320, </w:t>
      </w:r>
      <w:r>
        <w:rPr>
          <w:rFonts w:ascii="Arial" w:cs="Arial" w:eastAsia="Arial" w:hAnsi="Arial"/>
          <w:sz w:val="18"/>
          <w:szCs w:val="18"/>
          <w:i w:val="1"/>
          <w:iCs w:val="1"/>
          <w:color w:val="auto"/>
        </w:rPr>
        <w:t>Investments—Debt and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as of April 1, 2009.</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2011</w:t>
      </w:r>
    </w:p>
    <w:p>
      <w:pPr>
        <w:sectPr>
          <w:pgSz w:w="11900" w:h="16838" w:orient="portrait"/>
          <w:cols w:equalWidth="0" w:num="1">
            <w:col w:w="11420"/>
          </w:cols>
          <w:pgMar w:left="240" w:top="125" w:right="239" w:bottom="1440" w:gutter="0" w:footer="0" w:header="0"/>
        </w:sectPr>
      </w:pPr>
    </w:p>
    <w:bookmarkStart w:id="5" w:name="page6"/>
    <w:bookmarkEnd w:id="5"/>
    <w:p>
      <w:pPr>
        <w:ind w:left="10520"/>
        <w:spacing w:after="0"/>
        <w:rPr>
          <w:sz w:val="20"/>
          <w:szCs w:val="20"/>
          <w:color w:val="auto"/>
        </w:rPr>
      </w:pPr>
      <w:r>
        <w:rPr>
          <w:rFonts w:ascii="Arial" w:cs="Arial" w:eastAsia="Arial" w:hAnsi="Arial"/>
          <w:sz w:val="16"/>
          <w:szCs w:val="16"/>
          <w:b w:val="1"/>
          <w:bCs w:val="1"/>
          <w:color w:val="auto"/>
        </w:rPr>
        <w:t>Exhibit 99.2</w:t>
      </w:r>
    </w:p>
    <w:p>
      <w:pPr>
        <w:spacing w:after="0" w:line="19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M&amp;T BANK CORPORATION</w:t>
      </w:r>
    </w:p>
    <w:p>
      <w:pPr>
        <w:spacing w:after="0" w:line="17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PRO FORMA CONDENSED COMBINED BALANCE SHEET</w:t>
      </w:r>
    </w:p>
    <w:p>
      <w:pPr>
        <w:spacing w:after="0" w:line="17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(DOLLARS 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unaudited pro forma condensed combined balance sheet gives effect to the acquisition by M&amp;T Bank Corporation (“M&amp;T”) of Wilmington Trust Corporation (“Wilmington”) using the acquisition method of accounting assuming the acquisition was consummated on March 31, 2011. Wilmington was acquired by M&amp;T on May 16,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1200"/>
              <w:spacing w:after="0"/>
              <w:rPr>
                <w:sz w:val="20"/>
                <w:szCs w:val="20"/>
                <w:color w:val="auto"/>
              </w:rPr>
            </w:pPr>
            <w:r>
              <w:rPr>
                <w:rFonts w:ascii="Arial" w:cs="Arial" w:eastAsia="Arial" w:hAnsi="Arial"/>
                <w:sz w:val="14"/>
                <w:szCs w:val="14"/>
                <w:b w:val="1"/>
                <w:bCs w:val="1"/>
                <w:color w:val="auto"/>
              </w:rPr>
              <w:t>March 31, 2011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40" w:type="dxa"/>
            <w:vAlign w:val="bottom"/>
            <w:gridSpan w:val="2"/>
          </w:tcPr>
          <w:p>
            <w:pPr>
              <w:jc w:val="right"/>
              <w:ind w:right="1000"/>
              <w:spacing w:after="0" w:line="129" w:lineRule="exact"/>
              <w:rPr>
                <w:sz w:val="20"/>
                <w:szCs w:val="20"/>
                <w:color w:val="auto"/>
              </w:rPr>
            </w:pPr>
            <w:r>
              <w:rPr>
                <w:rFonts w:ascii="Arial" w:cs="Arial" w:eastAsia="Arial" w:hAnsi="Arial"/>
                <w:sz w:val="14"/>
                <w:szCs w:val="14"/>
                <w:b w:val="1"/>
                <w:bCs w:val="1"/>
                <w:color w:val="auto"/>
                <w:w w:val="93"/>
              </w:rPr>
              <w:t>Pro forma</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M&amp;T</w:t>
            </w: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Wilmington</w:t>
            </w:r>
          </w:p>
        </w:tc>
        <w:tc>
          <w:tcPr>
            <w:tcW w:w="16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2"/>
              </w:rPr>
              <w:t>adjustments</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972,005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166,707</w:t>
            </w:r>
          </w:p>
        </w:tc>
        <w:tc>
          <w:tcPr>
            <w:tcW w:w="40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w w:val="96"/>
              </w:rPr>
              <w:t>(330,000)(1)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808,712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and federal funds sold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110,401</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2,423,304</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2,533,705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Trading account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413,737</w:t>
            </w:r>
          </w:p>
        </w:tc>
        <w:tc>
          <w:tcPr>
            <w:tcW w:w="4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6,507,165</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539,062</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8,927(2)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7,055,154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Loans and leases, net of unearned discount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52,118,681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7,134,879</w:t>
            </w:r>
          </w:p>
        </w:tc>
        <w:tc>
          <w:tcPr>
            <w:tcW w:w="40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w w:val="96"/>
              </w:rPr>
              <w:t>(549,194)(3)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58,704,366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credit losses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(903,703)</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(409,461)</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409,461(3)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Loans and leases, net</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51,214,978</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6,725,418</w:t>
            </w:r>
          </w:p>
        </w:tc>
        <w:tc>
          <w:tcPr>
            <w:tcW w:w="400" w:type="dxa"/>
            <w:vAlign w:val="bottom"/>
          </w:tcPr>
          <w:p>
            <w:pPr>
              <w:spacing w:after="0"/>
              <w:rPr>
                <w:sz w:val="19"/>
                <w:szCs w:val="19"/>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w w:val="96"/>
              </w:rPr>
              <w:t>(139,733)(3)</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57,800,663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431,292</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131,348</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14,659(4)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3,524,625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336,763</w:t>
            </w:r>
          </w:p>
        </w:tc>
        <w:tc>
          <w:tcPr>
            <w:tcW w:w="40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w w:val="96"/>
              </w:rPr>
              <w:t>(336,763)(5)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3,524,625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113,603</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24,378</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151,816(6)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Accrued interest and other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4,593,402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381,186</w:t>
            </w:r>
          </w:p>
        </w:tc>
        <w:tc>
          <w:tcPr>
            <w:tcW w:w="400" w:type="dxa"/>
            <w:vAlign w:val="bottom"/>
          </w:tcPr>
          <w:p>
            <w:pPr>
              <w:spacing w:after="0"/>
              <w:rPr>
                <w:sz w:val="18"/>
                <w:szCs w:val="18"/>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423,817(7)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5,398,405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67,881,208</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10,728,166</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5"/>
              </w:rPr>
              <w:t>(207,277)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78,402,097</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9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35,328,537</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7,362,843</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28,974(8)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42,720,354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Short-term borrowings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504,676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86,359</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7,305,420</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595,537</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55,107(9)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7,956,064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Interest-bearing liabilities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43,138,633</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8,044,739</w:t>
            </w:r>
          </w:p>
        </w:tc>
        <w:tc>
          <w:tcPr>
            <w:tcW w:w="400" w:type="dxa"/>
            <w:vAlign w:val="bottom"/>
          </w:tcPr>
          <w:p>
            <w:pPr>
              <w:spacing w:after="0"/>
              <w:rPr>
                <w:sz w:val="19"/>
                <w:szCs w:val="19"/>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18"/>
                <w:szCs w:val="18"/>
                <w:color w:val="auto"/>
              </w:rPr>
              <w:t>84,081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51,267,453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15,219,562</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1,476,726</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16,696,288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Accrued interest and other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1,015,495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390,403</w:t>
            </w:r>
          </w:p>
        </w:tc>
        <w:tc>
          <w:tcPr>
            <w:tcW w:w="40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54,453(10)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1,460,351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59,373,690</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9,911,868</w:t>
            </w:r>
          </w:p>
        </w:tc>
        <w:tc>
          <w:tcPr>
            <w:tcW w:w="16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138,534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69,424,092</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960" w:type="dxa"/>
            <w:vAlign w:val="bottom"/>
            <w:gridSpan w:val="2"/>
          </w:tcPr>
          <w:p>
            <w:pPr>
              <w:spacing w:after="0"/>
              <w:rPr>
                <w:sz w:val="20"/>
                <w:szCs w:val="20"/>
                <w:color w:val="auto"/>
              </w:rPr>
            </w:pPr>
            <w:r>
              <w:rPr>
                <w:rFonts w:ascii="Arial" w:cs="Arial" w:eastAsia="Arial" w:hAnsi="Arial"/>
                <w:sz w:val="18"/>
                <w:szCs w:val="18"/>
                <w:color w:val="auto"/>
              </w:rPr>
              <w:t>Preferred equity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743,385</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325,381</w:t>
            </w:r>
          </w:p>
        </w:tc>
        <w:tc>
          <w:tcPr>
            <w:tcW w:w="400" w:type="dxa"/>
            <w:vAlign w:val="bottom"/>
          </w:tcPr>
          <w:p>
            <w:pPr>
              <w:spacing w:after="0"/>
              <w:rPr>
                <w:sz w:val="24"/>
                <w:szCs w:val="2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w w:val="96"/>
              </w:rPr>
              <w:t>(325,381)(1)</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743,385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7,764,133</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490,917</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(20,430)(1),(11)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8,234,620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8,507,518</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816,298</w:t>
            </w:r>
          </w:p>
        </w:tc>
        <w:tc>
          <w:tcPr>
            <w:tcW w:w="400" w:type="dxa"/>
            <w:vAlign w:val="bottom"/>
          </w:tcPr>
          <w:p>
            <w:pPr>
              <w:spacing w:after="0"/>
              <w:rPr>
                <w:sz w:val="24"/>
                <w:szCs w:val="24"/>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w w:val="95"/>
              </w:rPr>
              <w:t>(345,811)</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8,978,005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67,881,208</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10,728,166</w:t>
            </w:r>
          </w:p>
        </w:tc>
        <w:tc>
          <w:tcPr>
            <w:tcW w:w="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5"/>
              </w:rPr>
              <w:t>(207,277)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78,402,097</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w w:val="91"/>
              </w:rPr>
              <w:t>See accompanying notes to pro forma condensed combined financial statements.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9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M&amp;T BANK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CONDENSED COMBINED STATEMENT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unaudited pro forma condensed combined statement of income for the year ended December 31, 2010 gives effect to M&amp;T’s acquisition of Wilmington using the acquisition method of accounting assuming the acquisition was consummated on January 1, 2010. Wilmington was acquired by M&amp;T on May 16,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1"/>
              </w:rPr>
              <w:t>For the year ended December 31, 2010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96"/>
              </w:rPr>
              <w:t>Pro forma</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M&amp;T</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Wilmington</w:t>
            </w: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2"/>
              </w:rPr>
              <w:t>adjustments</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Loans and leases, including fees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$2,394,082</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343,340</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(19,614)(12)</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$2,717,808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Fully taxable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324,695</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21,250</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(3,816)(13)</w:t>
            </w:r>
          </w:p>
        </w:tc>
        <w:tc>
          <w:tcPr>
            <w:tcW w:w="800" w:type="dxa"/>
            <w:vAlign w:val="bottom"/>
          </w:tcPr>
          <w:p>
            <w:pPr>
              <w:jc w:val="right"/>
              <w:spacing w:after="0"/>
              <w:rPr>
                <w:sz w:val="20"/>
                <w:szCs w:val="20"/>
                <w:color w:val="auto"/>
              </w:rPr>
            </w:pPr>
            <w:r>
              <w:rPr>
                <w:rFonts w:ascii="Arial" w:cs="Arial" w:eastAsia="Arial" w:hAnsi="Arial"/>
                <w:sz w:val="18"/>
                <w:szCs w:val="18"/>
                <w:color w:val="auto"/>
              </w:rPr>
              <w:t>342,129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Exempt from federal taxes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9,869</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331</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4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2,729,795</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366,597</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(23,414)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3,072,978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187,685</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55,501</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(17,620)(14)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Short-term borrowings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3,006</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1,995</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31,992</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(14,487)(15)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Total interest expense</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462,269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89,488</w:t>
            </w:r>
          </w:p>
        </w:tc>
        <w:tc>
          <w:tcPr>
            <w:tcW w:w="4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(32,107)</w:t>
            </w:r>
          </w:p>
        </w:tc>
        <w:tc>
          <w:tcPr>
            <w:tcW w:w="800" w:type="dxa"/>
            <w:vAlign w:val="bottom"/>
          </w:tcPr>
          <w:p>
            <w:pPr>
              <w:jc w:val="right"/>
              <w:spacing w:after="0"/>
              <w:rPr>
                <w:sz w:val="20"/>
                <w:szCs w:val="20"/>
                <w:color w:val="auto"/>
              </w:rPr>
            </w:pPr>
            <w:r>
              <w:rPr>
                <w:rFonts w:ascii="Arial" w:cs="Arial" w:eastAsia="Arial" w:hAnsi="Arial"/>
                <w:sz w:val="18"/>
                <w:szCs w:val="18"/>
                <w:color w:val="auto"/>
              </w:rPr>
              <w:t>519,650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2,267,526</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277,109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2,553,328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699,674</w:t>
            </w:r>
          </w:p>
        </w:tc>
        <w:tc>
          <w:tcPr>
            <w:tcW w:w="4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1,067,674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1,899,526</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(422,565)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1,485,654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Mortgage banking revenues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184,625</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4,736</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478,133</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29,737</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Trust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122,613</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371,854</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Brokerage services income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49,669</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12,353</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and foreign exchange gains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27,286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Gain on bank investment securities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2,770</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3,757</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other-than-temporary impairment losses recognized in earnings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(86,281)</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(37,877)</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Equity in earnings of Bayview Lending Group LLC</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(25,768)</w:t>
            </w:r>
          </w:p>
        </w:tc>
        <w:tc>
          <w:tcPr>
            <w:tcW w:w="2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revenue from operations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18,741</w:t>
            </w:r>
          </w:p>
        </w:tc>
        <w:tc>
          <w:tcPr>
            <w:tcW w:w="4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800" w:type="dxa"/>
            <w:vAlign w:val="bottom"/>
            <w:gridSpan w:val="2"/>
          </w:tcPr>
          <w:p>
            <w:pPr>
              <w:spacing w:after="0"/>
              <w:rPr>
                <w:sz w:val="20"/>
                <w:szCs w:val="20"/>
                <w:color w:val="auto"/>
              </w:rPr>
            </w:pPr>
            <w:r>
              <w:rPr>
                <w:rFonts w:ascii="Arial" w:cs="Arial" w:eastAsia="Arial" w:hAnsi="Arial"/>
                <w:sz w:val="18"/>
                <w:szCs w:val="18"/>
                <w:color w:val="auto"/>
              </w:rPr>
              <w:t>Total other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1,108,100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403,301</w:t>
            </w:r>
          </w:p>
        </w:tc>
        <w:tc>
          <w:tcPr>
            <w:tcW w:w="4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1,511,401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w w:val="86"/>
              </w:rPr>
              <w:t>(continued)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M&amp;T BANK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CONDENSED COMBINED STATEMENT OF INCOME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w w:val="93"/>
              </w:rPr>
              <w:t>For the year ended December 31, 2010</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40" w:type="dxa"/>
            <w:vAlign w:val="bottom"/>
            <w:gridSpan w:val="2"/>
          </w:tcPr>
          <w:p>
            <w:pPr>
              <w:jc w:val="right"/>
              <w:ind w:right="1260"/>
              <w:spacing w:after="0" w:line="129" w:lineRule="exact"/>
              <w:rPr>
                <w:sz w:val="20"/>
                <w:szCs w:val="20"/>
                <w:color w:val="auto"/>
              </w:rPr>
            </w:pPr>
            <w:r>
              <w:rPr>
                <w:rFonts w:ascii="Arial" w:cs="Arial" w:eastAsia="Arial" w:hAnsi="Arial"/>
                <w:sz w:val="14"/>
                <w:szCs w:val="14"/>
                <w:b w:val="1"/>
                <w:bCs w:val="1"/>
                <w:color w:val="auto"/>
                <w:w w:val="99"/>
              </w:rPr>
              <w:t>Pro forma</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M&amp;T</w:t>
            </w: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Wilmington</w:t>
            </w:r>
          </w:p>
        </w:tc>
        <w:tc>
          <w:tcPr>
            <w:tcW w:w="19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6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999,709</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296,456</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1,296,165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net occupancy</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216,064</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64,087</w:t>
            </w: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526(16)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Printing, postage and supplies</w:t>
            </w: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33,847</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8,535</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58,103</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6,595</w:t>
            </w: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24,570(17)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FDIC assessments</w:t>
            </w: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79,324</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23,462</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costs of operations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527,790</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249,175</w:t>
            </w: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420"/>
              <w:spacing w:after="0"/>
              <w:rPr>
                <w:sz w:val="20"/>
                <w:szCs w:val="20"/>
                <w:color w:val="auto"/>
              </w:rPr>
            </w:pPr>
            <w:r>
              <w:rPr>
                <w:rFonts w:ascii="Arial" w:cs="Arial" w:eastAsia="Arial" w:hAnsi="Arial"/>
                <w:sz w:val="18"/>
                <w:szCs w:val="18"/>
                <w:color w:val="auto"/>
              </w:rPr>
              <w:t>Total other expense</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1,914,837</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648,310</w:t>
            </w:r>
          </w:p>
        </w:tc>
        <w:tc>
          <w:tcPr>
            <w:tcW w:w="1940" w:type="dxa"/>
            <w:vAlign w:val="bottom"/>
            <w:gridSpan w:val="2"/>
          </w:tcPr>
          <w:p>
            <w:pPr>
              <w:jc w:val="right"/>
              <w:ind w:right="1180"/>
              <w:spacing w:after="0"/>
              <w:rPr>
                <w:sz w:val="20"/>
                <w:szCs w:val="20"/>
                <w:color w:val="auto"/>
              </w:rPr>
            </w:pPr>
            <w:r>
              <w:rPr>
                <w:rFonts w:ascii="Arial" w:cs="Arial" w:eastAsia="Arial" w:hAnsi="Arial"/>
                <w:sz w:val="18"/>
                <w:szCs w:val="18"/>
                <w:color w:val="auto"/>
              </w:rPr>
              <w:t>25,096</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2,588,243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1,092,789</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(667,574)</w:t>
            </w:r>
          </w:p>
        </w:tc>
        <w:tc>
          <w:tcPr>
            <w:tcW w:w="19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(16,403)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356,628</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51,655</w:t>
            </w: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(295,862)(18),(19)</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112,421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noncontrolling interest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736,161</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(719,229)</w:t>
            </w:r>
          </w:p>
        </w:tc>
        <w:tc>
          <w:tcPr>
            <w:tcW w:w="194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279,459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(905)</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736,161</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(720,134)</w:t>
            </w:r>
          </w:p>
        </w:tc>
        <w:tc>
          <w:tcPr>
            <w:tcW w:w="194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279,459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7"/>
              </w:rPr>
              <w:t>Dividends and amortization on preferred stock and income attributable to</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unvested stock-based compensation awards</w:t>
            </w:r>
          </w:p>
        </w:tc>
        <w:tc>
          <w:tcPr>
            <w:tcW w:w="8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(60,335)</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(18,205)</w:t>
            </w: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(78,540)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675,826</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(738,339)</w:t>
            </w:r>
          </w:p>
        </w:tc>
        <w:tc>
          <w:tcPr>
            <w:tcW w:w="194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279,459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7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5.72</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5.69</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shares outstanding</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85"/>
              </w:rPr>
              <w:t>118,190,783</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w w:val="92"/>
              </w:rPr>
              <w:t>4,694,486(20)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122,885,269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5"/>
              </w:rPr>
              <w:t>118,842,860</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2"/>
              </w:rPr>
              <w:t>4,694,486(20)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123,537,346</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pro forma condensed combined financial statements.</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M&amp;T BANK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CONDENSED COMBINED STATEMENT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following unaudited pro forma condensed combined statement of income for the three months ended March 31, 2011 gives effect to M&amp;T’s acquisition of Wilmington using the acquisition method of accounting assuming the acquisition was consummated on January 1, 2010. Wilmington was acquired by M&amp;T on May 16,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89"/>
              </w:rPr>
              <w:t>For the three months ended March 31, 2011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96"/>
              </w:rPr>
              <w:t>Pro forma</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M&amp;T</w:t>
            </w:r>
          </w:p>
        </w:tc>
        <w:tc>
          <w:tcPr>
            <w:tcW w:w="2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Wilmington</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2"/>
              </w:rPr>
              <w:t>adjustments</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1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Loans and leases, including fees</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$594,032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68,946</w:t>
            </w:r>
          </w:p>
        </w:tc>
        <w:tc>
          <w:tcPr>
            <w:tcW w:w="4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(3,987)(12)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$658,991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Fully taxable</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70,662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4,176</w:t>
            </w:r>
          </w:p>
        </w:tc>
        <w:tc>
          <w:tcPr>
            <w:tcW w:w="4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(931)(13)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Exempt from federal taxes</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2,346</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111</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4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667,483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74,393</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1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38,906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(3,503)(14)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Short-term borrowings</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492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(3,491)(15)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Total interest expense</w:t>
            </w: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98,679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22,168</w:t>
            </w:r>
          </w:p>
        </w:tc>
        <w:tc>
          <w:tcPr>
            <w:tcW w:w="4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(6,994)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113,853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568,804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52,225</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41,334</w:t>
            </w:r>
          </w:p>
        </w:tc>
        <w:tc>
          <w:tcPr>
            <w:tcW w:w="4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493,804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1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Mortgage banking revenues</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45,156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109,731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6,791</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116,522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Trust income</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29,321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94,304</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Brokerage services income</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14,296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2,881</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and foreign exchange gains</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8,279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Gain on bank investment securities</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39,353</w:t>
            </w:r>
          </w:p>
        </w:tc>
        <w:tc>
          <w:tcPr>
            <w:tcW w:w="2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other-than-temporary impairment losses recognized in earnings</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(16,041)</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(4,986)</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Equity in earnings of Bayview Lending Group LLC</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(6,678)</w:t>
            </w:r>
          </w:p>
        </w:tc>
        <w:tc>
          <w:tcPr>
            <w:tcW w:w="2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revenue from operations</w:t>
            </w:r>
          </w:p>
        </w:tc>
        <w:tc>
          <w:tcPr>
            <w:tcW w:w="1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4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900" w:type="dxa"/>
            <w:vAlign w:val="bottom"/>
            <w:gridSpan w:val="2"/>
          </w:tcPr>
          <w:p>
            <w:pPr>
              <w:spacing w:after="0"/>
              <w:rPr>
                <w:sz w:val="20"/>
                <w:szCs w:val="20"/>
                <w:color w:val="auto"/>
              </w:rPr>
            </w:pPr>
            <w:r>
              <w:rPr>
                <w:rFonts w:ascii="Arial" w:cs="Arial" w:eastAsia="Arial" w:hAnsi="Arial"/>
                <w:sz w:val="18"/>
                <w:szCs w:val="18"/>
                <w:color w:val="auto"/>
              </w:rPr>
              <w:t>Total other income</w:t>
            </w:r>
          </w:p>
        </w:tc>
        <w:tc>
          <w:tcPr>
            <w:tcW w:w="114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314,420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103,965</w:t>
            </w:r>
          </w:p>
        </w:tc>
        <w:tc>
          <w:tcPr>
            <w:tcW w:w="4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(continued)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M&amp;T BANK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CONDENSED COMBINED STATEMENT OF INCOME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w w:val="87"/>
              </w:rPr>
              <w:t>For the three months ended March 31, 2011</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20" w:type="dxa"/>
            <w:vAlign w:val="bottom"/>
            <w:gridSpan w:val="2"/>
          </w:tcPr>
          <w:p>
            <w:pPr>
              <w:jc w:val="right"/>
              <w:ind w:right="1240"/>
              <w:spacing w:after="0" w:line="129" w:lineRule="exact"/>
              <w:rPr>
                <w:sz w:val="20"/>
                <w:szCs w:val="20"/>
                <w:color w:val="auto"/>
              </w:rPr>
            </w:pPr>
            <w:r>
              <w:rPr>
                <w:rFonts w:ascii="Arial" w:cs="Arial" w:eastAsia="Arial" w:hAnsi="Arial"/>
                <w:sz w:val="14"/>
                <w:szCs w:val="14"/>
                <w:b w:val="1"/>
                <w:bCs w:val="1"/>
                <w:color w:val="auto"/>
                <w:w w:val="99"/>
              </w:rPr>
              <w:t>Pro forma</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M&amp;T</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Wilmington</w:t>
            </w:r>
          </w:p>
        </w:tc>
        <w:tc>
          <w:tcPr>
            <w:tcW w:w="192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266,090</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78,153</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344,243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net occupancy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56,663</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17,378</w:t>
            </w:r>
          </w:p>
        </w:tc>
        <w:tc>
          <w:tcPr>
            <w:tcW w:w="5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132(16)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Printing, postage and supplies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9,202</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12,314</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5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5,000(17)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FDIC assessments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19,094</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8,697</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costs of operations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136,208</w:t>
            </w:r>
          </w:p>
        </w:tc>
        <w:tc>
          <w:tcPr>
            <w:tcW w:w="5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5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Total other expense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499,571</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147,779</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5,132</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652,482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308,653</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(32,923)</w:t>
            </w:r>
          </w:p>
        </w:tc>
        <w:tc>
          <w:tcPr>
            <w:tcW w:w="19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102,380</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w:t>
            </w:r>
          </w:p>
        </w:tc>
        <w:tc>
          <w:tcPr>
            <w:tcW w:w="52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(1,746)(18),(19)</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206,273</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(33,546)</w:t>
            </w:r>
          </w:p>
        </w:tc>
        <w:tc>
          <w:tcPr>
            <w:tcW w:w="19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171,421</w:t>
            </w:r>
          </w:p>
        </w:tc>
        <w:tc>
          <w:tcPr>
            <w:tcW w:w="0" w:type="dxa"/>
            <w:vAlign w:val="bottom"/>
          </w:tcPr>
          <w:p>
            <w:pPr>
              <w:spacing w:after="0"/>
              <w:rPr>
                <w:sz w:val="1"/>
                <w:szCs w:val="1"/>
                <w:color w:val="auto"/>
              </w:rPr>
            </w:pPr>
          </w:p>
        </w:tc>
      </w:tr>
      <w:tr>
        <w:trPr>
          <w:trHeight w:val="316"/>
        </w:trPr>
        <w:tc>
          <w:tcPr>
            <w:tcW w:w="5440" w:type="dxa"/>
            <w:vAlign w:val="bottom"/>
            <w:gridSpan w:val="2"/>
          </w:tcPr>
          <w:p>
            <w:pPr>
              <w:spacing w:after="0"/>
              <w:rPr>
                <w:sz w:val="20"/>
                <w:szCs w:val="20"/>
                <w:color w:val="auto"/>
              </w:rPr>
            </w:pPr>
            <w:r>
              <w:rPr>
                <w:rFonts w:ascii="Arial" w:cs="Arial" w:eastAsia="Arial" w:hAnsi="Arial"/>
                <w:sz w:val="18"/>
                <w:szCs w:val="18"/>
                <w:color w:val="auto"/>
                <w:w w:val="93"/>
              </w:rPr>
              <w:t>Dividends and amortization on preferred stock and income attributable to</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unvested stock-based compensation awards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(16,160)</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(4,551)</w:t>
            </w: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(20,711)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190,113</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(38,097)</w:t>
            </w:r>
          </w:p>
        </w:tc>
        <w:tc>
          <w:tcPr>
            <w:tcW w:w="19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4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Diluted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shares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119,200,788</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8"/>
                <w:szCs w:val="18"/>
                <w:color w:val="auto"/>
                <w:w w:val="92"/>
              </w:rPr>
              <w:t>4,694,486(20)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123,895,274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119,852,340</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2"/>
              </w:rPr>
              <w:t>4,694,486(20)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124,546,826</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pro forma condensed combined financial statements.</w:t>
      </w:r>
    </w:p>
    <w:p>
      <w:pPr>
        <w:sectPr>
          <w:pgSz w:w="11900" w:h="16838" w:orient="portrait"/>
          <w:cols w:equalWidth="0" w:num="1">
            <w:col w:w="11420"/>
          </w:cols>
          <w:pgMar w:left="240" w:top="274" w:right="239" w:bottom="1440" w:gutter="0" w:footer="0" w:header="0"/>
        </w:sectPr>
      </w:pPr>
    </w:p>
    <w:bookmarkStart w:id="10" w:name="page11"/>
    <w:bookmarkEnd w:id="1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PRO FORMA</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CONDENSED COMBINED FINANCIAL STATEMENTS (Unaudited)</w:t>
      </w:r>
    </w:p>
    <w:p>
      <w:pPr>
        <w:spacing w:after="0" w:line="205" w:lineRule="exact"/>
        <w:rPr>
          <w:sz w:val="20"/>
          <w:szCs w:val="20"/>
          <w:color w:val="auto"/>
        </w:rPr>
      </w:pPr>
    </w:p>
    <w:p>
      <w:pPr>
        <w:ind w:left="452" w:hanging="452"/>
        <w:spacing w:after="0"/>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Purchase by M&amp;T of $330,000,000 of preferred stock previously issued by Wilmington to the U.S. Department of Treasury.</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Adjustment to reflect estimated fair value of acquired investment securities.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Adjustment to record acquired loans at estimated fair value.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Adjustment to record acquired premises and equipment at estimated fair value.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Adjustment to eliminate Wilmington’s goodwill. There was no acquired goodwill in this business combination.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Adjustment to record incremental core deposit and other intangible assets.</w:t>
      </w:r>
    </w:p>
    <w:p>
      <w:pPr>
        <w:spacing w:after="0" w:line="90" w:lineRule="exact"/>
        <w:rPr>
          <w:rFonts w:ascii="Arial" w:cs="Arial" w:eastAsia="Arial" w:hAnsi="Arial"/>
          <w:sz w:val="18"/>
          <w:szCs w:val="18"/>
          <w:color w:val="auto"/>
        </w:rPr>
      </w:pPr>
    </w:p>
    <w:p>
      <w:pPr>
        <w:ind w:left="452" w:right="460" w:hanging="452"/>
        <w:spacing w:after="0" w:line="259"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Adjustments to reverse Wilmington’s deferred tax valuation allowance of $292,742,000, as M&amp;T expects to be able to realize deferred tax assets that Wilmington was unable to utilize. Other adjustments include the recording of the deferred tax-effects of acquisition accounting adjustments of $145,817,000 and other miscellaneous acquisition accounting adjustments of ($14,742,000).</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Adjustment to record assumed interest-bearing deposits at estimated fair value.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Adjustment to record assumed long-term borrowings at estimated fair value.</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Adjustments to record the estimated liability for change-of-control agreements with former Wilmington employees of $48,000,000 and other miscellaneous adjustments of $6,453,000.</w:t>
      </w:r>
    </w:p>
    <w:p>
      <w:pPr>
        <w:spacing w:after="0" w:line="50" w:lineRule="exact"/>
        <w:rPr>
          <w:rFonts w:ascii="Arial" w:cs="Arial" w:eastAsia="Arial" w:hAnsi="Arial"/>
          <w:sz w:val="18"/>
          <w:szCs w:val="18"/>
          <w:color w:val="auto"/>
        </w:rPr>
      </w:pPr>
    </w:p>
    <w:p>
      <w:pPr>
        <w:ind w:left="452" w:right="140" w:hanging="452"/>
        <w:spacing w:after="0" w:line="335" w:lineRule="auto"/>
        <w:tabs>
          <w:tab w:leader="none" w:pos="452" w:val="left"/>
        </w:tabs>
        <w:numPr>
          <w:ilvl w:val="0"/>
          <w:numId w:val="1"/>
        </w:numPr>
        <w:rPr>
          <w:rFonts w:ascii="Arial" w:cs="Arial" w:eastAsia="Arial" w:hAnsi="Arial"/>
          <w:sz w:val="15"/>
          <w:szCs w:val="15"/>
          <w:color w:val="auto"/>
        </w:rPr>
      </w:pPr>
      <w:r>
        <w:rPr>
          <w:rFonts w:ascii="Arial" w:cs="Arial" w:eastAsia="Arial" w:hAnsi="Arial"/>
          <w:sz w:val="15"/>
          <w:szCs w:val="15"/>
          <w:color w:val="auto"/>
        </w:rPr>
        <w:t>Reflects the issuance of 4,694,486 shares of M&amp;T common stock of $405,557,000, the elimination of Wilmington’s March 31, 2011 common equity of ($490,917,000), and the resulting gain recognized on the transaction of $64,930,000. The net adjustment of ($20,430,000) reflects the discount on redeemed preferred stock of ($4,619,000) (see note (1)) and the net effect of acquisition accounting adjustments on assets and liabilities of ($15,811,000).</w:t>
      </w:r>
    </w:p>
    <w:p>
      <w:pPr>
        <w:sectPr>
          <w:pgSz w:w="11900" w:h="16838" w:orient="portrait"/>
          <w:cols w:equalWidth="0" w:num="1">
            <w:col w:w="11372"/>
          </w:cols>
          <w:pgMar w:left="248" w:top="274" w:right="27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PRO FORMA</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COMBINED FINANCIAL STATEMENTS (Unaudited),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2"/>
              </w:rPr>
              <w:t>Year ended</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Three months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 w:type="dxa"/>
            <w:vAlign w:val="bottom"/>
            <w:vMerge w:val="restart"/>
          </w:tcPr>
          <w:p>
            <w:pPr>
              <w:jc w:val="right"/>
              <w:ind w:right="52"/>
              <w:spacing w:after="0"/>
              <w:rPr>
                <w:sz w:val="20"/>
                <w:szCs w:val="20"/>
                <w:color w:val="auto"/>
              </w:rPr>
            </w:pPr>
            <w:r>
              <w:rPr>
                <w:rFonts w:ascii="Arial" w:cs="Arial" w:eastAsia="Arial" w:hAnsi="Arial"/>
                <w:sz w:val="18"/>
                <w:szCs w:val="18"/>
                <w:color w:val="auto"/>
                <w:w w:val="87"/>
              </w:rPr>
              <w:t>(12)</w:t>
            </w:r>
          </w:p>
        </w:tc>
        <w:tc>
          <w:tcPr>
            <w:tcW w:w="8180" w:type="dxa"/>
            <w:vAlign w:val="bottom"/>
            <w:vMerge w:val="restart"/>
          </w:tcPr>
          <w:p>
            <w:pPr>
              <w:ind w:left="140"/>
              <w:spacing w:after="0"/>
              <w:rPr>
                <w:sz w:val="20"/>
                <w:szCs w:val="20"/>
                <w:color w:val="auto"/>
              </w:rPr>
            </w:pPr>
            <w:r>
              <w:rPr>
                <w:rFonts w:ascii="Arial" w:cs="Arial" w:eastAsia="Arial" w:hAnsi="Arial"/>
                <w:sz w:val="18"/>
                <w:szCs w:val="18"/>
                <w:color w:val="auto"/>
                <w:w w:val="91"/>
              </w:rPr>
              <w:t>Net amortization of premiums and discounts on acquired loans and leases using a level-yield method over the</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March 31, 2011</w:t>
            </w:r>
          </w:p>
        </w:tc>
        <w:tc>
          <w:tcPr>
            <w:tcW w:w="0" w:type="dxa"/>
            <w:vAlign w:val="bottom"/>
          </w:tcPr>
          <w:p>
            <w:pPr>
              <w:spacing w:after="0"/>
              <w:rPr>
                <w:sz w:val="1"/>
                <w:szCs w:val="1"/>
                <w:color w:val="auto"/>
              </w:rPr>
            </w:pPr>
          </w:p>
        </w:tc>
      </w:tr>
      <w:tr>
        <w:trPr>
          <w:trHeight w:val="188"/>
        </w:trPr>
        <w:tc>
          <w:tcPr>
            <w:tcW w:w="440" w:type="dxa"/>
            <w:vAlign w:val="bottom"/>
            <w:vMerge w:val="continue"/>
          </w:tcPr>
          <w:p>
            <w:pPr>
              <w:spacing w:after="0"/>
              <w:rPr>
                <w:sz w:val="16"/>
                <w:szCs w:val="16"/>
                <w:color w:val="auto"/>
              </w:rPr>
            </w:pPr>
          </w:p>
        </w:tc>
        <w:tc>
          <w:tcPr>
            <w:tcW w:w="81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estimated remaining terms to maturity of the loans and leases.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(19,614)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16"/>
        </w:trPr>
        <w:tc>
          <w:tcPr>
            <w:tcW w:w="440" w:type="dxa"/>
            <w:vAlign w:val="bottom"/>
          </w:tcPr>
          <w:p>
            <w:pPr>
              <w:jc w:val="right"/>
              <w:ind w:right="52"/>
              <w:spacing w:after="0"/>
              <w:rPr>
                <w:sz w:val="20"/>
                <w:szCs w:val="20"/>
                <w:color w:val="auto"/>
              </w:rPr>
            </w:pPr>
            <w:r>
              <w:rPr>
                <w:rFonts w:ascii="Arial" w:cs="Arial" w:eastAsia="Arial" w:hAnsi="Arial"/>
                <w:sz w:val="18"/>
                <w:szCs w:val="18"/>
                <w:color w:val="auto"/>
                <w:w w:val="87"/>
              </w:rPr>
              <w:t>(13)</w:t>
            </w:r>
          </w:p>
        </w:tc>
        <w:tc>
          <w:tcPr>
            <w:tcW w:w="8180" w:type="dxa"/>
            <w:vAlign w:val="bottom"/>
          </w:tcPr>
          <w:p>
            <w:pPr>
              <w:ind w:left="140"/>
              <w:spacing w:after="0"/>
              <w:rPr>
                <w:sz w:val="20"/>
                <w:szCs w:val="20"/>
                <w:color w:val="auto"/>
              </w:rPr>
            </w:pPr>
            <w:r>
              <w:rPr>
                <w:rFonts w:ascii="Arial" w:cs="Arial" w:eastAsia="Arial" w:hAnsi="Arial"/>
                <w:sz w:val="18"/>
                <w:szCs w:val="18"/>
                <w:color w:val="auto"/>
                <w:w w:val="92"/>
              </w:rPr>
              <w:t>Reflects the amortization of premiums and discounts on acquired securities using the level-yield method over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the estimated remaining term to maturity.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Fully taxable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(3,816)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Exempt from federal taxes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Amortization of the fair value adjustments related to deposits using the effective interest method over the</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remaining terms to maturity of the deposits.</w:t>
            </w:r>
          </w:p>
        </w:tc>
        <w:tc>
          <w:tcPr>
            <w:tcW w:w="3900" w:type="dxa"/>
            <w:vAlign w:val="bottom"/>
          </w:tcPr>
          <w:p>
            <w:pPr>
              <w:jc w:val="right"/>
              <w:ind w:right="452"/>
              <w:spacing w:after="0"/>
              <w:rPr>
                <w:sz w:val="20"/>
                <w:szCs w:val="20"/>
                <w:color w:val="auto"/>
              </w:rPr>
            </w:pPr>
            <w:r>
              <w:rPr>
                <w:rFonts w:ascii="Arial" w:cs="Arial" w:eastAsia="Arial" w:hAnsi="Arial"/>
                <w:sz w:val="18"/>
                <w:szCs w:val="18"/>
                <w:color w:val="auto"/>
              </w:rPr>
              <w:t>(17,620)</w:t>
            </w:r>
          </w:p>
        </w:tc>
        <w:tc>
          <w:tcPr>
            <w:tcW w:w="1060" w:type="dxa"/>
            <w:vAlign w:val="bottom"/>
          </w:tcPr>
          <w:p>
            <w:pPr>
              <w:jc w:val="right"/>
              <w:spacing w:after="0"/>
              <w:rPr>
                <w:sz w:val="20"/>
                <w:szCs w:val="20"/>
                <w:color w:val="auto"/>
              </w:rPr>
            </w:pPr>
            <w:r>
              <w:rPr>
                <w:rFonts w:ascii="Arial" w:cs="Arial" w:eastAsia="Arial" w:hAnsi="Arial"/>
                <w:sz w:val="18"/>
                <w:szCs w:val="18"/>
                <w:color w:val="auto"/>
              </w:rPr>
              <w:t>(3,503)</w:t>
            </w:r>
          </w:p>
        </w:tc>
      </w:tr>
    </w:tbl>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the fair value adjustments related to long-term borrowings using the effective interest method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7880" w:type="dxa"/>
            <w:vAlign w:val="bottom"/>
          </w:tcPr>
          <w:p>
            <w:pPr>
              <w:ind w:left="140"/>
              <w:spacing w:after="0"/>
              <w:rPr>
                <w:sz w:val="20"/>
                <w:szCs w:val="20"/>
                <w:color w:val="auto"/>
              </w:rPr>
            </w:pPr>
            <w:r>
              <w:rPr>
                <w:rFonts w:ascii="Arial" w:cs="Arial" w:eastAsia="Arial" w:hAnsi="Arial"/>
                <w:sz w:val="18"/>
                <w:szCs w:val="18"/>
                <w:color w:val="auto"/>
              </w:rPr>
              <w:t>over the remaining terms to maturity of the borrowings.</w:t>
            </w:r>
          </w:p>
        </w:tc>
        <w:tc>
          <w:tcPr>
            <w:tcW w:w="2000" w:type="dxa"/>
            <w:vAlign w:val="bottom"/>
          </w:tcPr>
          <w:p>
            <w:pPr>
              <w:jc w:val="right"/>
              <w:ind w:right="452"/>
              <w:spacing w:after="0"/>
              <w:rPr>
                <w:sz w:val="20"/>
                <w:szCs w:val="20"/>
                <w:color w:val="auto"/>
              </w:rPr>
            </w:pPr>
            <w:r>
              <w:rPr>
                <w:rFonts w:ascii="Arial" w:cs="Arial" w:eastAsia="Arial" w:hAnsi="Arial"/>
                <w:sz w:val="18"/>
                <w:szCs w:val="18"/>
                <w:color w:val="auto"/>
              </w:rPr>
              <w:t>(14,487)</w:t>
            </w:r>
          </w:p>
        </w:tc>
        <w:tc>
          <w:tcPr>
            <w:tcW w:w="1060" w:type="dxa"/>
            <w:vAlign w:val="bottom"/>
          </w:tcPr>
          <w:p>
            <w:pPr>
              <w:jc w:val="right"/>
              <w:spacing w:after="0"/>
              <w:rPr>
                <w:sz w:val="20"/>
                <w:szCs w:val="20"/>
                <w:color w:val="auto"/>
              </w:rPr>
            </w:pPr>
            <w:r>
              <w:rPr>
                <w:rFonts w:ascii="Arial" w:cs="Arial" w:eastAsia="Arial" w:hAnsi="Arial"/>
                <w:sz w:val="18"/>
                <w:szCs w:val="18"/>
                <w:color w:val="auto"/>
              </w:rPr>
              <w:t>(3,491)</w:t>
            </w:r>
          </w:p>
        </w:tc>
      </w:tr>
      <w:tr>
        <w:trPr>
          <w:trHeight w:val="222"/>
        </w:trPr>
        <w:tc>
          <w:tcPr>
            <w:tcW w:w="440" w:type="dxa"/>
            <w:vAlign w:val="bottom"/>
          </w:tcPr>
          <w:p>
            <w:pPr>
              <w:jc w:val="right"/>
              <w:ind w:right="52"/>
              <w:spacing w:after="0"/>
              <w:rPr>
                <w:sz w:val="20"/>
                <w:szCs w:val="20"/>
                <w:color w:val="auto"/>
              </w:rPr>
            </w:pPr>
            <w:r>
              <w:rPr>
                <w:rFonts w:ascii="Arial" w:cs="Arial" w:eastAsia="Arial" w:hAnsi="Arial"/>
                <w:sz w:val="18"/>
                <w:szCs w:val="18"/>
                <w:color w:val="auto"/>
                <w:w w:val="87"/>
              </w:rPr>
              <w:t>(16)</w:t>
            </w:r>
          </w:p>
        </w:tc>
        <w:tc>
          <w:tcPr>
            <w:tcW w:w="7880" w:type="dxa"/>
            <w:vAlign w:val="bottom"/>
          </w:tcPr>
          <w:p>
            <w:pPr>
              <w:ind w:left="140"/>
              <w:spacing w:after="0"/>
              <w:rPr>
                <w:sz w:val="20"/>
                <w:szCs w:val="20"/>
                <w:color w:val="auto"/>
              </w:rPr>
            </w:pPr>
            <w:r>
              <w:rPr>
                <w:rFonts w:ascii="Arial" w:cs="Arial" w:eastAsia="Arial" w:hAnsi="Arial"/>
                <w:sz w:val="18"/>
                <w:szCs w:val="18"/>
                <w:color w:val="auto"/>
                <w:w w:val="98"/>
              </w:rPr>
              <w:t>Adjustments to depreciation expense related to fair value adjustments to premises and equipment.</w:t>
            </w:r>
          </w:p>
        </w:tc>
        <w:tc>
          <w:tcPr>
            <w:tcW w:w="2000" w:type="dxa"/>
            <w:vAlign w:val="bottom"/>
          </w:tcPr>
          <w:p>
            <w:pPr>
              <w:jc w:val="right"/>
              <w:ind w:right="512"/>
              <w:spacing w:after="0"/>
              <w:rPr>
                <w:sz w:val="20"/>
                <w:szCs w:val="20"/>
                <w:color w:val="auto"/>
              </w:rPr>
            </w:pPr>
            <w:r>
              <w:rPr>
                <w:rFonts w:ascii="Arial" w:cs="Arial" w:eastAsia="Arial" w:hAnsi="Arial"/>
                <w:sz w:val="18"/>
                <w:szCs w:val="18"/>
                <w:color w:val="auto"/>
              </w:rPr>
              <w:t>526</w:t>
            </w: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r>
    </w:tbl>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Incremental amortization on an accelerated basis for core deposit and other intangible assets.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5900" w:type="dxa"/>
            <w:vAlign w:val="bottom"/>
            <w:vMerge w:val="restart"/>
          </w:tcPr>
          <w:p>
            <w:pPr>
              <w:ind w:left="140"/>
              <w:spacing w:after="0"/>
              <w:rPr>
                <w:sz w:val="20"/>
                <w:szCs w:val="20"/>
                <w:color w:val="auto"/>
              </w:rPr>
            </w:pPr>
            <w:r>
              <w:rPr>
                <w:rFonts w:ascii="Arial" w:cs="Arial" w:eastAsia="Arial" w:hAnsi="Arial"/>
                <w:sz w:val="18"/>
                <w:szCs w:val="18"/>
                <w:color w:val="auto"/>
              </w:rPr>
              <w:t>Core deposit intangible</w:t>
            </w:r>
          </w:p>
        </w:tc>
        <w:tc>
          <w:tcPr>
            <w:tcW w:w="2280" w:type="dxa"/>
            <w:vAlign w:val="bottom"/>
            <w:gridSpan w:val="2"/>
          </w:tcPr>
          <w:p>
            <w:pPr>
              <w:spacing w:after="0"/>
              <w:rPr>
                <w:sz w:val="20"/>
                <w:szCs w:val="20"/>
                <w:color w:val="auto"/>
              </w:rPr>
            </w:pPr>
            <w:r>
              <w:rPr>
                <w:rFonts w:ascii="Arial" w:cs="Arial" w:eastAsia="Arial" w:hAnsi="Arial"/>
                <w:sz w:val="14"/>
                <w:szCs w:val="14"/>
                <w:color w:val="auto"/>
              </w:rPr>
              <w:t>Estimated life</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13,698</w:t>
            </w:r>
          </w:p>
        </w:tc>
        <w:tc>
          <w:tcPr>
            <w:tcW w:w="400" w:type="dxa"/>
            <w:vAlign w:val="bottom"/>
          </w:tcPr>
          <w:p>
            <w:pPr>
              <w:spacing w:after="0"/>
              <w:rPr>
                <w:sz w:val="14"/>
                <w:szCs w:val="14"/>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01"/>
        </w:trPr>
        <w:tc>
          <w:tcPr>
            <w:tcW w:w="4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760" w:type="dxa"/>
            <w:vAlign w:val="bottom"/>
            <w:tcBorders>
              <w:top w:val="single" w:sz="8" w:color="auto"/>
            </w:tcBorders>
          </w:tcPr>
          <w:p>
            <w:pPr>
              <w:ind w:left="160"/>
              <w:spacing w:after="0" w:line="201" w:lineRule="exact"/>
              <w:rPr>
                <w:sz w:val="20"/>
                <w:szCs w:val="20"/>
                <w:color w:val="auto"/>
              </w:rPr>
            </w:pPr>
            <w:r>
              <w:rPr>
                <w:rFonts w:ascii="Arial" w:cs="Arial" w:eastAsia="Arial" w:hAnsi="Arial"/>
                <w:sz w:val="18"/>
                <w:szCs w:val="18"/>
                <w:color w:val="auto"/>
                <w:w w:val="98"/>
              </w:rPr>
              <w:t>7 years</w:t>
            </w:r>
          </w:p>
        </w:tc>
        <w:tc>
          <w:tcPr>
            <w:tcW w:w="15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Other intangible assets</w:t>
            </w:r>
          </w:p>
        </w:tc>
        <w:tc>
          <w:tcPr>
            <w:tcW w:w="2280" w:type="dxa"/>
            <w:vAlign w:val="bottom"/>
            <w:gridSpan w:val="2"/>
          </w:tcPr>
          <w:p>
            <w:pPr>
              <w:spacing w:after="0"/>
              <w:rPr>
                <w:sz w:val="20"/>
                <w:szCs w:val="20"/>
                <w:color w:val="auto"/>
              </w:rPr>
            </w:pPr>
            <w:r>
              <w:rPr>
                <w:rFonts w:ascii="Arial" w:cs="Arial" w:eastAsia="Arial" w:hAnsi="Arial"/>
                <w:sz w:val="18"/>
                <w:szCs w:val="18"/>
                <w:color w:val="auto"/>
              </w:rPr>
              <w:t>5 to 7 years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10,872</w:t>
            </w:r>
          </w:p>
        </w:tc>
        <w:tc>
          <w:tcPr>
            <w:tcW w:w="4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24,570</w:t>
            </w:r>
          </w:p>
        </w:tc>
        <w:tc>
          <w:tcPr>
            <w:tcW w:w="4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324"/>
        </w:trPr>
        <w:tc>
          <w:tcPr>
            <w:tcW w:w="440" w:type="dxa"/>
            <w:vAlign w:val="bottom"/>
          </w:tcPr>
          <w:p>
            <w:pPr>
              <w:jc w:val="right"/>
              <w:ind w:right="52"/>
              <w:spacing w:after="0"/>
              <w:rPr>
                <w:sz w:val="20"/>
                <w:szCs w:val="20"/>
                <w:color w:val="auto"/>
              </w:rPr>
            </w:pPr>
            <w:r>
              <w:rPr>
                <w:rFonts w:ascii="Arial" w:cs="Arial" w:eastAsia="Arial" w:hAnsi="Arial"/>
                <w:sz w:val="18"/>
                <w:szCs w:val="18"/>
                <w:color w:val="auto"/>
                <w:w w:val="87"/>
              </w:rPr>
              <w:t>(18)</w:t>
            </w:r>
          </w:p>
        </w:tc>
        <w:tc>
          <w:tcPr>
            <w:tcW w:w="8180" w:type="dxa"/>
            <w:vAlign w:val="bottom"/>
            <w:gridSpan w:val="3"/>
          </w:tcPr>
          <w:p>
            <w:pPr>
              <w:ind w:left="140"/>
              <w:spacing w:after="0"/>
              <w:rPr>
                <w:sz w:val="20"/>
                <w:szCs w:val="20"/>
                <w:color w:val="auto"/>
              </w:rPr>
            </w:pPr>
            <w:r>
              <w:rPr>
                <w:rFonts w:ascii="Arial" w:cs="Arial" w:eastAsia="Arial" w:hAnsi="Arial"/>
                <w:sz w:val="18"/>
                <w:szCs w:val="18"/>
                <w:color w:val="auto"/>
              </w:rPr>
              <w:t>Income tax expense on pro forma adjustments above computed at a 39.25% combined tax rate.</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(6,438)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bl>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reversal of income tax expenses related to the establishment of a deferred tax valuation allowance by</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Wilmington in the respective periods (see note (7)).</w:t>
            </w:r>
          </w:p>
        </w:tc>
        <w:tc>
          <w:tcPr>
            <w:tcW w:w="3740" w:type="dxa"/>
            <w:vAlign w:val="bottom"/>
          </w:tcPr>
          <w:p>
            <w:pPr>
              <w:jc w:val="right"/>
              <w:ind w:right="512"/>
              <w:spacing w:after="0"/>
              <w:rPr>
                <w:sz w:val="20"/>
                <w:szCs w:val="20"/>
                <w:color w:val="auto"/>
              </w:rPr>
            </w:pPr>
            <w:r>
              <w:rPr>
                <w:rFonts w:ascii="Arial" w:cs="Arial" w:eastAsia="Arial" w:hAnsi="Arial"/>
                <w:sz w:val="18"/>
                <w:szCs w:val="18"/>
                <w:color w:val="auto"/>
              </w:rPr>
              <w:t>(289,424)</w:t>
            </w:r>
          </w:p>
        </w:tc>
        <w:tc>
          <w:tcPr>
            <w:tcW w:w="1000" w:type="dxa"/>
            <w:vAlign w:val="bottom"/>
          </w:tcPr>
          <w:p>
            <w:pPr>
              <w:jc w:val="right"/>
              <w:spacing w:after="0"/>
              <w:rPr>
                <w:sz w:val="20"/>
                <w:szCs w:val="20"/>
                <w:color w:val="auto"/>
              </w:rPr>
            </w:pPr>
            <w:r>
              <w:rPr>
                <w:rFonts w:ascii="Arial" w:cs="Arial" w:eastAsia="Arial" w:hAnsi="Arial"/>
                <w:sz w:val="18"/>
                <w:szCs w:val="18"/>
                <w:color w:val="auto"/>
              </w:rPr>
              <w:t>(548)</w:t>
            </w:r>
          </w:p>
        </w:tc>
      </w:tr>
    </w:tbl>
    <w:p>
      <w:pPr>
        <w:ind w:left="580" w:right="3260" w:hanging="572"/>
        <w:spacing w:after="0" w:line="352"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pro forma net income per common share amounts and average common shares outstanding include the effect of the adjustments described above and the issuance of 4,694,486 shares of M&amp;T common stock.</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4"/>
    </w:lvl>
  </w:abstractNum>
  <w:abstractNum w:abstractNumId="2">
    <w:nsid w:val="238E1F29"/>
    <w:multiLevelType w:val="hybridMultilevel"/>
    <w:lvl w:ilvl="0">
      <w:lvlJc w:val="left"/>
      <w:lvlText w:val="(%1)"/>
      <w:numFmt w:val="decimal"/>
      <w:start w:val="15"/>
    </w:lvl>
  </w:abstractNum>
  <w:abstractNum w:abstractNumId="3">
    <w:nsid w:val="46E87CCD"/>
    <w:multiLevelType w:val="hybridMultilevel"/>
    <w:lvl w:ilvl="0">
      <w:lvlJc w:val="left"/>
      <w:lvlText w:val="(%1)"/>
      <w:numFmt w:val="decimal"/>
      <w:start w:val="17"/>
    </w:lvl>
  </w:abstractNum>
  <w:abstractNum w:abstractNumId="4">
    <w:nsid w:val="3D1B58BA"/>
    <w:multiLevelType w:val="hybridMultilevel"/>
    <w:lvl w:ilvl="0">
      <w:lvlJc w:val="left"/>
      <w:lvlText w:val="(%1)"/>
      <w:numFmt w:val="decimal"/>
      <w:start w:val="19"/>
    </w:lvl>
  </w:abstractNum>
  <w:abstractNum w:abstractNumId="5">
    <w:nsid w:val="507ED7AB"/>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2019-12-10T01:14:15Z</dcterms:created>
  <dcterms:modified xsi:type="dcterms:W3CDTF">2019-12-10T01:14:15Z</dcterms:modified>
</cp:coreProperties>
</file>