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155575</wp:posOffset>
            </wp:positionH>
            <wp:positionV relativeFrom="page">
              <wp:posOffset>172085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189230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222250</wp:posOffset>
            </wp:positionV>
            <wp:extent cx="7250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239395</wp:posOffset>
            </wp:positionV>
            <wp:extent cx="7250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36830</wp:posOffset>
            </wp:positionV>
            <wp:extent cx="2411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11095" cy="8255"/>
                    </a:xfrm>
                    <a:prstGeom prst="rect">
                      <a:avLst/>
                    </a:prstGeom>
                    <a:noFill/>
                  </pic:spPr>
                </pic:pic>
              </a:graphicData>
            </a:graphic>
          </wp:anchor>
        </w:drawing>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71120</wp:posOffset>
            </wp:positionV>
            <wp:extent cx="2411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1095" cy="8255"/>
                    </a:xfrm>
                    <a:prstGeom prst="rect">
                      <a:avLst/>
                    </a:prstGeom>
                    <a:noFill/>
                  </pic:spPr>
                </pic:pic>
              </a:graphicData>
            </a:graphic>
          </wp:anchor>
        </w:drawing>
      </w:r>
    </w:p>
    <w:p>
      <w:pPr>
        <w:spacing w:after="0" w:line="157" w:lineRule="exact"/>
        <w:rPr>
          <w:sz w:val="24"/>
          <w:szCs w:val="24"/>
          <w:color w:val="auto"/>
        </w:rPr>
      </w:pPr>
    </w:p>
    <w:p>
      <w:pPr>
        <w:ind w:left="540" w:hanging="417"/>
        <w:spacing w:after="0"/>
        <w:tabs>
          <w:tab w:leader="none" w:pos="54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2019</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302" w:lineRule="exact"/>
        <w:rPr>
          <w:sz w:val="24"/>
          <w:szCs w:val="24"/>
          <w:color w:val="auto"/>
        </w:rPr>
      </w:pPr>
    </w:p>
    <w:p>
      <w:pPr>
        <w:ind w:left="540" w:hanging="417"/>
        <w:spacing w:after="0"/>
        <w:tabs>
          <w:tab w:leader="none" w:pos="54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50800</wp:posOffset>
            </wp:positionV>
            <wp:extent cx="2411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11095" cy="8255"/>
                    </a:xfrm>
                    <a:prstGeom prst="rect">
                      <a:avLst/>
                    </a:prstGeom>
                    <a:noFill/>
                  </pic:spPr>
                </pic:pic>
              </a:graphicData>
            </a:graphic>
          </wp:anchor>
        </w:drawing>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M&amp;T BANK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64135</wp:posOffset>
            </wp:positionV>
            <wp:extent cx="2411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11095" cy="8255"/>
                    </a:xfrm>
                    <a:prstGeom prst="rect">
                      <a:avLst/>
                    </a:prstGeom>
                    <a:noFill/>
                  </pic:spPr>
                </pic:pic>
              </a:graphicData>
            </a:graphic>
          </wp:anchor>
        </w:drawing>
      </w:r>
    </w:p>
    <w:p>
      <w:pPr>
        <w:spacing w:after="0" w:line="172" w:lineRule="exact"/>
        <w:rPr>
          <w:sz w:val="24"/>
          <w:szCs w:val="24"/>
          <w:color w:val="auto"/>
        </w:rPr>
      </w:pPr>
    </w:p>
    <w:tbl>
      <w:tblPr>
        <w:tblLayout w:type="fixed"/>
        <w:tblInd w:w="500" w:type="dxa"/>
        <w:tblCellMar>
          <w:top w:w="0" w:type="dxa"/>
          <w:left w:w="0" w:type="dxa"/>
          <w:bottom w:w="0" w:type="dxa"/>
          <w:right w:w="0" w:type="dxa"/>
        </w:tblCellMar>
      </w:tblPr>
      <w:tr>
        <w:trPr>
          <w:trHeight w:val="192"/>
        </w:trPr>
        <w:tc>
          <w:tcPr>
            <w:tcW w:w="1800" w:type="dxa"/>
            <w:vAlign w:val="bottom"/>
          </w:tcPr>
          <w:p>
            <w:pPr>
              <w:spacing w:after="0"/>
              <w:rPr>
                <w:sz w:val="16"/>
                <w:szCs w:val="16"/>
                <w:color w:val="auto"/>
              </w:rPr>
            </w:pPr>
          </w:p>
        </w:tc>
        <w:tc>
          <w:tcPr>
            <w:tcW w:w="1460" w:type="dxa"/>
            <w:vAlign w:val="bottom"/>
            <w:gridSpan w:val="2"/>
          </w:tcPr>
          <w:p>
            <w:pPr>
              <w:jc w:val="center"/>
              <w:ind w:right="270"/>
              <w:spacing w:after="0"/>
              <w:rPr>
                <w:sz w:val="20"/>
                <w:szCs w:val="20"/>
                <w:color w:val="auto"/>
              </w:rPr>
            </w:pPr>
            <w:r>
              <w:rPr>
                <w:rFonts w:ascii="Arial" w:cs="Arial" w:eastAsia="Arial" w:hAnsi="Arial"/>
                <w:sz w:val="16"/>
                <w:szCs w:val="16"/>
                <w:b w:val="1"/>
                <w:bCs w:val="1"/>
                <w:color w:val="auto"/>
                <w:w w:val="93"/>
              </w:rPr>
              <w:t>New York</w:t>
            </w:r>
          </w:p>
        </w:tc>
        <w:tc>
          <w:tcPr>
            <w:tcW w:w="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40" w:type="dxa"/>
            <w:vAlign w:val="bottom"/>
          </w:tcPr>
          <w:p>
            <w:pPr>
              <w:jc w:val="right"/>
              <w:ind w:right="965"/>
              <w:spacing w:after="0"/>
              <w:rPr>
                <w:sz w:val="20"/>
                <w:szCs w:val="20"/>
                <w:color w:val="auto"/>
              </w:rPr>
            </w:pPr>
            <w:r>
              <w:rPr>
                <w:rFonts w:ascii="Arial" w:cs="Arial" w:eastAsia="Arial" w:hAnsi="Arial"/>
                <w:sz w:val="16"/>
                <w:szCs w:val="16"/>
                <w:b w:val="1"/>
                <w:bCs w:val="1"/>
                <w:color w:val="auto"/>
              </w:rPr>
              <w:t>16-0968385</w:t>
            </w:r>
          </w:p>
        </w:tc>
        <w:tc>
          <w:tcPr>
            <w:tcW w:w="0" w:type="dxa"/>
            <w:vAlign w:val="bottom"/>
          </w:tcPr>
          <w:p>
            <w:pPr>
              <w:spacing w:after="0"/>
              <w:rPr>
                <w:sz w:val="1"/>
                <w:szCs w:val="1"/>
                <w:color w:val="auto"/>
              </w:rPr>
            </w:pPr>
          </w:p>
        </w:tc>
      </w:tr>
      <w:tr>
        <w:trPr>
          <w:trHeight w:val="179"/>
        </w:trPr>
        <w:tc>
          <w:tcPr>
            <w:tcW w:w="3260" w:type="dxa"/>
            <w:vAlign w:val="bottom"/>
            <w:gridSpan w:val="3"/>
          </w:tcPr>
          <w:p>
            <w:pPr>
              <w:jc w:val="center"/>
              <w:ind w:left="1387"/>
              <w:spacing w:after="0"/>
              <w:rPr>
                <w:sz w:val="20"/>
                <w:szCs w:val="20"/>
                <w:color w:val="auto"/>
              </w:rPr>
            </w:pPr>
            <w:r>
              <w:rPr>
                <w:rFonts w:ascii="Arial" w:cs="Arial" w:eastAsia="Arial" w:hAnsi="Arial"/>
                <w:sz w:val="14"/>
                <w:szCs w:val="14"/>
                <w:i w:val="1"/>
                <w:iCs w:val="1"/>
                <w:color w:val="auto"/>
                <w:w w:val="92"/>
              </w:rPr>
              <w:t>(State of incorporation)</w:t>
            </w:r>
          </w:p>
        </w:tc>
        <w:tc>
          <w:tcPr>
            <w:tcW w:w="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740" w:type="dxa"/>
            <w:vAlign w:val="bottom"/>
            <w:gridSpan w:val="4"/>
          </w:tcPr>
          <w:p>
            <w:pPr>
              <w:jc w:val="center"/>
              <w:ind w:right="25"/>
              <w:spacing w:after="0"/>
              <w:rPr>
                <w:sz w:val="20"/>
                <w:szCs w:val="20"/>
                <w:color w:val="auto"/>
              </w:rPr>
            </w:pPr>
            <w:r>
              <w:rPr>
                <w:rFonts w:ascii="Arial" w:cs="Arial" w:eastAsia="Arial" w:hAnsi="Arial"/>
                <w:sz w:val="14"/>
                <w:szCs w:val="14"/>
                <w:i w:val="1"/>
                <w:iCs w:val="1"/>
                <w:color w:val="auto"/>
                <w:w w:val="92"/>
              </w:rPr>
              <w:t>(I.R.S. Employer Identification No.)</w:t>
            </w:r>
          </w:p>
        </w:tc>
        <w:tc>
          <w:tcPr>
            <w:tcW w:w="0" w:type="dxa"/>
            <w:vAlign w:val="bottom"/>
          </w:tcPr>
          <w:p>
            <w:pPr>
              <w:spacing w:after="0"/>
              <w:rPr>
                <w:sz w:val="1"/>
                <w:szCs w:val="1"/>
                <w:color w:val="auto"/>
              </w:rPr>
            </w:pPr>
          </w:p>
        </w:tc>
      </w:tr>
      <w:tr>
        <w:trPr>
          <w:trHeight w:val="242"/>
        </w:trPr>
        <w:tc>
          <w:tcPr>
            <w:tcW w:w="7140" w:type="dxa"/>
            <w:vAlign w:val="bottom"/>
            <w:gridSpan w:val="7"/>
          </w:tcPr>
          <w:p>
            <w:pPr>
              <w:jc w:val="center"/>
              <w:ind w:right="2420"/>
              <w:spacing w:after="0"/>
              <w:rPr>
                <w:sz w:val="20"/>
                <w:szCs w:val="20"/>
                <w:color w:val="auto"/>
              </w:rPr>
            </w:pPr>
            <w:r>
              <w:rPr>
                <w:rFonts w:ascii="Arial" w:cs="Arial" w:eastAsia="Arial" w:hAnsi="Arial"/>
                <w:sz w:val="16"/>
                <w:szCs w:val="16"/>
                <w:b w:val="1"/>
                <w:bCs w:val="1"/>
                <w:color w:val="auto"/>
                <w:w w:val="93"/>
              </w:rPr>
              <w:t>One M&amp;T Plaza, Buffalo, New York</w:t>
            </w:r>
          </w:p>
        </w:tc>
        <w:tc>
          <w:tcPr>
            <w:tcW w:w="420" w:type="dxa"/>
            <w:vAlign w:val="bottom"/>
          </w:tcPr>
          <w:p>
            <w:pPr>
              <w:spacing w:after="0"/>
              <w:rPr>
                <w:sz w:val="21"/>
                <w:szCs w:val="21"/>
                <w:color w:val="auto"/>
              </w:rPr>
            </w:pPr>
          </w:p>
        </w:tc>
        <w:tc>
          <w:tcPr>
            <w:tcW w:w="1940" w:type="dxa"/>
            <w:vAlign w:val="bottom"/>
          </w:tcPr>
          <w:p>
            <w:pPr>
              <w:jc w:val="right"/>
              <w:ind w:right="1165"/>
              <w:spacing w:after="0"/>
              <w:rPr>
                <w:sz w:val="20"/>
                <w:szCs w:val="20"/>
                <w:color w:val="auto"/>
              </w:rPr>
            </w:pPr>
            <w:r>
              <w:rPr>
                <w:rFonts w:ascii="Arial" w:cs="Arial" w:eastAsia="Arial" w:hAnsi="Arial"/>
                <w:sz w:val="16"/>
                <w:szCs w:val="16"/>
                <w:b w:val="1"/>
                <w:bCs w:val="1"/>
                <w:color w:val="auto"/>
              </w:rPr>
              <w:t>14203</w:t>
            </w:r>
          </w:p>
        </w:tc>
        <w:tc>
          <w:tcPr>
            <w:tcW w:w="0" w:type="dxa"/>
            <w:vAlign w:val="bottom"/>
          </w:tcPr>
          <w:p>
            <w:pPr>
              <w:spacing w:after="0"/>
              <w:rPr>
                <w:sz w:val="1"/>
                <w:szCs w:val="1"/>
                <w:color w:val="auto"/>
              </w:rPr>
            </w:pPr>
          </w:p>
        </w:tc>
      </w:tr>
      <w:tr>
        <w:trPr>
          <w:trHeight w:val="179"/>
        </w:trPr>
        <w:tc>
          <w:tcPr>
            <w:tcW w:w="7140" w:type="dxa"/>
            <w:vAlign w:val="bottom"/>
            <w:gridSpan w:val="7"/>
          </w:tcPr>
          <w:p>
            <w:pPr>
              <w:jc w:val="center"/>
              <w:ind w:right="2420"/>
              <w:spacing w:after="0"/>
              <w:rPr>
                <w:sz w:val="20"/>
                <w:szCs w:val="20"/>
                <w:color w:val="auto"/>
              </w:rPr>
            </w:pPr>
            <w:r>
              <w:rPr>
                <w:rFonts w:ascii="Arial" w:cs="Arial" w:eastAsia="Arial" w:hAnsi="Arial"/>
                <w:sz w:val="14"/>
                <w:szCs w:val="14"/>
                <w:i w:val="1"/>
                <w:iCs w:val="1"/>
                <w:color w:val="auto"/>
                <w:w w:val="91"/>
              </w:rPr>
              <w:t>(Address of principal executive offices)</w:t>
            </w:r>
          </w:p>
        </w:tc>
        <w:tc>
          <w:tcPr>
            <w:tcW w:w="420" w:type="dxa"/>
            <w:vAlign w:val="bottom"/>
          </w:tcPr>
          <w:p>
            <w:pPr>
              <w:spacing w:after="0"/>
              <w:rPr>
                <w:sz w:val="15"/>
                <w:szCs w:val="15"/>
                <w:color w:val="auto"/>
              </w:rPr>
            </w:pPr>
          </w:p>
        </w:tc>
        <w:tc>
          <w:tcPr>
            <w:tcW w:w="1940" w:type="dxa"/>
            <w:vAlign w:val="bottom"/>
          </w:tcPr>
          <w:p>
            <w:pPr>
              <w:jc w:val="center"/>
              <w:ind w:right="845"/>
              <w:spacing w:after="0"/>
              <w:rPr>
                <w:sz w:val="20"/>
                <w:szCs w:val="20"/>
                <w:color w:val="auto"/>
              </w:rPr>
            </w:pPr>
            <w:r>
              <w:rPr>
                <w:rFonts w:ascii="Arial" w:cs="Arial" w:eastAsia="Arial" w:hAnsi="Arial"/>
                <w:sz w:val="14"/>
                <w:szCs w:val="14"/>
                <w:i w:val="1"/>
                <w:iCs w:val="1"/>
                <w:color w:val="auto"/>
                <w:w w:val="93"/>
              </w:rPr>
              <w:t>(Zip Code)</w:t>
            </w: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7"/>
              </w:rPr>
              <w:t>Registrant’s telephone number, including area code:</w:t>
            </w:r>
          </w:p>
        </w:tc>
        <w:tc>
          <w:tcPr>
            <w:tcW w:w="4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00" w:type="dxa"/>
            <w:vAlign w:val="bottom"/>
            <w:gridSpan w:val="2"/>
          </w:tcPr>
          <w:p>
            <w:pPr>
              <w:jc w:val="center"/>
              <w:ind w:left="321"/>
              <w:spacing w:after="0"/>
              <w:rPr>
                <w:sz w:val="20"/>
                <w:szCs w:val="20"/>
                <w:color w:val="auto"/>
              </w:rPr>
            </w:pPr>
            <w:r>
              <w:rPr>
                <w:rFonts w:ascii="Arial" w:cs="Arial" w:eastAsia="Arial" w:hAnsi="Arial"/>
                <w:sz w:val="16"/>
                <w:szCs w:val="16"/>
                <w:b w:val="1"/>
                <w:bCs w:val="1"/>
                <w:color w:val="auto"/>
                <w:w w:val="90"/>
              </w:rPr>
              <w:t>716-635-4000</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80" w:type="dxa"/>
            <w:vAlign w:val="bottom"/>
            <w:gridSpan w:val="4"/>
          </w:tcPr>
          <w:p>
            <w:pPr>
              <w:jc w:val="center"/>
              <w:spacing w:after="0"/>
              <w:rPr>
                <w:sz w:val="20"/>
                <w:szCs w:val="20"/>
                <w:color w:val="auto"/>
              </w:rPr>
            </w:pPr>
            <w:r>
              <w:rPr>
                <w:rFonts w:ascii="Arial" w:cs="Arial" w:eastAsia="Arial" w:hAnsi="Arial"/>
                <w:sz w:val="16"/>
                <w:szCs w:val="16"/>
                <w:b w:val="1"/>
                <w:bCs w:val="1"/>
                <w:color w:val="auto"/>
                <w:w w:val="87"/>
              </w:rPr>
              <w:t>Securities registered pursuant to Section 12(b) of the Act:</w:t>
            </w:r>
          </w:p>
        </w:tc>
        <w:tc>
          <w:tcPr>
            <w:tcW w:w="4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800" w:type="dxa"/>
            <w:vAlign w:val="bottom"/>
          </w:tcPr>
          <w:p>
            <w:pPr>
              <w:spacing w:after="0"/>
              <w:rPr>
                <w:sz w:val="17"/>
                <w:szCs w:val="17"/>
                <w:color w:val="auto"/>
              </w:rPr>
            </w:pPr>
          </w:p>
        </w:tc>
        <w:tc>
          <w:tcPr>
            <w:tcW w:w="146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740" w:type="dxa"/>
            <w:vAlign w:val="bottom"/>
            <w:gridSpan w:val="4"/>
          </w:tcPr>
          <w:p>
            <w:pPr>
              <w:spacing w:after="0"/>
              <w:rPr>
                <w:sz w:val="20"/>
                <w:szCs w:val="20"/>
                <w:color w:val="auto"/>
              </w:rPr>
            </w:pPr>
            <w:r>
              <w:rPr>
                <w:rFonts w:ascii="Arial" w:cs="Arial" w:eastAsia="Arial" w:hAnsi="Arial"/>
                <w:sz w:val="14"/>
                <w:szCs w:val="14"/>
                <w:b w:val="1"/>
                <w:bCs w:val="1"/>
                <w:color w:val="auto"/>
                <w:w w:val="88"/>
              </w:rPr>
              <w:t>Name of Each Exchange on Which Registered</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vMerge w:val="restart"/>
          </w:tcPr>
          <w:p>
            <w:pPr>
              <w:ind w:left="20"/>
              <w:spacing w:after="0"/>
              <w:rPr>
                <w:sz w:val="20"/>
                <w:szCs w:val="20"/>
                <w:color w:val="auto"/>
              </w:rPr>
            </w:pPr>
            <w:r>
              <w:rPr>
                <w:rFonts w:ascii="Arial" w:cs="Arial" w:eastAsia="Arial" w:hAnsi="Arial"/>
                <w:sz w:val="14"/>
                <w:szCs w:val="14"/>
                <w:color w:val="auto"/>
                <w:w w:val="89"/>
              </w:rPr>
              <w:t>value</w:t>
            </w:r>
          </w:p>
        </w:tc>
        <w:tc>
          <w:tcPr>
            <w:tcW w:w="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3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920" w:type="dxa"/>
            <w:vAlign w:val="bottom"/>
            <w:gridSpan w:val="2"/>
          </w:tcPr>
          <w:p>
            <w:pPr>
              <w:ind w:left="1500"/>
              <w:spacing w:after="0"/>
              <w:rPr>
                <w:sz w:val="20"/>
                <w:szCs w:val="20"/>
                <w:color w:val="auto"/>
              </w:rPr>
            </w:pPr>
            <w:r>
              <w:rPr>
                <w:rFonts w:ascii="Arial" w:cs="Arial" w:eastAsia="Arial" w:hAnsi="Arial"/>
                <w:sz w:val="14"/>
                <w:szCs w:val="14"/>
                <w:color w:val="auto"/>
                <w:w w:val="90"/>
              </w:rPr>
              <w:t>Common Stock, $.50 par</w:t>
            </w: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2"/>
          </w:tcPr>
          <w:p>
            <w:pPr>
              <w:jc w:val="center"/>
              <w:ind w:right="425"/>
              <w:spacing w:after="0"/>
              <w:rPr>
                <w:sz w:val="20"/>
                <w:szCs w:val="20"/>
                <w:color w:val="auto"/>
              </w:rPr>
            </w:pPr>
            <w:r>
              <w:rPr>
                <w:rFonts w:ascii="Arial" w:cs="Arial" w:eastAsia="Arial" w:hAnsi="Arial"/>
                <w:sz w:val="14"/>
                <w:szCs w:val="14"/>
                <w:color w:val="auto"/>
                <w:w w:val="90"/>
              </w:rPr>
              <w:t>New York Stock Exchange</w:t>
            </w:r>
          </w:p>
        </w:tc>
        <w:tc>
          <w:tcPr>
            <w:tcW w:w="0" w:type="dxa"/>
            <w:vAlign w:val="bottom"/>
          </w:tcPr>
          <w:p>
            <w:pPr>
              <w:spacing w:after="0"/>
              <w:rPr>
                <w:sz w:val="1"/>
                <w:szCs w:val="1"/>
                <w:color w:val="auto"/>
              </w:rPr>
            </w:pPr>
          </w:p>
        </w:tc>
      </w:tr>
      <w:tr>
        <w:trPr>
          <w:trHeight w:val="58"/>
        </w:trPr>
        <w:tc>
          <w:tcPr>
            <w:tcW w:w="1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34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vMerge w:val="restart"/>
          </w:tcPr>
          <w:p>
            <w:pPr>
              <w:spacing w:after="0" w:line="173" w:lineRule="exact"/>
              <w:rPr>
                <w:sz w:val="20"/>
                <w:szCs w:val="20"/>
                <w:color w:val="auto"/>
              </w:rPr>
            </w:pPr>
            <w:r>
              <w:rPr>
                <w:rFonts w:ascii="Arial" w:cs="Arial" w:eastAsia="Arial" w:hAnsi="Arial"/>
                <w:sz w:val="15"/>
                <w:szCs w:val="15"/>
                <w:color w:val="auto"/>
                <w:w w:val="88"/>
              </w:rPr>
              <w:t xml:space="preserve">Yes </w:t>
            </w:r>
            <w:r>
              <w:rPr>
                <w:rFonts w:ascii="MS PGothic" w:cs="MS PGothic" w:eastAsia="MS PGothic" w:hAnsi="MS PGothic"/>
                <w:sz w:val="15"/>
                <w:szCs w:val="15"/>
                <w:color w:val="auto"/>
                <w:w w:val="88"/>
              </w:rPr>
              <w:t>☒</w:t>
            </w:r>
          </w:p>
        </w:tc>
        <w:tc>
          <w:tcPr>
            <w:tcW w:w="1940" w:type="dxa"/>
            <w:vAlign w:val="bottom"/>
            <w:vMerge w:val="restart"/>
          </w:tcPr>
          <w:p>
            <w:pPr>
              <w:jc w:val="center"/>
              <w:ind w:right="1165"/>
              <w:spacing w:after="0" w:line="173" w:lineRule="exact"/>
              <w:rPr>
                <w:sz w:val="20"/>
                <w:szCs w:val="20"/>
                <w:color w:val="auto"/>
              </w:rPr>
            </w:pPr>
            <w:r>
              <w:rPr>
                <w:rFonts w:ascii="Arial" w:cs="Arial" w:eastAsia="Arial" w:hAnsi="Arial"/>
                <w:sz w:val="15"/>
                <w:szCs w:val="15"/>
                <w:color w:val="auto"/>
                <w:w w:val="98"/>
              </w:rPr>
              <w:t xml:space="preserve">No </w:t>
            </w:r>
            <w:r>
              <w:rPr>
                <w:rFonts w:ascii="MS PGothic" w:cs="MS PGothic" w:eastAsia="MS PGothic" w:hAnsi="MS PGothic"/>
                <w:sz w:val="15"/>
                <w:szCs w:val="15"/>
                <w:color w:val="auto"/>
                <w:w w:val="98"/>
              </w:rPr>
              <w:t>☐</w:t>
            </w:r>
          </w:p>
        </w:tc>
        <w:tc>
          <w:tcPr>
            <w:tcW w:w="0" w:type="dxa"/>
            <w:vAlign w:val="bottom"/>
          </w:tcPr>
          <w:p>
            <w:pPr>
              <w:spacing w:after="0"/>
              <w:rPr>
                <w:sz w:val="1"/>
                <w:szCs w:val="1"/>
                <w:color w:val="auto"/>
              </w:rPr>
            </w:pPr>
          </w:p>
        </w:tc>
      </w:tr>
      <w:tr>
        <w:trPr>
          <w:trHeight w:val="250"/>
        </w:trPr>
        <w:tc>
          <w:tcPr>
            <w:tcW w:w="7140" w:type="dxa"/>
            <w:vAlign w:val="bottom"/>
            <w:gridSpan w:val="7"/>
          </w:tcPr>
          <w:p>
            <w:pPr>
              <w:spacing w:after="0"/>
              <w:rPr>
                <w:sz w:val="20"/>
                <w:szCs w:val="20"/>
                <w:color w:val="auto"/>
              </w:rPr>
            </w:pPr>
            <w:r>
              <w:rPr>
                <w:rFonts w:ascii="Arial" w:cs="Arial" w:eastAsia="Arial" w:hAnsi="Arial"/>
                <w:sz w:val="15"/>
                <w:szCs w:val="15"/>
                <w:color w:val="auto"/>
                <w:w w:val="91"/>
              </w:rPr>
              <w:t>Indicate by check mark if the registrant is a well-known seasoned issuer, as defined in Rule 405 of the Securities Act.</w:t>
            </w:r>
          </w:p>
        </w:tc>
        <w:tc>
          <w:tcPr>
            <w:tcW w:w="420" w:type="dxa"/>
            <w:vAlign w:val="bottom"/>
            <w:vMerge w:val="continue"/>
          </w:tcPr>
          <w:p>
            <w:pPr>
              <w:spacing w:after="0"/>
              <w:rPr>
                <w:sz w:val="21"/>
                <w:szCs w:val="21"/>
                <w:color w:val="auto"/>
              </w:rPr>
            </w:pPr>
          </w:p>
        </w:tc>
        <w:tc>
          <w:tcPr>
            <w:tcW w:w="1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40" w:type="dxa"/>
            <w:vAlign w:val="bottom"/>
            <w:gridSpan w:val="7"/>
          </w:tcPr>
          <w:p>
            <w:pPr>
              <w:spacing w:after="0"/>
              <w:rPr>
                <w:sz w:val="20"/>
                <w:szCs w:val="20"/>
                <w:color w:val="auto"/>
              </w:rPr>
            </w:pPr>
            <w:r>
              <w:rPr>
                <w:rFonts w:ascii="Arial" w:cs="Arial" w:eastAsia="Arial" w:hAnsi="Arial"/>
                <w:sz w:val="15"/>
                <w:szCs w:val="15"/>
                <w:color w:val="auto"/>
                <w:w w:val="90"/>
              </w:rPr>
              <w:t>Indicate by check mark if the registrant is not required to file reports pursuant to Section 13 or Section 15(d) of the Act.</w:t>
            </w:r>
          </w:p>
        </w:tc>
        <w:tc>
          <w:tcPr>
            <w:tcW w:w="420" w:type="dxa"/>
            <w:vAlign w:val="bottom"/>
          </w:tcPr>
          <w:p>
            <w:pPr>
              <w:ind w:left="140"/>
              <w:spacing w:after="0"/>
              <w:rPr>
                <w:sz w:val="20"/>
                <w:szCs w:val="20"/>
                <w:color w:val="auto"/>
              </w:rPr>
            </w:pPr>
            <w:r>
              <w:rPr>
                <w:rFonts w:ascii="Arial" w:cs="Arial" w:eastAsia="Arial" w:hAnsi="Arial"/>
                <w:sz w:val="15"/>
                <w:szCs w:val="15"/>
                <w:color w:val="auto"/>
              </w:rPr>
              <w:t>Yes</w:t>
            </w:r>
          </w:p>
        </w:tc>
        <w:tc>
          <w:tcPr>
            <w:tcW w:w="1940" w:type="dxa"/>
            <w:vAlign w:val="bottom"/>
          </w:tcPr>
          <w:p>
            <w:pPr>
              <w:jc w:val="center"/>
              <w:ind w:right="1185"/>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firstLine="505"/>
        <w:spacing w:after="0" w:line="188"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ind w:firstLine="505"/>
        <w:spacing w:after="0" w:line="18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ind w:left="50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20"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20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20" w:type="dxa"/>
            <w:vAlign w:val="bottom"/>
          </w:tcPr>
          <w:p>
            <w:pPr>
              <w:ind w:left="380"/>
              <w:spacing w:after="0" w:line="151" w:lineRule="exact"/>
              <w:rPr>
                <w:sz w:val="20"/>
                <w:szCs w:val="20"/>
                <w:color w:val="auto"/>
              </w:rPr>
            </w:pPr>
            <w:r>
              <w:rPr>
                <w:rFonts w:ascii="MS PGothic" w:cs="MS PGothic" w:eastAsia="MS PGothic" w:hAnsi="MS PGothic"/>
                <w:sz w:val="15"/>
                <w:szCs w:val="15"/>
                <w:color w:val="auto"/>
              </w:rPr>
              <w:t>☒</w:t>
            </w:r>
          </w:p>
        </w:tc>
        <w:tc>
          <w:tcPr>
            <w:tcW w:w="5020" w:type="dxa"/>
            <w:vAlign w:val="bottom"/>
          </w:tcPr>
          <w:p>
            <w:pPr>
              <w:ind w:left="3000"/>
              <w:spacing w:after="0"/>
              <w:rPr>
                <w:sz w:val="20"/>
                <w:szCs w:val="20"/>
                <w:color w:val="auto"/>
              </w:rPr>
            </w:pPr>
            <w:r>
              <w:rPr>
                <w:rFonts w:ascii="Arial" w:cs="Arial" w:eastAsia="Arial" w:hAnsi="Arial"/>
                <w:sz w:val="15"/>
                <w:szCs w:val="15"/>
                <w:color w:val="auto"/>
              </w:rPr>
              <w:t>Accelerated filer</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4"/>
        </w:trPr>
        <w:tc>
          <w:tcPr>
            <w:tcW w:w="2020" w:type="dxa"/>
            <w:vAlign w:val="bottom"/>
          </w:tcPr>
          <w:p>
            <w:pPr>
              <w:spacing w:after="0"/>
              <w:rPr>
                <w:sz w:val="20"/>
                <w:szCs w:val="20"/>
                <w:color w:val="auto"/>
              </w:rPr>
            </w:pPr>
            <w:r>
              <w:rPr>
                <w:rFonts w:ascii="Arial" w:cs="Arial" w:eastAsia="Arial" w:hAnsi="Arial"/>
                <w:sz w:val="15"/>
                <w:szCs w:val="15"/>
                <w:color w:val="auto"/>
              </w:rPr>
              <w:t>Non-accelerated filer</w:t>
            </w:r>
          </w:p>
        </w:tc>
        <w:tc>
          <w:tcPr>
            <w:tcW w:w="3520" w:type="dxa"/>
            <w:vAlign w:val="bottom"/>
          </w:tcPr>
          <w:p>
            <w:pPr>
              <w:ind w:left="380"/>
              <w:spacing w:after="0" w:line="151" w:lineRule="exact"/>
              <w:rPr>
                <w:sz w:val="20"/>
                <w:szCs w:val="20"/>
                <w:color w:val="auto"/>
              </w:rPr>
            </w:pPr>
            <w:r>
              <w:rPr>
                <w:rFonts w:ascii="MS PGothic" w:cs="MS PGothic" w:eastAsia="MS PGothic" w:hAnsi="MS PGothic"/>
                <w:sz w:val="15"/>
                <w:szCs w:val="15"/>
                <w:color w:val="auto"/>
              </w:rPr>
              <w:t>☐</w:t>
            </w:r>
          </w:p>
        </w:tc>
        <w:tc>
          <w:tcPr>
            <w:tcW w:w="5020" w:type="dxa"/>
            <w:vAlign w:val="bottom"/>
          </w:tcPr>
          <w:p>
            <w:pPr>
              <w:ind w:left="3000"/>
              <w:spacing w:after="0"/>
              <w:rPr>
                <w:sz w:val="20"/>
                <w:szCs w:val="20"/>
                <w:color w:val="auto"/>
              </w:rPr>
            </w:pPr>
            <w:r>
              <w:rPr>
                <w:rFonts w:ascii="Arial" w:cs="Arial" w:eastAsia="Arial" w:hAnsi="Arial"/>
                <w:sz w:val="15"/>
                <w:szCs w:val="15"/>
                <w:color w:val="auto"/>
              </w:rPr>
              <w:t>Smaller reporting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2"/>
        </w:trPr>
        <w:tc>
          <w:tcPr>
            <w:tcW w:w="202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20" w:type="dxa"/>
            <w:vAlign w:val="bottom"/>
          </w:tcPr>
          <w:p>
            <w:pPr>
              <w:ind w:left="380"/>
              <w:spacing w:after="0" w:line="151" w:lineRule="exact"/>
              <w:rPr>
                <w:sz w:val="20"/>
                <w:szCs w:val="20"/>
                <w:color w:val="auto"/>
              </w:rPr>
            </w:pPr>
            <w:r>
              <w:rPr>
                <w:rFonts w:ascii="MS PGothic" w:cs="MS PGothic" w:eastAsia="MS PGothic" w:hAnsi="MS PGothic"/>
                <w:sz w:val="15"/>
                <w:szCs w:val="15"/>
                <w:color w:val="auto"/>
              </w:rPr>
              <w:t>☐</w:t>
            </w:r>
          </w:p>
        </w:tc>
        <w:tc>
          <w:tcPr>
            <w:tcW w:w="5020" w:type="dxa"/>
            <w:vAlign w:val="bottom"/>
          </w:tcPr>
          <w:p>
            <w:pPr>
              <w:spacing w:after="0"/>
              <w:rPr>
                <w:sz w:val="20"/>
                <w:szCs w:val="20"/>
                <w:color w:val="auto"/>
              </w:rPr>
            </w:pPr>
          </w:p>
        </w:tc>
        <w:tc>
          <w:tcPr>
            <w:tcW w:w="540" w:type="dxa"/>
            <w:vAlign w:val="bottom"/>
          </w:tcPr>
          <w:p>
            <w:pPr>
              <w:spacing w:after="0"/>
              <w:rPr>
                <w:sz w:val="20"/>
                <w:szCs w:val="20"/>
                <w:color w:val="auto"/>
              </w:rPr>
            </w:pPr>
          </w:p>
        </w:tc>
      </w:tr>
    </w:tbl>
    <w:p>
      <w:pPr>
        <w:spacing w:after="0" w:line="17" w:lineRule="exact"/>
        <w:rPr>
          <w:sz w:val="24"/>
          <w:szCs w:val="24"/>
          <w:color w:val="auto"/>
        </w:rPr>
      </w:pPr>
    </w:p>
    <w:p>
      <w:pPr>
        <w:ind w:firstLine="505"/>
        <w:spacing w:after="0" w:line="18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 w:lineRule="exact"/>
        <w:rPr>
          <w:sz w:val="24"/>
          <w:szCs w:val="24"/>
          <w:color w:val="auto"/>
        </w:rPr>
      </w:pPr>
    </w:p>
    <w:p>
      <w:pPr>
        <w:ind w:left="500"/>
        <w:spacing w:after="0" w:line="173" w:lineRule="exact"/>
        <w:tabs>
          <w:tab w:leader="none" w:pos="6780" w:val="left"/>
          <w:tab w:leader="none" w:pos="73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78" w:lineRule="exact"/>
        <w:rPr>
          <w:sz w:val="24"/>
          <w:szCs w:val="24"/>
          <w:color w:val="auto"/>
        </w:rPr>
      </w:pPr>
    </w:p>
    <w:p>
      <w:pPr>
        <w:ind w:firstLine="505"/>
        <w:spacing w:after="0" w:line="241" w:lineRule="auto"/>
        <w:rPr>
          <w:sz w:val="20"/>
          <w:szCs w:val="20"/>
          <w:color w:val="auto"/>
        </w:rPr>
      </w:pPr>
      <w:r>
        <w:rPr>
          <w:rFonts w:ascii="Arial" w:cs="Arial" w:eastAsia="Arial" w:hAnsi="Arial"/>
          <w:sz w:val="15"/>
          <w:szCs w:val="15"/>
          <w:color w:val="auto"/>
        </w:rPr>
        <w:t>Aggregate market value of the Common Stock, $0.50 par value, held by non-affiliates of the registrant, computed by reference to the closing price as of the close of business on June 30, 2019: $22,178,197,910.</w:t>
      </w:r>
    </w:p>
    <w:p>
      <w:pPr>
        <w:spacing w:after="0" w:line="21" w:lineRule="exact"/>
        <w:rPr>
          <w:sz w:val="24"/>
          <w:szCs w:val="24"/>
          <w:color w:val="auto"/>
        </w:rPr>
      </w:pPr>
    </w:p>
    <w:p>
      <w:pPr>
        <w:ind w:left="500"/>
        <w:spacing w:after="0"/>
        <w:rPr>
          <w:sz w:val="20"/>
          <w:szCs w:val="20"/>
          <w:color w:val="auto"/>
        </w:rPr>
      </w:pPr>
      <w:r>
        <w:rPr>
          <w:rFonts w:ascii="Arial" w:cs="Arial" w:eastAsia="Arial" w:hAnsi="Arial"/>
          <w:sz w:val="15"/>
          <w:szCs w:val="15"/>
          <w:color w:val="auto"/>
        </w:rPr>
        <w:t>Number of shares of the Common Stock, $0.50 par value, outstanding as of the close of business on January 31, 2020: 130,436,633 shares.</w:t>
      </w:r>
    </w:p>
    <w:p>
      <w:pPr>
        <w:spacing w:after="0" w:line="34" w:lineRule="exact"/>
        <w:rPr>
          <w:sz w:val="24"/>
          <w:szCs w:val="24"/>
          <w:color w:val="auto"/>
        </w:rPr>
      </w:pPr>
    </w:p>
    <w:p>
      <w:pPr>
        <w:ind w:left="44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42" w:lineRule="exact"/>
        <w:rPr>
          <w:sz w:val="24"/>
          <w:szCs w:val="24"/>
          <w:color w:val="auto"/>
        </w:rPr>
      </w:pPr>
    </w:p>
    <w:p>
      <w:pPr>
        <w:ind w:left="500"/>
        <w:spacing w:after="0"/>
        <w:rPr>
          <w:sz w:val="20"/>
          <w:szCs w:val="20"/>
          <w:color w:val="auto"/>
        </w:rPr>
      </w:pPr>
      <w:r>
        <w:rPr>
          <w:rFonts w:ascii="Arial" w:cs="Arial" w:eastAsia="Arial" w:hAnsi="Arial"/>
          <w:sz w:val="15"/>
          <w:szCs w:val="15"/>
          <w:color w:val="auto"/>
        </w:rPr>
        <w:t>(1) Portions of the Proxy Statement for the 2020 Annual Meeting of Shareholders of M&amp;T Bank Corporation in Parts II and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74295</wp:posOffset>
            </wp:positionV>
            <wp:extent cx="7250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236855</wp:posOffset>
            </wp:positionV>
            <wp:extent cx="72758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M&amp;T BANK CORPORATION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10-K for the year ended December 31,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CROSS-REFERENCE SHEET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5"/>
              </w:rPr>
              <w:t>Form 10-K</w:t>
            </w: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840" w:type="dxa"/>
            <w:vAlign w:val="bottom"/>
            <w:gridSpan w:val="2"/>
            <w:vMerge w:val="restart"/>
          </w:tcPr>
          <w:p>
            <w:pPr>
              <w:spacing w:after="0"/>
              <w:rPr>
                <w:rFonts w:ascii="Arial" w:cs="Arial" w:eastAsia="Arial" w:hAnsi="Arial"/>
                <w:sz w:val="20"/>
                <w:szCs w:val="20"/>
                <w:b w:val="1"/>
                <w:bCs w:val="1"/>
                <w:color w:val="0000EE"/>
              </w:rPr>
            </w:pPr>
            <w:hyperlink w:anchor="page4">
              <w:r>
                <w:rPr>
                  <w:rFonts w:ascii="Arial" w:cs="Arial" w:eastAsia="Arial" w:hAnsi="Arial"/>
                  <w:sz w:val="20"/>
                  <w:szCs w:val="20"/>
                  <w:b w:val="1"/>
                  <w:bCs w:val="1"/>
                  <w:color w:val="0000EE"/>
                </w:rPr>
                <w:t>PART I</w:t>
              </w:r>
            </w:hyperlink>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7"/>
        </w:trPr>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840" w:type="dxa"/>
            <w:vAlign w:val="bottom"/>
            <w:gridSpan w:val="2"/>
            <w:vMerge w:val="continue"/>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line="216" w:lineRule="exact"/>
              <w:rPr>
                <w:sz w:val="20"/>
                <w:szCs w:val="20"/>
                <w:color w:val="auto"/>
              </w:rPr>
            </w:pPr>
            <w:r>
              <w:rPr>
                <w:rFonts w:ascii="Arial" w:cs="Arial" w:eastAsia="Arial" w:hAnsi="Arial"/>
                <w:sz w:val="20"/>
                <w:szCs w:val="20"/>
                <w:color w:val="auto"/>
              </w:rPr>
              <w:t>Item 1.</w:t>
            </w:r>
          </w:p>
        </w:tc>
        <w:tc>
          <w:tcPr>
            <w:tcW w:w="720" w:type="dxa"/>
            <w:vAlign w:val="bottom"/>
            <w:tcBorders>
              <w:bottom w:val="single" w:sz="8" w:color="0000EE"/>
            </w:tcBorders>
          </w:tcPr>
          <w:p>
            <w:pPr>
              <w:spacing w:after="0" w:line="216" w:lineRule="exact"/>
              <w:rPr>
                <w:rFonts w:ascii="Arial" w:cs="Arial" w:eastAsia="Arial" w:hAnsi="Arial"/>
                <w:sz w:val="20"/>
                <w:szCs w:val="20"/>
                <w:color w:val="0000EE"/>
                <w:w w:val="86"/>
              </w:rPr>
            </w:pPr>
            <w:hyperlink w:anchor="page4">
              <w:r>
                <w:rPr>
                  <w:rFonts w:ascii="Arial" w:cs="Arial" w:eastAsia="Arial" w:hAnsi="Arial"/>
                  <w:sz w:val="20"/>
                  <w:szCs w:val="20"/>
                  <w:color w:val="0000EE"/>
                  <w:w w:val="86"/>
                </w:rPr>
                <w:t>Business</w:t>
              </w:r>
            </w:hyperlink>
          </w:p>
        </w:tc>
        <w:tc>
          <w:tcPr>
            <w:tcW w:w="3540" w:type="dxa"/>
            <w:vAlign w:val="bottom"/>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380" w:type="dxa"/>
            <w:vAlign w:val="bottom"/>
            <w:gridSpan w:val="2"/>
          </w:tcPr>
          <w:p>
            <w:pPr>
              <w:jc w:val="center"/>
              <w:ind w:left="3099"/>
              <w:spacing w:after="0" w:line="216" w:lineRule="exact"/>
              <w:rPr>
                <w:sz w:val="20"/>
                <w:szCs w:val="20"/>
                <w:color w:val="auto"/>
              </w:rPr>
            </w:pPr>
            <w:r>
              <w:rPr>
                <w:rFonts w:ascii="Arial" w:cs="Arial" w:eastAsia="Arial" w:hAnsi="Arial"/>
                <w:sz w:val="20"/>
                <w:szCs w:val="20"/>
                <w:color w:val="auto"/>
                <w:w w:val="89"/>
              </w:rPr>
              <w:t>4</w:t>
            </w:r>
          </w:p>
        </w:tc>
        <w:tc>
          <w:tcPr>
            <w:tcW w:w="0" w:type="dxa"/>
            <w:vAlign w:val="bottom"/>
          </w:tcPr>
          <w:p>
            <w:pPr>
              <w:spacing w:after="0"/>
              <w:rPr>
                <w:sz w:val="1"/>
                <w:szCs w:val="1"/>
                <w:color w:val="auto"/>
              </w:rPr>
            </w:pPr>
          </w:p>
        </w:tc>
      </w:tr>
      <w:tr>
        <w:trPr>
          <w:trHeight w:val="260"/>
        </w:trPr>
        <w:tc>
          <w:tcPr>
            <w:tcW w:w="5380" w:type="dxa"/>
            <w:vAlign w:val="bottom"/>
            <w:gridSpan w:val="3"/>
          </w:tcPr>
          <w:p>
            <w:pPr>
              <w:spacing w:after="0"/>
              <w:rPr>
                <w:sz w:val="20"/>
                <w:szCs w:val="20"/>
                <w:color w:val="auto"/>
              </w:rPr>
            </w:pPr>
            <w:r>
              <w:rPr>
                <w:rFonts w:ascii="Arial" w:cs="Arial" w:eastAsia="Arial" w:hAnsi="Arial"/>
                <w:sz w:val="20"/>
                <w:szCs w:val="20"/>
                <w:color w:val="auto"/>
              </w:rPr>
              <w:t>Statistical disclosure pursuant to Guide 3</w:t>
            </w:r>
          </w:p>
        </w:tc>
        <w:tc>
          <w:tcPr>
            <w:tcW w:w="66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1120" w:hanging="721"/>
        <w:spacing w:after="0"/>
        <w:tabs>
          <w:tab w:leader="none" w:pos="1120" w:val="left"/>
        </w:tabs>
        <w:numPr>
          <w:ilvl w:val="0"/>
          <w:numId w:val="3"/>
        </w:numPr>
        <w:rPr>
          <w:rFonts w:ascii="Arial" w:cs="Arial" w:eastAsia="Arial" w:hAnsi="Arial"/>
          <w:sz w:val="20"/>
          <w:szCs w:val="20"/>
          <w:color w:val="auto"/>
        </w:rPr>
      </w:pPr>
      <w:r>
        <w:rPr>
          <w:rFonts w:ascii="Arial" w:cs="Arial" w:eastAsia="Arial" w:hAnsi="Arial"/>
          <w:sz w:val="20"/>
          <w:szCs w:val="20"/>
          <w:color w:val="auto"/>
        </w:rPr>
        <w:t>Distribution of assets, liabilities, and shareholders’ equity; interest rates and interest differential</w:t>
      </w:r>
    </w:p>
    <w:tbl>
      <w:tblPr>
        <w:tblLayout w:type="fixed"/>
        <w:tblInd w:w="1120" w:type="dxa"/>
        <w:tblCellMar>
          <w:top w:w="0" w:type="dxa"/>
          <w:left w:w="0" w:type="dxa"/>
          <w:bottom w:w="0" w:type="dxa"/>
          <w:right w:w="0" w:type="dxa"/>
        </w:tblCellMar>
      </w:tblPr>
      <w:tr>
        <w:trPr>
          <w:trHeight w:val="225"/>
        </w:trPr>
        <w:tc>
          <w:tcPr>
            <w:tcW w:w="280" w:type="dxa"/>
            <w:vAlign w:val="bottom"/>
          </w:tcPr>
          <w:p>
            <w:pPr>
              <w:spacing w:after="0" w:line="225" w:lineRule="exact"/>
              <w:rPr>
                <w:sz w:val="20"/>
                <w:szCs w:val="20"/>
                <w:color w:val="auto"/>
              </w:rPr>
            </w:pPr>
            <w:r>
              <w:rPr>
                <w:rFonts w:ascii="Arial" w:cs="Arial" w:eastAsia="Arial" w:hAnsi="Arial"/>
                <w:sz w:val="20"/>
                <w:szCs w:val="20"/>
                <w:color w:val="auto"/>
              </w:rPr>
              <w:t>A.</w:t>
            </w:r>
          </w:p>
        </w:tc>
        <w:tc>
          <w:tcPr>
            <w:tcW w:w="7860" w:type="dxa"/>
            <w:vAlign w:val="bottom"/>
          </w:tcPr>
          <w:p>
            <w:pPr>
              <w:ind w:left="80"/>
              <w:spacing w:after="0" w:line="225" w:lineRule="exact"/>
              <w:rPr>
                <w:sz w:val="20"/>
                <w:szCs w:val="20"/>
                <w:color w:val="auto"/>
              </w:rPr>
            </w:pPr>
            <w:r>
              <w:rPr>
                <w:rFonts w:ascii="Arial" w:cs="Arial" w:eastAsia="Arial" w:hAnsi="Arial"/>
                <w:sz w:val="20"/>
                <w:szCs w:val="20"/>
                <w:color w:val="auto"/>
              </w:rPr>
              <w:t>Average balance sheets</w:t>
            </w:r>
          </w:p>
        </w:tc>
        <w:tc>
          <w:tcPr>
            <w:tcW w:w="1160" w:type="dxa"/>
            <w:vAlign w:val="bottom"/>
          </w:tcPr>
          <w:p>
            <w:pPr>
              <w:jc w:val="right"/>
              <w:spacing w:after="0" w:line="225" w:lineRule="exact"/>
              <w:rPr>
                <w:sz w:val="20"/>
                <w:szCs w:val="20"/>
                <w:color w:val="auto"/>
              </w:rPr>
            </w:pPr>
            <w:r>
              <w:rPr>
                <w:rFonts w:ascii="Arial" w:cs="Arial" w:eastAsia="Arial" w:hAnsi="Arial"/>
                <w:sz w:val="20"/>
                <w:szCs w:val="20"/>
                <w:color w:val="auto"/>
              </w:rPr>
              <w:t>56</w:t>
            </w:r>
          </w:p>
        </w:tc>
      </w:tr>
      <w:tr>
        <w:trPr>
          <w:trHeight w:val="237"/>
        </w:trPr>
        <w:tc>
          <w:tcPr>
            <w:tcW w:w="280" w:type="dxa"/>
            <w:vAlign w:val="bottom"/>
          </w:tcPr>
          <w:p>
            <w:pPr>
              <w:spacing w:after="0"/>
              <w:rPr>
                <w:sz w:val="20"/>
                <w:szCs w:val="20"/>
                <w:color w:val="auto"/>
              </w:rPr>
            </w:pPr>
            <w:r>
              <w:rPr>
                <w:rFonts w:ascii="Arial" w:cs="Arial" w:eastAsia="Arial" w:hAnsi="Arial"/>
                <w:sz w:val="20"/>
                <w:szCs w:val="20"/>
                <w:color w:val="auto"/>
              </w:rPr>
              <w:t>B.</w:t>
            </w:r>
          </w:p>
        </w:tc>
        <w:tc>
          <w:tcPr>
            <w:tcW w:w="7860" w:type="dxa"/>
            <w:vAlign w:val="bottom"/>
          </w:tcPr>
          <w:p>
            <w:pPr>
              <w:ind w:left="80"/>
              <w:spacing w:after="0"/>
              <w:rPr>
                <w:sz w:val="20"/>
                <w:szCs w:val="20"/>
                <w:color w:val="auto"/>
              </w:rPr>
            </w:pPr>
            <w:r>
              <w:rPr>
                <w:rFonts w:ascii="Arial" w:cs="Arial" w:eastAsia="Arial" w:hAnsi="Arial"/>
                <w:sz w:val="20"/>
                <w:szCs w:val="20"/>
                <w:color w:val="auto"/>
              </w:rPr>
              <w:t>Interest income/expense and resulting yield or rate on average interest-earning assets</w:t>
            </w:r>
          </w:p>
        </w:tc>
        <w:tc>
          <w:tcPr>
            <w:tcW w:w="1160" w:type="dxa"/>
            <w:vAlign w:val="bottom"/>
          </w:tcPr>
          <w:p>
            <w:pPr>
              <w:spacing w:after="0"/>
              <w:rPr>
                <w:sz w:val="20"/>
                <w:szCs w:val="20"/>
                <w:color w:val="auto"/>
              </w:rPr>
            </w:pPr>
          </w:p>
        </w:tc>
      </w:tr>
      <w:tr>
        <w:trPr>
          <w:trHeight w:val="237"/>
        </w:trPr>
        <w:tc>
          <w:tcPr>
            <w:tcW w:w="280" w:type="dxa"/>
            <w:vAlign w:val="bottom"/>
          </w:tcPr>
          <w:p>
            <w:pPr>
              <w:spacing w:after="0"/>
              <w:rPr>
                <w:sz w:val="20"/>
                <w:szCs w:val="20"/>
                <w:color w:val="auto"/>
              </w:rPr>
            </w:pPr>
          </w:p>
        </w:tc>
        <w:tc>
          <w:tcPr>
            <w:tcW w:w="7860" w:type="dxa"/>
            <w:vAlign w:val="bottom"/>
          </w:tcPr>
          <w:p>
            <w:pPr>
              <w:ind w:left="300"/>
              <w:spacing w:after="0" w:line="230" w:lineRule="exact"/>
              <w:rPr>
                <w:sz w:val="20"/>
                <w:szCs w:val="20"/>
                <w:color w:val="auto"/>
              </w:rPr>
            </w:pPr>
            <w:r>
              <w:rPr>
                <w:rFonts w:ascii="Arial" w:cs="Arial" w:eastAsia="Arial" w:hAnsi="Arial"/>
                <w:sz w:val="20"/>
                <w:szCs w:val="20"/>
                <w:color w:val="auto"/>
              </w:rPr>
              <w:t>(including non-accrual loans) and interest</w:t>
            </w:r>
            <w:r>
              <w:rPr>
                <w:rFonts w:ascii="MS PGothic" w:cs="MS PGothic" w:eastAsia="MS PGothic" w:hAnsi="MS PGothic"/>
                <w:sz w:val="20"/>
                <w:szCs w:val="20"/>
                <w:color w:val="auto"/>
              </w:rPr>
              <w:t>‑</w:t>
            </w:r>
            <w:r>
              <w:rPr>
                <w:rFonts w:ascii="Arial" w:cs="Arial" w:eastAsia="Arial" w:hAnsi="Arial"/>
                <w:sz w:val="20"/>
                <w:szCs w:val="20"/>
                <w:color w:val="auto"/>
              </w:rPr>
              <w:t>bearing liabilities</w:t>
            </w:r>
          </w:p>
        </w:tc>
        <w:tc>
          <w:tcPr>
            <w:tcW w:w="116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55"/>
        </w:trPr>
        <w:tc>
          <w:tcPr>
            <w:tcW w:w="280" w:type="dxa"/>
            <w:vAlign w:val="bottom"/>
          </w:tcPr>
          <w:p>
            <w:pPr>
              <w:spacing w:after="0"/>
              <w:rPr>
                <w:sz w:val="20"/>
                <w:szCs w:val="20"/>
                <w:color w:val="auto"/>
              </w:rPr>
            </w:pPr>
            <w:r>
              <w:rPr>
                <w:rFonts w:ascii="Arial" w:cs="Arial" w:eastAsia="Arial" w:hAnsi="Arial"/>
                <w:sz w:val="20"/>
                <w:szCs w:val="20"/>
                <w:color w:val="auto"/>
              </w:rPr>
              <w:t>C.</w:t>
            </w:r>
          </w:p>
        </w:tc>
        <w:tc>
          <w:tcPr>
            <w:tcW w:w="7860" w:type="dxa"/>
            <w:vAlign w:val="bottom"/>
          </w:tcPr>
          <w:p>
            <w:pPr>
              <w:ind w:left="80"/>
              <w:spacing w:after="0"/>
              <w:rPr>
                <w:sz w:val="20"/>
                <w:szCs w:val="20"/>
                <w:color w:val="auto"/>
              </w:rPr>
            </w:pPr>
            <w:r>
              <w:rPr>
                <w:rFonts w:ascii="Arial" w:cs="Arial" w:eastAsia="Arial" w:hAnsi="Arial"/>
                <w:sz w:val="20"/>
                <w:szCs w:val="20"/>
                <w:color w:val="auto"/>
              </w:rPr>
              <w:t>Rate/volume variances</w:t>
            </w:r>
          </w:p>
        </w:tc>
        <w:tc>
          <w:tcPr>
            <w:tcW w:w="1160" w:type="dxa"/>
            <w:vAlign w:val="bottom"/>
          </w:tcPr>
          <w:p>
            <w:pPr>
              <w:jc w:val="right"/>
              <w:spacing w:after="0"/>
              <w:rPr>
                <w:sz w:val="20"/>
                <w:szCs w:val="20"/>
                <w:color w:val="auto"/>
              </w:rPr>
            </w:pPr>
            <w:r>
              <w:rPr>
                <w:rFonts w:ascii="Arial" w:cs="Arial" w:eastAsia="Arial" w:hAnsi="Arial"/>
                <w:sz w:val="20"/>
                <w:szCs w:val="20"/>
                <w:color w:val="auto"/>
              </w:rPr>
              <w:t>25</w:t>
            </w:r>
          </w:p>
        </w:tc>
      </w:tr>
    </w:tbl>
    <w:p>
      <w:pPr>
        <w:ind w:left="1120" w:hanging="721"/>
        <w:spacing w:after="0"/>
        <w:tabs>
          <w:tab w:leader="none" w:pos="112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Investment portfolio</w:t>
      </w:r>
    </w:p>
    <w:tbl>
      <w:tblPr>
        <w:tblLayout w:type="fixed"/>
        <w:tblInd w:w="1120" w:type="dxa"/>
        <w:tblCellMar>
          <w:top w:w="0" w:type="dxa"/>
          <w:left w:w="0" w:type="dxa"/>
          <w:bottom w:w="0" w:type="dxa"/>
          <w:right w:w="0" w:type="dxa"/>
        </w:tblCellMar>
      </w:tblPr>
      <w:tr>
        <w:trPr>
          <w:trHeight w:val="225"/>
        </w:trPr>
        <w:tc>
          <w:tcPr>
            <w:tcW w:w="320" w:type="dxa"/>
            <w:vAlign w:val="bottom"/>
          </w:tcPr>
          <w:p>
            <w:pPr>
              <w:spacing w:after="0" w:line="225" w:lineRule="exact"/>
              <w:rPr>
                <w:sz w:val="20"/>
                <w:szCs w:val="20"/>
                <w:color w:val="auto"/>
              </w:rPr>
            </w:pPr>
            <w:r>
              <w:rPr>
                <w:rFonts w:ascii="Arial" w:cs="Arial" w:eastAsia="Arial" w:hAnsi="Arial"/>
                <w:sz w:val="20"/>
                <w:szCs w:val="20"/>
                <w:color w:val="auto"/>
              </w:rPr>
              <w:t>A.</w:t>
            </w:r>
          </w:p>
        </w:tc>
        <w:tc>
          <w:tcPr>
            <w:tcW w:w="7720" w:type="dxa"/>
            <w:vAlign w:val="bottom"/>
          </w:tcPr>
          <w:p>
            <w:pPr>
              <w:ind w:left="120"/>
              <w:spacing w:after="0" w:line="225" w:lineRule="exact"/>
              <w:rPr>
                <w:sz w:val="20"/>
                <w:szCs w:val="20"/>
                <w:color w:val="auto"/>
              </w:rPr>
            </w:pPr>
            <w:r>
              <w:rPr>
                <w:rFonts w:ascii="Arial" w:cs="Arial" w:eastAsia="Arial" w:hAnsi="Arial"/>
                <w:sz w:val="20"/>
                <w:szCs w:val="20"/>
                <w:color w:val="auto"/>
              </w:rPr>
              <w:t>Year-end balances</w:t>
            </w:r>
          </w:p>
        </w:tc>
        <w:tc>
          <w:tcPr>
            <w:tcW w:w="1620" w:type="dxa"/>
            <w:vAlign w:val="bottom"/>
          </w:tcPr>
          <w:p>
            <w:pPr>
              <w:jc w:val="right"/>
              <w:spacing w:after="0" w:line="225" w:lineRule="exact"/>
              <w:rPr>
                <w:sz w:val="20"/>
                <w:szCs w:val="20"/>
                <w:color w:val="auto"/>
              </w:rPr>
            </w:pPr>
            <w:r>
              <w:rPr>
                <w:rFonts w:ascii="Arial" w:cs="Arial" w:eastAsia="Arial" w:hAnsi="Arial"/>
                <w:sz w:val="20"/>
                <w:szCs w:val="20"/>
                <w:color w:val="auto"/>
              </w:rPr>
              <w:t>23,124-125</w:t>
            </w:r>
          </w:p>
        </w:tc>
      </w:tr>
      <w:tr>
        <w:trPr>
          <w:trHeight w:val="237"/>
        </w:trPr>
        <w:tc>
          <w:tcPr>
            <w:tcW w:w="320" w:type="dxa"/>
            <w:vAlign w:val="bottom"/>
          </w:tcPr>
          <w:p>
            <w:pPr>
              <w:spacing w:after="0"/>
              <w:rPr>
                <w:sz w:val="20"/>
                <w:szCs w:val="20"/>
                <w:color w:val="auto"/>
              </w:rPr>
            </w:pPr>
            <w:r>
              <w:rPr>
                <w:rFonts w:ascii="Arial" w:cs="Arial" w:eastAsia="Arial" w:hAnsi="Arial"/>
                <w:sz w:val="20"/>
                <w:szCs w:val="20"/>
                <w:color w:val="auto"/>
              </w:rPr>
              <w:t>B.</w:t>
            </w:r>
          </w:p>
        </w:tc>
        <w:tc>
          <w:tcPr>
            <w:tcW w:w="7720" w:type="dxa"/>
            <w:vAlign w:val="bottom"/>
          </w:tcPr>
          <w:p>
            <w:pPr>
              <w:ind w:left="120"/>
              <w:spacing w:after="0"/>
              <w:rPr>
                <w:sz w:val="20"/>
                <w:szCs w:val="20"/>
                <w:color w:val="auto"/>
              </w:rPr>
            </w:pPr>
            <w:r>
              <w:rPr>
                <w:rFonts w:ascii="Arial" w:cs="Arial" w:eastAsia="Arial" w:hAnsi="Arial"/>
                <w:sz w:val="20"/>
                <w:szCs w:val="20"/>
                <w:color w:val="auto"/>
              </w:rPr>
              <w:t>Maturity schedule and weighted average yield</w:t>
            </w:r>
          </w:p>
        </w:tc>
        <w:tc>
          <w:tcPr>
            <w:tcW w:w="1620" w:type="dxa"/>
            <w:vAlign w:val="bottom"/>
          </w:tcPr>
          <w:p>
            <w:pPr>
              <w:jc w:val="right"/>
              <w:ind w:right="259"/>
              <w:spacing w:after="0"/>
              <w:rPr>
                <w:sz w:val="20"/>
                <w:szCs w:val="20"/>
                <w:color w:val="auto"/>
              </w:rPr>
            </w:pPr>
            <w:r>
              <w:rPr>
                <w:rFonts w:ascii="Arial" w:cs="Arial" w:eastAsia="Arial" w:hAnsi="Arial"/>
                <w:sz w:val="20"/>
                <w:szCs w:val="20"/>
                <w:color w:val="auto"/>
              </w:rPr>
              <w:t>91</w:t>
            </w:r>
          </w:p>
        </w:tc>
      </w:tr>
      <w:tr>
        <w:trPr>
          <w:trHeight w:val="255"/>
        </w:trPr>
        <w:tc>
          <w:tcPr>
            <w:tcW w:w="320" w:type="dxa"/>
            <w:vAlign w:val="bottom"/>
          </w:tcPr>
          <w:p>
            <w:pPr>
              <w:spacing w:after="0"/>
              <w:rPr>
                <w:sz w:val="20"/>
                <w:szCs w:val="20"/>
                <w:color w:val="auto"/>
              </w:rPr>
            </w:pPr>
            <w:r>
              <w:rPr>
                <w:rFonts w:ascii="Arial" w:cs="Arial" w:eastAsia="Arial" w:hAnsi="Arial"/>
                <w:sz w:val="20"/>
                <w:szCs w:val="20"/>
                <w:color w:val="auto"/>
              </w:rPr>
              <w:t>C.</w:t>
            </w:r>
          </w:p>
        </w:tc>
        <w:tc>
          <w:tcPr>
            <w:tcW w:w="7720" w:type="dxa"/>
            <w:vAlign w:val="bottom"/>
          </w:tcPr>
          <w:p>
            <w:pPr>
              <w:ind w:left="120"/>
              <w:spacing w:after="0"/>
              <w:rPr>
                <w:sz w:val="20"/>
                <w:szCs w:val="20"/>
                <w:color w:val="auto"/>
              </w:rPr>
            </w:pPr>
            <w:r>
              <w:rPr>
                <w:rFonts w:ascii="Arial" w:cs="Arial" w:eastAsia="Arial" w:hAnsi="Arial"/>
                <w:sz w:val="20"/>
                <w:szCs w:val="20"/>
                <w:color w:val="auto"/>
              </w:rPr>
              <w:t>Aggregate carrying value of securities that exceed ten percent of shareholders’ equity</w:t>
            </w:r>
          </w:p>
        </w:tc>
        <w:tc>
          <w:tcPr>
            <w:tcW w:w="1620" w:type="dxa"/>
            <w:vAlign w:val="bottom"/>
          </w:tcPr>
          <w:p>
            <w:pPr>
              <w:jc w:val="right"/>
              <w:ind w:right="199"/>
              <w:spacing w:after="0"/>
              <w:rPr>
                <w:sz w:val="20"/>
                <w:szCs w:val="20"/>
                <w:color w:val="auto"/>
              </w:rPr>
            </w:pPr>
            <w:r>
              <w:rPr>
                <w:rFonts w:ascii="Arial" w:cs="Arial" w:eastAsia="Arial" w:hAnsi="Arial"/>
                <w:sz w:val="20"/>
                <w:szCs w:val="20"/>
                <w:color w:val="auto"/>
              </w:rPr>
              <w:t>125</w:t>
            </w:r>
          </w:p>
        </w:tc>
      </w:tr>
    </w:tbl>
    <w:p>
      <w:pPr>
        <w:ind w:left="1120" w:hanging="721"/>
        <w:spacing w:after="0"/>
        <w:tabs>
          <w:tab w:leader="none" w:pos="1120" w:val="left"/>
        </w:tabs>
        <w:numPr>
          <w:ilvl w:val="0"/>
          <w:numId w:val="5"/>
        </w:numPr>
        <w:rPr>
          <w:rFonts w:ascii="Arial" w:cs="Arial" w:eastAsia="Arial" w:hAnsi="Arial"/>
          <w:sz w:val="20"/>
          <w:szCs w:val="20"/>
          <w:color w:val="auto"/>
        </w:rPr>
      </w:pPr>
      <w:r>
        <w:rPr>
          <w:rFonts w:ascii="Arial" w:cs="Arial" w:eastAsia="Arial" w:hAnsi="Arial"/>
          <w:sz w:val="20"/>
          <w:szCs w:val="20"/>
          <w:color w:val="auto"/>
        </w:rPr>
        <w:t>Loan portfolio</w:t>
      </w:r>
    </w:p>
    <w:tbl>
      <w:tblPr>
        <w:tblLayout w:type="fixed"/>
        <w:tblInd w:w="400" w:type="dxa"/>
        <w:tblCellMar>
          <w:top w:w="0" w:type="dxa"/>
          <w:left w:w="0" w:type="dxa"/>
          <w:bottom w:w="0" w:type="dxa"/>
          <w:right w:w="0" w:type="dxa"/>
        </w:tblCellMar>
      </w:tblPr>
      <w:tr>
        <w:trPr>
          <w:trHeight w:val="225"/>
        </w:trPr>
        <w:tc>
          <w:tcPr>
            <w:tcW w:w="480" w:type="dxa"/>
            <w:vAlign w:val="bottom"/>
          </w:tcPr>
          <w:p>
            <w:pPr>
              <w:spacing w:after="0"/>
              <w:rPr>
                <w:sz w:val="19"/>
                <w:szCs w:val="19"/>
                <w:color w:val="auto"/>
              </w:rPr>
            </w:pPr>
          </w:p>
        </w:tc>
        <w:tc>
          <w:tcPr>
            <w:tcW w:w="560" w:type="dxa"/>
            <w:vAlign w:val="bottom"/>
          </w:tcPr>
          <w:p>
            <w:pPr>
              <w:ind w:left="240"/>
              <w:spacing w:after="0" w:line="225" w:lineRule="exact"/>
              <w:rPr>
                <w:sz w:val="20"/>
                <w:szCs w:val="20"/>
                <w:color w:val="auto"/>
              </w:rPr>
            </w:pPr>
            <w:r>
              <w:rPr>
                <w:rFonts w:ascii="Arial" w:cs="Arial" w:eastAsia="Arial" w:hAnsi="Arial"/>
                <w:sz w:val="20"/>
                <w:szCs w:val="20"/>
                <w:color w:val="auto"/>
              </w:rPr>
              <w:t>A.</w:t>
            </w:r>
          </w:p>
        </w:tc>
        <w:tc>
          <w:tcPr>
            <w:tcW w:w="7780" w:type="dxa"/>
            <w:vAlign w:val="bottom"/>
          </w:tcPr>
          <w:p>
            <w:pPr>
              <w:ind w:left="120"/>
              <w:spacing w:after="0" w:line="225" w:lineRule="exact"/>
              <w:rPr>
                <w:sz w:val="20"/>
                <w:szCs w:val="20"/>
                <w:color w:val="auto"/>
              </w:rPr>
            </w:pPr>
            <w:r>
              <w:rPr>
                <w:rFonts w:ascii="Arial" w:cs="Arial" w:eastAsia="Arial" w:hAnsi="Arial"/>
                <w:sz w:val="20"/>
                <w:szCs w:val="20"/>
                <w:color w:val="auto"/>
              </w:rPr>
              <w:t>Year-end balances</w:t>
            </w:r>
          </w:p>
        </w:tc>
        <w:tc>
          <w:tcPr>
            <w:tcW w:w="1880" w:type="dxa"/>
            <w:vAlign w:val="bottom"/>
          </w:tcPr>
          <w:p>
            <w:pPr>
              <w:jc w:val="center"/>
              <w:ind w:left="219"/>
              <w:spacing w:after="0" w:line="225" w:lineRule="exact"/>
              <w:rPr>
                <w:sz w:val="20"/>
                <w:szCs w:val="20"/>
                <w:color w:val="auto"/>
              </w:rPr>
            </w:pPr>
            <w:r>
              <w:rPr>
                <w:rFonts w:ascii="Arial" w:cs="Arial" w:eastAsia="Arial" w:hAnsi="Arial"/>
                <w:sz w:val="20"/>
                <w:szCs w:val="20"/>
                <w:color w:val="auto"/>
                <w:w w:val="91"/>
              </w:rPr>
              <w:t>23,128</w:t>
            </w:r>
          </w:p>
        </w:tc>
      </w:tr>
      <w:tr>
        <w:trPr>
          <w:trHeight w:val="237"/>
        </w:trPr>
        <w:tc>
          <w:tcPr>
            <w:tcW w:w="480" w:type="dxa"/>
            <w:vAlign w:val="bottom"/>
          </w:tcPr>
          <w:p>
            <w:pPr>
              <w:spacing w:after="0"/>
              <w:rPr>
                <w:sz w:val="20"/>
                <w:szCs w:val="20"/>
                <w:color w:val="auto"/>
              </w:rPr>
            </w:pPr>
          </w:p>
        </w:tc>
        <w:tc>
          <w:tcPr>
            <w:tcW w:w="560" w:type="dxa"/>
            <w:vAlign w:val="bottom"/>
          </w:tcPr>
          <w:p>
            <w:pPr>
              <w:ind w:left="240"/>
              <w:spacing w:after="0"/>
              <w:rPr>
                <w:sz w:val="20"/>
                <w:szCs w:val="20"/>
                <w:color w:val="auto"/>
              </w:rPr>
            </w:pPr>
            <w:r>
              <w:rPr>
                <w:rFonts w:ascii="Arial" w:cs="Arial" w:eastAsia="Arial" w:hAnsi="Arial"/>
                <w:sz w:val="20"/>
                <w:szCs w:val="20"/>
                <w:color w:val="auto"/>
              </w:rPr>
              <w:t>B.</w:t>
            </w:r>
          </w:p>
        </w:tc>
        <w:tc>
          <w:tcPr>
            <w:tcW w:w="7780" w:type="dxa"/>
            <w:vAlign w:val="bottom"/>
          </w:tcPr>
          <w:p>
            <w:pPr>
              <w:ind w:left="120"/>
              <w:spacing w:after="0"/>
              <w:rPr>
                <w:sz w:val="20"/>
                <w:szCs w:val="20"/>
                <w:color w:val="auto"/>
              </w:rPr>
            </w:pPr>
            <w:r>
              <w:rPr>
                <w:rFonts w:ascii="Arial" w:cs="Arial" w:eastAsia="Arial" w:hAnsi="Arial"/>
                <w:sz w:val="20"/>
                <w:szCs w:val="20"/>
                <w:color w:val="auto"/>
              </w:rPr>
              <w:t>Maturities and sensitivities to changes in interest rates</w:t>
            </w:r>
          </w:p>
        </w:tc>
        <w:tc>
          <w:tcPr>
            <w:tcW w:w="1880" w:type="dxa"/>
            <w:vAlign w:val="bottom"/>
          </w:tcPr>
          <w:p>
            <w:pPr>
              <w:jc w:val="center"/>
              <w:ind w:left="219"/>
              <w:spacing w:after="0"/>
              <w:rPr>
                <w:sz w:val="20"/>
                <w:szCs w:val="20"/>
                <w:color w:val="auto"/>
              </w:rPr>
            </w:pPr>
            <w:r>
              <w:rPr>
                <w:rFonts w:ascii="Arial" w:cs="Arial" w:eastAsia="Arial" w:hAnsi="Arial"/>
                <w:sz w:val="20"/>
                <w:szCs w:val="20"/>
                <w:color w:val="auto"/>
                <w:w w:val="89"/>
              </w:rPr>
              <w:t>89</w:t>
            </w:r>
          </w:p>
        </w:tc>
      </w:tr>
      <w:tr>
        <w:trPr>
          <w:trHeight w:val="237"/>
        </w:trPr>
        <w:tc>
          <w:tcPr>
            <w:tcW w:w="480" w:type="dxa"/>
            <w:vAlign w:val="bottom"/>
          </w:tcPr>
          <w:p>
            <w:pPr>
              <w:spacing w:after="0"/>
              <w:rPr>
                <w:sz w:val="20"/>
                <w:szCs w:val="20"/>
                <w:color w:val="auto"/>
              </w:rPr>
            </w:pPr>
          </w:p>
        </w:tc>
        <w:tc>
          <w:tcPr>
            <w:tcW w:w="560" w:type="dxa"/>
            <w:vAlign w:val="bottom"/>
          </w:tcPr>
          <w:p>
            <w:pPr>
              <w:ind w:left="240"/>
              <w:spacing w:after="0"/>
              <w:rPr>
                <w:sz w:val="20"/>
                <w:szCs w:val="20"/>
                <w:color w:val="auto"/>
              </w:rPr>
            </w:pPr>
            <w:r>
              <w:rPr>
                <w:rFonts w:ascii="Arial" w:cs="Arial" w:eastAsia="Arial" w:hAnsi="Arial"/>
                <w:sz w:val="20"/>
                <w:szCs w:val="20"/>
                <w:color w:val="auto"/>
              </w:rPr>
              <w:t>C.</w:t>
            </w:r>
          </w:p>
        </w:tc>
        <w:tc>
          <w:tcPr>
            <w:tcW w:w="7780" w:type="dxa"/>
            <w:vAlign w:val="bottom"/>
          </w:tcPr>
          <w:p>
            <w:pPr>
              <w:ind w:left="120"/>
              <w:spacing w:after="0"/>
              <w:rPr>
                <w:sz w:val="20"/>
                <w:szCs w:val="20"/>
                <w:color w:val="auto"/>
              </w:rPr>
            </w:pPr>
            <w:r>
              <w:rPr>
                <w:rFonts w:ascii="Arial" w:cs="Arial" w:eastAsia="Arial" w:hAnsi="Arial"/>
                <w:sz w:val="20"/>
                <w:szCs w:val="20"/>
                <w:color w:val="auto"/>
              </w:rPr>
              <w:t>Risk elements</w:t>
            </w:r>
          </w:p>
        </w:tc>
        <w:tc>
          <w:tcPr>
            <w:tcW w:w="1880" w:type="dxa"/>
            <w:vAlign w:val="bottom"/>
          </w:tcPr>
          <w:p>
            <w:pPr>
              <w:spacing w:after="0"/>
              <w:rPr>
                <w:sz w:val="20"/>
                <w:szCs w:val="20"/>
                <w:color w:val="auto"/>
              </w:rPr>
            </w:pPr>
          </w:p>
        </w:tc>
      </w:tr>
      <w:tr>
        <w:trPr>
          <w:trHeight w:val="237"/>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80" w:type="dxa"/>
            <w:vAlign w:val="bottom"/>
          </w:tcPr>
          <w:p>
            <w:pPr>
              <w:ind w:left="120"/>
              <w:spacing w:after="0"/>
              <w:rPr>
                <w:sz w:val="20"/>
                <w:szCs w:val="20"/>
                <w:color w:val="auto"/>
              </w:rPr>
            </w:pPr>
            <w:r>
              <w:rPr>
                <w:rFonts w:ascii="Arial" w:cs="Arial" w:eastAsia="Arial" w:hAnsi="Arial"/>
                <w:sz w:val="20"/>
                <w:szCs w:val="20"/>
                <w:color w:val="auto"/>
              </w:rPr>
              <w:t>Nonaccrual, past due and renegotiated loans</w:t>
            </w:r>
          </w:p>
        </w:tc>
        <w:tc>
          <w:tcPr>
            <w:tcW w:w="1880" w:type="dxa"/>
            <w:vAlign w:val="bottom"/>
          </w:tcPr>
          <w:p>
            <w:pPr>
              <w:jc w:val="center"/>
              <w:ind w:left="219"/>
              <w:spacing w:after="0"/>
              <w:rPr>
                <w:sz w:val="20"/>
                <w:szCs w:val="20"/>
                <w:color w:val="auto"/>
              </w:rPr>
            </w:pPr>
            <w:r>
              <w:rPr>
                <w:rFonts w:ascii="Arial" w:cs="Arial" w:eastAsia="Arial" w:hAnsi="Arial"/>
                <w:sz w:val="20"/>
                <w:szCs w:val="20"/>
                <w:color w:val="auto"/>
                <w:w w:val="90"/>
              </w:rPr>
              <w:t>72,129-132</w:t>
            </w:r>
          </w:p>
        </w:tc>
      </w:tr>
      <w:tr>
        <w:trPr>
          <w:trHeight w:val="237"/>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80" w:type="dxa"/>
            <w:vAlign w:val="bottom"/>
          </w:tcPr>
          <w:p>
            <w:pPr>
              <w:ind w:left="120"/>
              <w:spacing w:after="0"/>
              <w:rPr>
                <w:sz w:val="20"/>
                <w:szCs w:val="20"/>
                <w:color w:val="auto"/>
              </w:rPr>
            </w:pPr>
            <w:r>
              <w:rPr>
                <w:rFonts w:ascii="Arial" w:cs="Arial" w:eastAsia="Arial" w:hAnsi="Arial"/>
                <w:sz w:val="20"/>
                <w:szCs w:val="20"/>
                <w:color w:val="auto"/>
              </w:rPr>
              <w:t>Actual and pro forma interest on certain loans</w:t>
            </w:r>
          </w:p>
        </w:tc>
        <w:tc>
          <w:tcPr>
            <w:tcW w:w="1880" w:type="dxa"/>
            <w:vAlign w:val="bottom"/>
          </w:tcPr>
          <w:p>
            <w:pPr>
              <w:jc w:val="center"/>
              <w:ind w:left="239"/>
              <w:spacing w:after="0"/>
              <w:rPr>
                <w:sz w:val="20"/>
                <w:szCs w:val="20"/>
                <w:color w:val="auto"/>
              </w:rPr>
            </w:pPr>
            <w:r>
              <w:rPr>
                <w:rFonts w:ascii="Arial" w:cs="Arial" w:eastAsia="Arial" w:hAnsi="Arial"/>
                <w:sz w:val="20"/>
                <w:szCs w:val="20"/>
                <w:color w:val="auto"/>
                <w:w w:val="91"/>
              </w:rPr>
              <w:t>130,136</w:t>
            </w:r>
          </w:p>
        </w:tc>
      </w:tr>
      <w:tr>
        <w:trPr>
          <w:trHeight w:val="237"/>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80" w:type="dxa"/>
            <w:vAlign w:val="bottom"/>
          </w:tcPr>
          <w:p>
            <w:pPr>
              <w:ind w:left="120"/>
              <w:spacing w:after="0"/>
              <w:rPr>
                <w:sz w:val="20"/>
                <w:szCs w:val="20"/>
                <w:color w:val="auto"/>
              </w:rPr>
            </w:pPr>
            <w:r>
              <w:rPr>
                <w:rFonts w:ascii="Arial" w:cs="Arial" w:eastAsia="Arial" w:hAnsi="Arial"/>
                <w:sz w:val="20"/>
                <w:szCs w:val="20"/>
                <w:color w:val="auto"/>
              </w:rPr>
              <w:t>Nonaccrual policy</w:t>
            </w:r>
          </w:p>
        </w:tc>
        <w:tc>
          <w:tcPr>
            <w:tcW w:w="1880" w:type="dxa"/>
            <w:vAlign w:val="bottom"/>
          </w:tcPr>
          <w:p>
            <w:pPr>
              <w:jc w:val="center"/>
              <w:ind w:left="239"/>
              <w:spacing w:after="0"/>
              <w:rPr>
                <w:sz w:val="20"/>
                <w:szCs w:val="20"/>
                <w:color w:val="auto"/>
              </w:rPr>
            </w:pPr>
            <w:r>
              <w:rPr>
                <w:rFonts w:ascii="Arial" w:cs="Arial" w:eastAsia="Arial" w:hAnsi="Arial"/>
                <w:sz w:val="20"/>
                <w:szCs w:val="20"/>
                <w:color w:val="auto"/>
                <w:w w:val="89"/>
              </w:rPr>
              <w:t>119-120</w:t>
            </w:r>
          </w:p>
        </w:tc>
      </w:tr>
      <w:tr>
        <w:trPr>
          <w:trHeight w:val="237"/>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80" w:type="dxa"/>
            <w:vAlign w:val="bottom"/>
          </w:tcPr>
          <w:p>
            <w:pPr>
              <w:ind w:left="120"/>
              <w:spacing w:after="0"/>
              <w:rPr>
                <w:sz w:val="20"/>
                <w:szCs w:val="20"/>
                <w:color w:val="auto"/>
              </w:rPr>
            </w:pPr>
            <w:r>
              <w:rPr>
                <w:rFonts w:ascii="Arial" w:cs="Arial" w:eastAsia="Arial" w:hAnsi="Arial"/>
                <w:sz w:val="20"/>
                <w:szCs w:val="20"/>
                <w:color w:val="auto"/>
              </w:rPr>
              <w:t>Loan concentrations</w:t>
            </w:r>
          </w:p>
        </w:tc>
        <w:tc>
          <w:tcPr>
            <w:tcW w:w="1880" w:type="dxa"/>
            <w:vAlign w:val="bottom"/>
          </w:tcPr>
          <w:p>
            <w:pPr>
              <w:jc w:val="center"/>
              <w:ind w:left="219"/>
              <w:spacing w:after="0"/>
              <w:rPr>
                <w:sz w:val="20"/>
                <w:szCs w:val="20"/>
                <w:color w:val="auto"/>
              </w:rPr>
            </w:pPr>
            <w:r>
              <w:rPr>
                <w:rFonts w:ascii="Arial" w:cs="Arial" w:eastAsia="Arial" w:hAnsi="Arial"/>
                <w:sz w:val="20"/>
                <w:szCs w:val="20"/>
                <w:color w:val="auto"/>
                <w:w w:val="89"/>
              </w:rPr>
              <w:t>81</w:t>
            </w:r>
          </w:p>
        </w:tc>
      </w:tr>
      <w:tr>
        <w:trPr>
          <w:trHeight w:val="237"/>
        </w:trPr>
        <w:tc>
          <w:tcPr>
            <w:tcW w:w="480" w:type="dxa"/>
            <w:vAlign w:val="bottom"/>
          </w:tcPr>
          <w:p>
            <w:pPr>
              <w:spacing w:after="0"/>
              <w:rPr>
                <w:sz w:val="20"/>
                <w:szCs w:val="20"/>
                <w:color w:val="auto"/>
              </w:rPr>
            </w:pPr>
            <w:r>
              <w:rPr>
                <w:rFonts w:ascii="Arial" w:cs="Arial" w:eastAsia="Arial" w:hAnsi="Arial"/>
                <w:sz w:val="20"/>
                <w:szCs w:val="20"/>
                <w:color w:val="auto"/>
              </w:rPr>
              <w:t>IV.</w:t>
            </w:r>
          </w:p>
        </w:tc>
        <w:tc>
          <w:tcPr>
            <w:tcW w:w="8340" w:type="dxa"/>
            <w:vAlign w:val="bottom"/>
            <w:gridSpan w:val="2"/>
          </w:tcPr>
          <w:p>
            <w:pPr>
              <w:ind w:left="240"/>
              <w:spacing w:after="0"/>
              <w:rPr>
                <w:sz w:val="20"/>
                <w:szCs w:val="20"/>
                <w:color w:val="auto"/>
              </w:rPr>
            </w:pPr>
            <w:r>
              <w:rPr>
                <w:rFonts w:ascii="Arial" w:cs="Arial" w:eastAsia="Arial" w:hAnsi="Arial"/>
                <w:sz w:val="20"/>
                <w:szCs w:val="20"/>
                <w:color w:val="auto"/>
              </w:rPr>
              <w:t>Summary of loan loss experience</w:t>
            </w:r>
          </w:p>
        </w:tc>
        <w:tc>
          <w:tcPr>
            <w:tcW w:w="1880" w:type="dxa"/>
            <w:vAlign w:val="bottom"/>
          </w:tcPr>
          <w:p>
            <w:pPr>
              <w:spacing w:after="0"/>
              <w:rPr>
                <w:sz w:val="20"/>
                <w:szCs w:val="20"/>
                <w:color w:val="auto"/>
              </w:rPr>
            </w:pPr>
          </w:p>
        </w:tc>
      </w:tr>
      <w:tr>
        <w:trPr>
          <w:trHeight w:val="237"/>
        </w:trPr>
        <w:tc>
          <w:tcPr>
            <w:tcW w:w="480" w:type="dxa"/>
            <w:vAlign w:val="bottom"/>
          </w:tcPr>
          <w:p>
            <w:pPr>
              <w:spacing w:after="0"/>
              <w:rPr>
                <w:sz w:val="20"/>
                <w:szCs w:val="20"/>
                <w:color w:val="auto"/>
              </w:rPr>
            </w:pPr>
          </w:p>
        </w:tc>
        <w:tc>
          <w:tcPr>
            <w:tcW w:w="8340" w:type="dxa"/>
            <w:vAlign w:val="bottom"/>
            <w:gridSpan w:val="2"/>
          </w:tcPr>
          <w:p>
            <w:pPr>
              <w:ind w:left="240"/>
              <w:spacing w:after="0"/>
              <w:rPr>
                <w:sz w:val="20"/>
                <w:szCs w:val="20"/>
                <w:color w:val="auto"/>
              </w:rPr>
            </w:pPr>
            <w:r>
              <w:rPr>
                <w:rFonts w:ascii="Arial" w:cs="Arial" w:eastAsia="Arial" w:hAnsi="Arial"/>
                <w:sz w:val="20"/>
                <w:szCs w:val="20"/>
                <w:color w:val="auto"/>
              </w:rPr>
              <w:t>A.  Analysis of the allowance for loan losses</w:t>
            </w:r>
          </w:p>
        </w:tc>
        <w:tc>
          <w:tcPr>
            <w:tcW w:w="1880" w:type="dxa"/>
            <w:vAlign w:val="bottom"/>
          </w:tcPr>
          <w:p>
            <w:pPr>
              <w:jc w:val="center"/>
              <w:ind w:left="219"/>
              <w:spacing w:after="0"/>
              <w:rPr>
                <w:sz w:val="20"/>
                <w:szCs w:val="20"/>
                <w:color w:val="auto"/>
              </w:rPr>
            </w:pPr>
            <w:r>
              <w:rPr>
                <w:rFonts w:ascii="Arial" w:cs="Arial" w:eastAsia="Arial" w:hAnsi="Arial"/>
                <w:sz w:val="20"/>
                <w:szCs w:val="20"/>
                <w:color w:val="auto"/>
                <w:w w:val="90"/>
              </w:rPr>
              <w:t>69,134-138</w:t>
            </w:r>
          </w:p>
        </w:tc>
      </w:tr>
      <w:tr>
        <w:trPr>
          <w:trHeight w:val="237"/>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80" w:type="dxa"/>
            <w:vAlign w:val="bottom"/>
          </w:tcPr>
          <w:p>
            <w:pPr>
              <w:ind w:left="100"/>
              <w:spacing w:after="0"/>
              <w:rPr>
                <w:sz w:val="20"/>
                <w:szCs w:val="20"/>
                <w:color w:val="auto"/>
              </w:rPr>
            </w:pPr>
            <w:r>
              <w:rPr>
                <w:rFonts w:ascii="Arial" w:cs="Arial" w:eastAsia="Arial" w:hAnsi="Arial"/>
                <w:sz w:val="20"/>
                <w:szCs w:val="20"/>
                <w:color w:val="auto"/>
                <w:w w:val="94"/>
              </w:rPr>
              <w:t>Factors influencing management’s judgment concerning the adequacy of the allowance and</w:t>
            </w:r>
          </w:p>
        </w:tc>
        <w:tc>
          <w:tcPr>
            <w:tcW w:w="1880" w:type="dxa"/>
            <w:vAlign w:val="bottom"/>
          </w:tcPr>
          <w:p>
            <w:pPr>
              <w:spacing w:after="0"/>
              <w:rPr>
                <w:sz w:val="20"/>
                <w:szCs w:val="20"/>
                <w:color w:val="auto"/>
              </w:rPr>
            </w:pPr>
          </w:p>
        </w:tc>
      </w:tr>
      <w:tr>
        <w:trPr>
          <w:trHeight w:val="237"/>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80" w:type="dxa"/>
            <w:vAlign w:val="bottom"/>
          </w:tcPr>
          <w:p>
            <w:pPr>
              <w:ind w:left="320"/>
              <w:spacing w:after="0"/>
              <w:rPr>
                <w:sz w:val="20"/>
                <w:szCs w:val="20"/>
                <w:color w:val="auto"/>
              </w:rPr>
            </w:pPr>
            <w:r>
              <w:rPr>
                <w:rFonts w:ascii="Arial" w:cs="Arial" w:eastAsia="Arial" w:hAnsi="Arial"/>
                <w:sz w:val="20"/>
                <w:szCs w:val="20"/>
                <w:color w:val="auto"/>
              </w:rPr>
              <w:t>provision</w:t>
            </w:r>
          </w:p>
        </w:tc>
        <w:tc>
          <w:tcPr>
            <w:tcW w:w="1880" w:type="dxa"/>
            <w:vAlign w:val="bottom"/>
          </w:tcPr>
          <w:p>
            <w:pPr>
              <w:jc w:val="center"/>
              <w:ind w:left="239"/>
              <w:spacing w:after="0"/>
              <w:rPr>
                <w:sz w:val="20"/>
                <w:szCs w:val="20"/>
                <w:color w:val="auto"/>
              </w:rPr>
            </w:pPr>
            <w:r>
              <w:rPr>
                <w:rFonts w:ascii="Arial" w:cs="Arial" w:eastAsia="Arial" w:hAnsi="Arial"/>
                <w:sz w:val="20"/>
                <w:szCs w:val="20"/>
                <w:color w:val="auto"/>
                <w:w w:val="91"/>
              </w:rPr>
              <w:t>69-82,121,134-138</w:t>
            </w:r>
          </w:p>
        </w:tc>
      </w:tr>
      <w:tr>
        <w:trPr>
          <w:trHeight w:val="255"/>
        </w:trPr>
        <w:tc>
          <w:tcPr>
            <w:tcW w:w="480" w:type="dxa"/>
            <w:vAlign w:val="bottom"/>
          </w:tcPr>
          <w:p>
            <w:pPr>
              <w:spacing w:after="0"/>
              <w:rPr>
                <w:sz w:val="22"/>
                <w:szCs w:val="22"/>
                <w:color w:val="auto"/>
              </w:rPr>
            </w:pPr>
          </w:p>
        </w:tc>
        <w:tc>
          <w:tcPr>
            <w:tcW w:w="560" w:type="dxa"/>
            <w:vAlign w:val="bottom"/>
          </w:tcPr>
          <w:p>
            <w:pPr>
              <w:ind w:left="240"/>
              <w:spacing w:after="0"/>
              <w:rPr>
                <w:sz w:val="20"/>
                <w:szCs w:val="20"/>
                <w:color w:val="auto"/>
              </w:rPr>
            </w:pPr>
            <w:r>
              <w:rPr>
                <w:rFonts w:ascii="Arial" w:cs="Arial" w:eastAsia="Arial" w:hAnsi="Arial"/>
                <w:sz w:val="20"/>
                <w:szCs w:val="20"/>
                <w:color w:val="auto"/>
              </w:rPr>
              <w:t>B.</w:t>
            </w:r>
          </w:p>
        </w:tc>
        <w:tc>
          <w:tcPr>
            <w:tcW w:w="7780" w:type="dxa"/>
            <w:vAlign w:val="bottom"/>
          </w:tcPr>
          <w:p>
            <w:pPr>
              <w:ind w:left="100"/>
              <w:spacing w:after="0"/>
              <w:rPr>
                <w:sz w:val="20"/>
                <w:szCs w:val="20"/>
                <w:color w:val="auto"/>
              </w:rPr>
            </w:pPr>
            <w:r>
              <w:rPr>
                <w:rFonts w:ascii="Arial" w:cs="Arial" w:eastAsia="Arial" w:hAnsi="Arial"/>
                <w:sz w:val="20"/>
                <w:szCs w:val="20"/>
                <w:color w:val="auto"/>
              </w:rPr>
              <w:t>Allocation of the allowance for loan losses</w:t>
            </w:r>
          </w:p>
        </w:tc>
        <w:tc>
          <w:tcPr>
            <w:tcW w:w="1880" w:type="dxa"/>
            <w:vAlign w:val="bottom"/>
          </w:tcPr>
          <w:p>
            <w:pPr>
              <w:jc w:val="right"/>
              <w:ind w:right="79"/>
              <w:spacing w:after="0"/>
              <w:rPr>
                <w:sz w:val="20"/>
                <w:szCs w:val="20"/>
                <w:color w:val="auto"/>
              </w:rPr>
            </w:pPr>
            <w:r>
              <w:rPr>
                <w:rFonts w:ascii="Arial" w:cs="Arial" w:eastAsia="Arial" w:hAnsi="Arial"/>
                <w:sz w:val="20"/>
                <w:szCs w:val="20"/>
                <w:color w:val="auto"/>
              </w:rPr>
              <w:t>80,134-135,138</w:t>
            </w:r>
          </w:p>
        </w:tc>
      </w:tr>
    </w:tbl>
    <w:p>
      <w:pPr>
        <w:ind w:left="1120" w:hanging="721"/>
        <w:spacing w:after="0"/>
        <w:tabs>
          <w:tab w:leader="none" w:pos="1120" w:val="left"/>
        </w:tabs>
        <w:numPr>
          <w:ilvl w:val="0"/>
          <w:numId w:val="6"/>
        </w:numPr>
        <w:rPr>
          <w:rFonts w:ascii="Arial" w:cs="Arial" w:eastAsia="Arial" w:hAnsi="Arial"/>
          <w:sz w:val="20"/>
          <w:szCs w:val="20"/>
          <w:color w:val="auto"/>
        </w:rPr>
      </w:pPr>
      <w:r>
        <w:rPr>
          <w:rFonts w:ascii="Arial" w:cs="Arial" w:eastAsia="Arial" w:hAnsi="Arial"/>
          <w:sz w:val="20"/>
          <w:szCs w:val="20"/>
          <w:color w:val="auto"/>
        </w:rPr>
        <w:t>Deposits</w:t>
      </w:r>
    </w:p>
    <w:tbl>
      <w:tblPr>
        <w:tblLayout w:type="fixed"/>
        <w:tblInd w:w="0" w:type="dxa"/>
        <w:tblCellMar>
          <w:top w:w="0" w:type="dxa"/>
          <w:left w:w="0" w:type="dxa"/>
          <w:bottom w:w="0" w:type="dxa"/>
          <w:right w:w="0" w:type="dxa"/>
        </w:tblCellMar>
      </w:tblPr>
      <w:tr>
        <w:trPr>
          <w:trHeight w:val="225"/>
        </w:trPr>
        <w:tc>
          <w:tcPr>
            <w:tcW w:w="1120" w:type="dxa"/>
            <w:vAlign w:val="bottom"/>
          </w:tcPr>
          <w:p>
            <w:pPr>
              <w:spacing w:after="0"/>
              <w:rPr>
                <w:sz w:val="19"/>
                <w:szCs w:val="19"/>
                <w:color w:val="auto"/>
              </w:rPr>
            </w:pPr>
          </w:p>
        </w:tc>
        <w:tc>
          <w:tcPr>
            <w:tcW w:w="8100" w:type="dxa"/>
            <w:vAlign w:val="bottom"/>
            <w:gridSpan w:val="12"/>
          </w:tcPr>
          <w:p>
            <w:pPr>
              <w:spacing w:after="0" w:line="225" w:lineRule="exact"/>
              <w:rPr>
                <w:sz w:val="20"/>
                <w:szCs w:val="20"/>
                <w:color w:val="auto"/>
              </w:rPr>
            </w:pPr>
            <w:r>
              <w:rPr>
                <w:rFonts w:ascii="Arial" w:cs="Arial" w:eastAsia="Arial" w:hAnsi="Arial"/>
                <w:sz w:val="20"/>
                <w:szCs w:val="20"/>
                <w:color w:val="auto"/>
              </w:rPr>
              <w:t>A.  Average balances and rates</w:t>
            </w:r>
          </w:p>
        </w:tc>
        <w:tc>
          <w:tcPr>
            <w:tcW w:w="2200" w:type="dxa"/>
            <w:vAlign w:val="bottom"/>
          </w:tcPr>
          <w:p>
            <w:pPr>
              <w:jc w:val="center"/>
              <w:spacing w:after="0" w:line="225" w:lineRule="exact"/>
              <w:rPr>
                <w:sz w:val="20"/>
                <w:szCs w:val="20"/>
                <w:color w:val="auto"/>
              </w:rPr>
            </w:pPr>
            <w:r>
              <w:rPr>
                <w:rFonts w:ascii="Arial" w:cs="Arial" w:eastAsia="Arial" w:hAnsi="Arial"/>
                <w:sz w:val="20"/>
                <w:szCs w:val="20"/>
                <w:color w:val="auto"/>
                <w:w w:val="89"/>
              </w:rPr>
              <w:t>56</w:t>
            </w:r>
          </w:p>
        </w:tc>
      </w:tr>
      <w:tr>
        <w:trPr>
          <w:trHeight w:val="237"/>
        </w:trPr>
        <w:tc>
          <w:tcPr>
            <w:tcW w:w="1120" w:type="dxa"/>
            <w:vAlign w:val="bottom"/>
          </w:tcPr>
          <w:p>
            <w:pPr>
              <w:spacing w:after="0"/>
              <w:rPr>
                <w:sz w:val="20"/>
                <w:szCs w:val="20"/>
                <w:color w:val="auto"/>
              </w:rPr>
            </w:pPr>
          </w:p>
        </w:tc>
        <w:tc>
          <w:tcPr>
            <w:tcW w:w="8100" w:type="dxa"/>
            <w:vAlign w:val="bottom"/>
            <w:gridSpan w:val="12"/>
          </w:tcPr>
          <w:p>
            <w:pPr>
              <w:spacing w:after="0"/>
              <w:rPr>
                <w:sz w:val="20"/>
                <w:szCs w:val="20"/>
                <w:color w:val="auto"/>
              </w:rPr>
            </w:pPr>
            <w:r>
              <w:rPr>
                <w:rFonts w:ascii="Arial" w:cs="Arial" w:eastAsia="Arial" w:hAnsi="Arial"/>
                <w:sz w:val="20"/>
                <w:szCs w:val="20"/>
                <w:color w:val="auto"/>
              </w:rPr>
              <w:t>B.   Maturity schedule of domestic time deposits with balances of $100,000 or more</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92</w:t>
            </w:r>
          </w:p>
        </w:tc>
      </w:tr>
      <w:tr>
        <w:trPr>
          <w:trHeight w:val="237"/>
        </w:trPr>
        <w:tc>
          <w:tcPr>
            <w:tcW w:w="1120" w:type="dxa"/>
            <w:vAlign w:val="bottom"/>
          </w:tcPr>
          <w:p>
            <w:pPr>
              <w:ind w:left="400"/>
              <w:spacing w:after="0"/>
              <w:rPr>
                <w:sz w:val="20"/>
                <w:szCs w:val="20"/>
                <w:color w:val="auto"/>
              </w:rPr>
            </w:pPr>
            <w:r>
              <w:rPr>
                <w:rFonts w:ascii="Arial" w:cs="Arial" w:eastAsia="Arial" w:hAnsi="Arial"/>
                <w:sz w:val="20"/>
                <w:szCs w:val="20"/>
                <w:color w:val="auto"/>
              </w:rPr>
              <w:t>VI.</w:t>
            </w:r>
          </w:p>
        </w:tc>
        <w:tc>
          <w:tcPr>
            <w:tcW w:w="8100" w:type="dxa"/>
            <w:vAlign w:val="bottom"/>
            <w:gridSpan w:val="12"/>
          </w:tcPr>
          <w:p>
            <w:pPr>
              <w:spacing w:after="0"/>
              <w:rPr>
                <w:sz w:val="20"/>
                <w:szCs w:val="20"/>
                <w:color w:val="auto"/>
              </w:rPr>
            </w:pPr>
            <w:r>
              <w:rPr>
                <w:rFonts w:ascii="Arial" w:cs="Arial" w:eastAsia="Arial" w:hAnsi="Arial"/>
                <w:sz w:val="20"/>
                <w:szCs w:val="20"/>
                <w:color w:val="auto"/>
              </w:rPr>
              <w:t>Return on equity and assets</w:t>
            </w:r>
          </w:p>
        </w:tc>
        <w:tc>
          <w:tcPr>
            <w:tcW w:w="2200" w:type="dxa"/>
            <w:vAlign w:val="bottom"/>
          </w:tcPr>
          <w:p>
            <w:pPr>
              <w:jc w:val="center"/>
              <w:spacing w:after="0"/>
              <w:rPr>
                <w:sz w:val="20"/>
                <w:szCs w:val="20"/>
                <w:color w:val="auto"/>
              </w:rPr>
            </w:pPr>
            <w:r>
              <w:rPr>
                <w:rFonts w:ascii="Arial" w:cs="Arial" w:eastAsia="Arial" w:hAnsi="Arial"/>
                <w:sz w:val="20"/>
                <w:szCs w:val="20"/>
                <w:color w:val="auto"/>
                <w:w w:val="90"/>
              </w:rPr>
              <w:t>25,49-50,96,99</w:t>
            </w:r>
          </w:p>
        </w:tc>
      </w:tr>
      <w:tr>
        <w:trPr>
          <w:trHeight w:val="237"/>
        </w:trPr>
        <w:tc>
          <w:tcPr>
            <w:tcW w:w="1120" w:type="dxa"/>
            <w:vAlign w:val="bottom"/>
          </w:tcPr>
          <w:p>
            <w:pPr>
              <w:ind w:left="400"/>
              <w:spacing w:after="0"/>
              <w:rPr>
                <w:sz w:val="20"/>
                <w:szCs w:val="20"/>
                <w:color w:val="auto"/>
              </w:rPr>
            </w:pPr>
            <w:r>
              <w:rPr>
                <w:rFonts w:ascii="Arial" w:cs="Arial" w:eastAsia="Arial" w:hAnsi="Arial"/>
                <w:sz w:val="20"/>
                <w:szCs w:val="20"/>
                <w:color w:val="auto"/>
              </w:rPr>
              <w:t>VII.</w:t>
            </w:r>
          </w:p>
        </w:tc>
        <w:tc>
          <w:tcPr>
            <w:tcW w:w="8100" w:type="dxa"/>
            <w:vAlign w:val="bottom"/>
            <w:gridSpan w:val="12"/>
          </w:tcPr>
          <w:p>
            <w:pPr>
              <w:spacing w:after="0"/>
              <w:rPr>
                <w:sz w:val="20"/>
                <w:szCs w:val="20"/>
                <w:color w:val="auto"/>
              </w:rPr>
            </w:pPr>
            <w:r>
              <w:rPr>
                <w:rFonts w:ascii="Arial" w:cs="Arial" w:eastAsia="Arial" w:hAnsi="Arial"/>
                <w:sz w:val="20"/>
                <w:szCs w:val="20"/>
                <w:color w:val="auto"/>
              </w:rPr>
              <w:t>Short-term borrowings</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144</w:t>
            </w:r>
          </w:p>
        </w:tc>
      </w:tr>
      <w:tr>
        <w:trPr>
          <w:trHeight w:val="211"/>
        </w:trPr>
        <w:tc>
          <w:tcPr>
            <w:tcW w:w="1120" w:type="dxa"/>
            <w:vAlign w:val="bottom"/>
          </w:tcPr>
          <w:p>
            <w:pPr>
              <w:spacing w:after="0" w:line="210" w:lineRule="exact"/>
              <w:rPr>
                <w:sz w:val="20"/>
                <w:szCs w:val="20"/>
                <w:color w:val="auto"/>
              </w:rPr>
            </w:pPr>
            <w:r>
              <w:rPr>
                <w:rFonts w:ascii="Arial" w:cs="Arial" w:eastAsia="Arial" w:hAnsi="Arial"/>
                <w:sz w:val="20"/>
                <w:szCs w:val="20"/>
                <w:color w:val="auto"/>
              </w:rPr>
              <w:t>Item 1A.</w:t>
            </w:r>
          </w:p>
        </w:tc>
        <w:tc>
          <w:tcPr>
            <w:tcW w:w="1020" w:type="dxa"/>
            <w:vAlign w:val="bottom"/>
            <w:tcBorders>
              <w:bottom w:val="single" w:sz="8" w:color="0000EE"/>
            </w:tcBorders>
            <w:gridSpan w:val="3"/>
          </w:tcPr>
          <w:p>
            <w:pPr>
              <w:spacing w:after="0" w:line="210" w:lineRule="exact"/>
              <w:rPr>
                <w:rFonts w:ascii="Arial" w:cs="Arial" w:eastAsia="Arial" w:hAnsi="Arial"/>
                <w:sz w:val="20"/>
                <w:szCs w:val="20"/>
                <w:color w:val="0000EE"/>
                <w:w w:val="89"/>
              </w:rPr>
            </w:pPr>
            <w:hyperlink w:anchor="page26">
              <w:r>
                <w:rPr>
                  <w:rFonts w:ascii="Arial" w:cs="Arial" w:eastAsia="Arial" w:hAnsi="Arial"/>
                  <w:sz w:val="20"/>
                  <w:szCs w:val="20"/>
                  <w:color w:val="0000EE"/>
                  <w:w w:val="89"/>
                </w:rPr>
                <w:t>Risk Factors</w:t>
              </w:r>
            </w:hyperlink>
          </w:p>
        </w:tc>
        <w:tc>
          <w:tcPr>
            <w:tcW w:w="7080" w:type="dxa"/>
            <w:vAlign w:val="bottom"/>
            <w:gridSpan w:val="9"/>
          </w:tcPr>
          <w:p>
            <w:pPr>
              <w:spacing w:after="0"/>
              <w:rPr>
                <w:sz w:val="18"/>
                <w:szCs w:val="18"/>
                <w:color w:val="auto"/>
              </w:rPr>
            </w:pPr>
          </w:p>
        </w:tc>
        <w:tc>
          <w:tcPr>
            <w:tcW w:w="2200" w:type="dxa"/>
            <w:vAlign w:val="bottom"/>
          </w:tcPr>
          <w:p>
            <w:pPr>
              <w:jc w:val="center"/>
              <w:spacing w:after="0" w:line="210" w:lineRule="exact"/>
              <w:rPr>
                <w:sz w:val="20"/>
                <w:szCs w:val="20"/>
                <w:color w:val="auto"/>
              </w:rPr>
            </w:pPr>
            <w:r>
              <w:rPr>
                <w:rFonts w:ascii="Arial" w:cs="Arial" w:eastAsia="Arial" w:hAnsi="Arial"/>
                <w:sz w:val="20"/>
                <w:szCs w:val="20"/>
                <w:color w:val="auto"/>
                <w:w w:val="89"/>
              </w:rPr>
              <w:t>26-39</w:t>
            </w:r>
          </w:p>
        </w:tc>
      </w:tr>
      <w:tr>
        <w:trPr>
          <w:trHeight w:val="217"/>
        </w:trPr>
        <w:tc>
          <w:tcPr>
            <w:tcW w:w="1120" w:type="dxa"/>
            <w:vAlign w:val="bottom"/>
          </w:tcPr>
          <w:p>
            <w:pPr>
              <w:spacing w:after="0" w:line="216" w:lineRule="exact"/>
              <w:rPr>
                <w:sz w:val="20"/>
                <w:szCs w:val="20"/>
                <w:color w:val="auto"/>
              </w:rPr>
            </w:pPr>
            <w:r>
              <w:rPr>
                <w:rFonts w:ascii="Arial" w:cs="Arial" w:eastAsia="Arial" w:hAnsi="Arial"/>
                <w:sz w:val="20"/>
                <w:szCs w:val="20"/>
                <w:color w:val="auto"/>
              </w:rPr>
              <w:t>Item 1B.</w:t>
            </w:r>
          </w:p>
        </w:tc>
        <w:tc>
          <w:tcPr>
            <w:tcW w:w="2300" w:type="dxa"/>
            <w:vAlign w:val="bottom"/>
            <w:tcBorders>
              <w:bottom w:val="single" w:sz="8" w:color="0000EE"/>
            </w:tcBorders>
            <w:gridSpan w:val="7"/>
          </w:tcPr>
          <w:p>
            <w:pPr>
              <w:spacing w:after="0" w:line="216" w:lineRule="exact"/>
              <w:rPr>
                <w:rFonts w:ascii="Arial" w:cs="Arial" w:eastAsia="Arial" w:hAnsi="Arial"/>
                <w:sz w:val="20"/>
                <w:szCs w:val="20"/>
                <w:color w:val="0000EE"/>
                <w:w w:val="91"/>
              </w:rPr>
            </w:pPr>
            <w:hyperlink w:anchor="page40">
              <w:r>
                <w:rPr>
                  <w:rFonts w:ascii="Arial" w:cs="Arial" w:eastAsia="Arial" w:hAnsi="Arial"/>
                  <w:sz w:val="20"/>
                  <w:szCs w:val="20"/>
                  <w:color w:val="0000EE"/>
                  <w:w w:val="91"/>
                </w:rPr>
                <w:t>Unresolved Staff Comments</w:t>
              </w:r>
            </w:hyperlink>
          </w:p>
        </w:tc>
        <w:tc>
          <w:tcPr>
            <w:tcW w:w="5800" w:type="dxa"/>
            <w:vAlign w:val="bottom"/>
            <w:gridSpan w:val="5"/>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40</w:t>
            </w:r>
          </w:p>
        </w:tc>
      </w:tr>
      <w:tr>
        <w:trPr>
          <w:trHeight w:val="217"/>
        </w:trPr>
        <w:tc>
          <w:tcPr>
            <w:tcW w:w="1120" w:type="dxa"/>
            <w:vAlign w:val="bottom"/>
          </w:tcPr>
          <w:p>
            <w:pPr>
              <w:spacing w:after="0" w:line="216" w:lineRule="exact"/>
              <w:rPr>
                <w:sz w:val="20"/>
                <w:szCs w:val="20"/>
                <w:color w:val="auto"/>
              </w:rPr>
            </w:pPr>
            <w:r>
              <w:rPr>
                <w:rFonts w:ascii="Arial" w:cs="Arial" w:eastAsia="Arial" w:hAnsi="Arial"/>
                <w:sz w:val="20"/>
                <w:szCs w:val="20"/>
                <w:color w:val="auto"/>
              </w:rPr>
              <w:t>Item 2.</w:t>
            </w:r>
          </w:p>
        </w:tc>
        <w:tc>
          <w:tcPr>
            <w:tcW w:w="820" w:type="dxa"/>
            <w:vAlign w:val="bottom"/>
            <w:tcBorders>
              <w:bottom w:val="single" w:sz="8" w:color="0000EE"/>
            </w:tcBorders>
            <w:gridSpan w:val="2"/>
          </w:tcPr>
          <w:p>
            <w:pPr>
              <w:spacing w:after="0" w:line="216" w:lineRule="exact"/>
              <w:rPr>
                <w:rFonts w:ascii="Arial" w:cs="Arial" w:eastAsia="Arial" w:hAnsi="Arial"/>
                <w:sz w:val="20"/>
                <w:szCs w:val="20"/>
                <w:color w:val="0000EE"/>
                <w:w w:val="87"/>
              </w:rPr>
            </w:pPr>
            <w:hyperlink w:anchor="page40">
              <w:r>
                <w:rPr>
                  <w:rFonts w:ascii="Arial" w:cs="Arial" w:eastAsia="Arial" w:hAnsi="Arial"/>
                  <w:sz w:val="20"/>
                  <w:szCs w:val="20"/>
                  <w:color w:val="0000EE"/>
                  <w:w w:val="87"/>
                </w:rPr>
                <w:t>Properties</w:t>
              </w:r>
            </w:hyperlink>
          </w:p>
        </w:tc>
        <w:tc>
          <w:tcPr>
            <w:tcW w:w="7280" w:type="dxa"/>
            <w:vAlign w:val="bottom"/>
            <w:gridSpan w:val="10"/>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40</w:t>
            </w:r>
          </w:p>
        </w:tc>
      </w:tr>
      <w:tr>
        <w:trPr>
          <w:trHeight w:val="217"/>
        </w:trPr>
        <w:tc>
          <w:tcPr>
            <w:tcW w:w="1120" w:type="dxa"/>
            <w:vAlign w:val="bottom"/>
          </w:tcPr>
          <w:p>
            <w:pPr>
              <w:spacing w:after="0" w:line="216" w:lineRule="exact"/>
              <w:rPr>
                <w:sz w:val="20"/>
                <w:szCs w:val="20"/>
                <w:color w:val="auto"/>
              </w:rPr>
            </w:pPr>
            <w:r>
              <w:rPr>
                <w:rFonts w:ascii="Arial" w:cs="Arial" w:eastAsia="Arial" w:hAnsi="Arial"/>
                <w:sz w:val="20"/>
                <w:szCs w:val="20"/>
                <w:color w:val="auto"/>
              </w:rPr>
              <w:t>Item 3.</w:t>
            </w:r>
          </w:p>
        </w:tc>
        <w:tc>
          <w:tcPr>
            <w:tcW w:w="1500" w:type="dxa"/>
            <w:vAlign w:val="bottom"/>
            <w:tcBorders>
              <w:bottom w:val="single" w:sz="8" w:color="0000EE"/>
            </w:tcBorders>
            <w:gridSpan w:val="4"/>
          </w:tcPr>
          <w:p>
            <w:pPr>
              <w:spacing w:after="0" w:line="216" w:lineRule="exact"/>
              <w:rPr>
                <w:rFonts w:ascii="Arial" w:cs="Arial" w:eastAsia="Arial" w:hAnsi="Arial"/>
                <w:sz w:val="20"/>
                <w:szCs w:val="20"/>
                <w:color w:val="0000EE"/>
                <w:w w:val="89"/>
              </w:rPr>
            </w:pPr>
            <w:hyperlink w:anchor="page41">
              <w:r>
                <w:rPr>
                  <w:rFonts w:ascii="Arial" w:cs="Arial" w:eastAsia="Arial" w:hAnsi="Arial"/>
                  <w:sz w:val="20"/>
                  <w:szCs w:val="20"/>
                  <w:color w:val="0000EE"/>
                  <w:w w:val="89"/>
                </w:rPr>
                <w:t>Legal Proceedings</w:t>
              </w:r>
            </w:hyperlink>
          </w:p>
        </w:tc>
        <w:tc>
          <w:tcPr>
            <w:tcW w:w="6600" w:type="dxa"/>
            <w:vAlign w:val="bottom"/>
            <w:gridSpan w:val="8"/>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41</w:t>
            </w:r>
          </w:p>
        </w:tc>
      </w:tr>
      <w:tr>
        <w:trPr>
          <w:trHeight w:val="217"/>
        </w:trPr>
        <w:tc>
          <w:tcPr>
            <w:tcW w:w="1120" w:type="dxa"/>
            <w:vAlign w:val="bottom"/>
          </w:tcPr>
          <w:p>
            <w:pPr>
              <w:spacing w:after="0" w:line="216" w:lineRule="exact"/>
              <w:rPr>
                <w:sz w:val="20"/>
                <w:szCs w:val="20"/>
                <w:color w:val="auto"/>
              </w:rPr>
            </w:pPr>
            <w:r>
              <w:rPr>
                <w:rFonts w:ascii="Arial" w:cs="Arial" w:eastAsia="Arial" w:hAnsi="Arial"/>
                <w:sz w:val="20"/>
                <w:szCs w:val="20"/>
                <w:color w:val="auto"/>
              </w:rPr>
              <w:t>Item 4.</w:t>
            </w:r>
          </w:p>
        </w:tc>
        <w:tc>
          <w:tcPr>
            <w:tcW w:w="8100" w:type="dxa"/>
            <w:vAlign w:val="bottom"/>
            <w:gridSpan w:val="12"/>
          </w:tcPr>
          <w:p>
            <w:pPr>
              <w:spacing w:after="0" w:line="216" w:lineRule="exact"/>
              <w:rPr>
                <w:rFonts w:ascii="Arial" w:cs="Arial" w:eastAsia="Arial" w:hAnsi="Arial"/>
                <w:sz w:val="20"/>
                <w:szCs w:val="20"/>
                <w:color w:val="0000EE"/>
              </w:rPr>
            </w:pPr>
            <w:hyperlink w:anchor="page41">
              <w:r>
                <w:rPr>
                  <w:rFonts w:ascii="Arial" w:cs="Arial" w:eastAsia="Arial" w:hAnsi="Arial"/>
                  <w:sz w:val="20"/>
                  <w:szCs w:val="20"/>
                  <w:color w:val="0000EE"/>
                </w:rPr>
                <w:t>Mine Safety Disclosures</w:t>
              </w:r>
            </w:hyperlink>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41</w:t>
            </w:r>
          </w:p>
        </w:tc>
      </w:tr>
      <w:tr>
        <w:trPr>
          <w:trHeight w:val="20"/>
        </w:trPr>
        <w:tc>
          <w:tcPr>
            <w:tcW w:w="1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17"/>
        </w:trPr>
        <w:tc>
          <w:tcPr>
            <w:tcW w:w="1120" w:type="dxa"/>
            <w:vAlign w:val="bottom"/>
          </w:tcPr>
          <w:p>
            <w:pPr>
              <w:spacing w:after="0"/>
              <w:rPr>
                <w:sz w:val="18"/>
                <w:szCs w:val="18"/>
                <w:color w:val="auto"/>
              </w:rPr>
            </w:pPr>
          </w:p>
        </w:tc>
        <w:tc>
          <w:tcPr>
            <w:tcW w:w="8100" w:type="dxa"/>
            <w:vAlign w:val="bottom"/>
            <w:gridSpan w:val="12"/>
          </w:tcPr>
          <w:p>
            <w:pPr>
              <w:spacing w:after="0" w:line="216" w:lineRule="exact"/>
              <w:rPr>
                <w:rFonts w:ascii="Arial" w:cs="Arial" w:eastAsia="Arial" w:hAnsi="Arial"/>
                <w:sz w:val="20"/>
                <w:szCs w:val="20"/>
                <w:color w:val="0000EE"/>
              </w:rPr>
            </w:pPr>
            <w:hyperlink w:anchor="page42">
              <w:r>
                <w:rPr>
                  <w:rFonts w:ascii="Arial" w:cs="Arial" w:eastAsia="Arial" w:hAnsi="Arial"/>
                  <w:sz w:val="20"/>
                  <w:szCs w:val="20"/>
                  <w:color w:val="0000EE"/>
                </w:rPr>
                <w:t>Executive Officers of the Registrant</w:t>
              </w:r>
            </w:hyperlink>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42-44</w:t>
            </w:r>
          </w:p>
        </w:tc>
      </w:tr>
      <w:tr>
        <w:trPr>
          <w:trHeight w:val="217"/>
        </w:trPr>
        <w:tc>
          <w:tcPr>
            <w:tcW w:w="112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320" w:type="dxa"/>
            <w:vAlign w:val="bottom"/>
          </w:tcPr>
          <w:p>
            <w:pPr>
              <w:spacing w:after="0"/>
              <w:rPr>
                <w:sz w:val="18"/>
                <w:szCs w:val="18"/>
                <w:color w:val="auto"/>
              </w:rPr>
            </w:pPr>
          </w:p>
        </w:tc>
        <w:tc>
          <w:tcPr>
            <w:tcW w:w="3880" w:type="dxa"/>
            <w:vAlign w:val="bottom"/>
            <w:gridSpan w:val="3"/>
          </w:tcPr>
          <w:p>
            <w:pPr>
              <w:spacing w:after="0" w:line="216" w:lineRule="exact"/>
              <w:rPr>
                <w:rFonts w:ascii="Arial" w:cs="Arial" w:eastAsia="Arial" w:hAnsi="Arial"/>
                <w:sz w:val="20"/>
                <w:szCs w:val="20"/>
                <w:b w:val="1"/>
                <w:bCs w:val="1"/>
                <w:color w:val="0000EE"/>
              </w:rPr>
            </w:pPr>
            <w:hyperlink w:anchor="page45">
              <w:r>
                <w:rPr>
                  <w:rFonts w:ascii="Arial" w:cs="Arial" w:eastAsia="Arial" w:hAnsi="Arial"/>
                  <w:sz w:val="20"/>
                  <w:szCs w:val="20"/>
                  <w:b w:val="1"/>
                  <w:bCs w:val="1"/>
                  <w:color w:val="0000EE"/>
                </w:rPr>
                <w:t>PART II</w:t>
              </w:r>
            </w:hyperlink>
          </w:p>
        </w:tc>
        <w:tc>
          <w:tcPr>
            <w:tcW w:w="220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17"/>
        </w:trPr>
        <w:tc>
          <w:tcPr>
            <w:tcW w:w="1120" w:type="dxa"/>
            <w:vAlign w:val="bottom"/>
          </w:tcPr>
          <w:p>
            <w:pPr>
              <w:spacing w:after="0" w:line="216" w:lineRule="exact"/>
              <w:rPr>
                <w:sz w:val="20"/>
                <w:szCs w:val="20"/>
                <w:color w:val="auto"/>
              </w:rPr>
            </w:pPr>
            <w:r>
              <w:rPr>
                <w:rFonts w:ascii="Arial" w:cs="Arial" w:eastAsia="Arial" w:hAnsi="Arial"/>
                <w:sz w:val="20"/>
                <w:szCs w:val="20"/>
                <w:color w:val="auto"/>
              </w:rPr>
              <w:t>Item 5.</w:t>
            </w:r>
          </w:p>
        </w:tc>
        <w:tc>
          <w:tcPr>
            <w:tcW w:w="8100" w:type="dxa"/>
            <w:vAlign w:val="bottom"/>
            <w:gridSpan w:val="12"/>
          </w:tcPr>
          <w:p>
            <w:pPr>
              <w:spacing w:after="0" w:line="216" w:lineRule="exact"/>
              <w:rPr>
                <w:rFonts w:ascii="Arial" w:cs="Arial" w:eastAsia="Arial" w:hAnsi="Arial"/>
                <w:sz w:val="20"/>
                <w:szCs w:val="20"/>
                <w:color w:val="0000EE"/>
                <w:w w:val="96"/>
              </w:rPr>
            </w:pPr>
            <w:hyperlink w:anchor="page45">
              <w:r>
                <w:rPr>
                  <w:rFonts w:ascii="Arial" w:cs="Arial" w:eastAsia="Arial" w:hAnsi="Arial"/>
                  <w:sz w:val="20"/>
                  <w:szCs w:val="20"/>
                  <w:color w:val="0000EE"/>
                  <w:w w:val="96"/>
                </w:rPr>
                <w:t>Market for Registrant’s Common Equity, Related Stockholder Matters and Issuer Purchases of</w:t>
              </w:r>
            </w:hyperlink>
          </w:p>
        </w:tc>
        <w:tc>
          <w:tcPr>
            <w:tcW w:w="2200" w:type="dxa"/>
            <w:vAlign w:val="bottom"/>
          </w:tcPr>
          <w:p>
            <w:pPr>
              <w:spacing w:after="0"/>
              <w:rPr>
                <w:sz w:val="18"/>
                <w:szCs w:val="18"/>
                <w:color w:val="auto"/>
              </w:rPr>
            </w:pPr>
          </w:p>
        </w:tc>
      </w:tr>
      <w:tr>
        <w:trPr>
          <w:trHeight w:val="217"/>
        </w:trPr>
        <w:tc>
          <w:tcPr>
            <w:tcW w:w="1120" w:type="dxa"/>
            <w:vAlign w:val="bottom"/>
          </w:tcPr>
          <w:p>
            <w:pPr>
              <w:spacing w:after="0"/>
              <w:rPr>
                <w:sz w:val="18"/>
                <w:szCs w:val="18"/>
                <w:color w:val="auto"/>
              </w:rPr>
            </w:pPr>
          </w:p>
        </w:tc>
        <w:tc>
          <w:tcPr>
            <w:tcW w:w="7600" w:type="dxa"/>
            <w:vAlign w:val="bottom"/>
            <w:tcBorders>
              <w:top w:val="single" w:sz="8" w:color="0000EE"/>
            </w:tcBorders>
            <w:gridSpan w:val="11"/>
          </w:tcPr>
          <w:p>
            <w:pPr>
              <w:ind w:left="220"/>
              <w:spacing w:after="0" w:line="216" w:lineRule="exact"/>
              <w:rPr>
                <w:rFonts w:ascii="Arial" w:cs="Arial" w:eastAsia="Arial" w:hAnsi="Arial"/>
                <w:sz w:val="20"/>
                <w:szCs w:val="20"/>
                <w:color w:val="0000EE"/>
              </w:rPr>
            </w:pPr>
            <w:hyperlink w:anchor="page45">
              <w:r>
                <w:rPr>
                  <w:rFonts w:ascii="Arial" w:cs="Arial" w:eastAsia="Arial" w:hAnsi="Arial"/>
                  <w:sz w:val="20"/>
                  <w:szCs w:val="20"/>
                  <w:color w:val="0000EE"/>
                </w:rPr>
                <w:t>Equity Securities</w:t>
              </w:r>
            </w:hyperlink>
          </w:p>
        </w:tc>
        <w:tc>
          <w:tcPr>
            <w:tcW w:w="500" w:type="dxa"/>
            <w:vAlign w:val="bottom"/>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45-47</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500" w:type="dxa"/>
            <w:vAlign w:val="bottom"/>
            <w:gridSpan w:val="7"/>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42"/>
        </w:trPr>
        <w:tc>
          <w:tcPr>
            <w:tcW w:w="1120" w:type="dxa"/>
            <w:vAlign w:val="bottom"/>
          </w:tcPr>
          <w:p>
            <w:pPr>
              <w:spacing w:after="0"/>
              <w:rPr>
                <w:sz w:val="21"/>
                <w:szCs w:val="21"/>
                <w:color w:val="auto"/>
              </w:rPr>
            </w:pPr>
          </w:p>
        </w:tc>
        <w:tc>
          <w:tcPr>
            <w:tcW w:w="8100" w:type="dxa"/>
            <w:vAlign w:val="bottom"/>
            <w:gridSpan w:val="12"/>
          </w:tcPr>
          <w:p>
            <w:pPr>
              <w:spacing w:after="0"/>
              <w:rPr>
                <w:sz w:val="20"/>
                <w:szCs w:val="20"/>
                <w:color w:val="auto"/>
              </w:rPr>
            </w:pPr>
            <w:r>
              <w:rPr>
                <w:rFonts w:ascii="Arial" w:cs="Arial" w:eastAsia="Arial" w:hAnsi="Arial"/>
                <w:sz w:val="20"/>
                <w:szCs w:val="20"/>
                <w:color w:val="auto"/>
              </w:rPr>
              <w:t>A.  Principal market</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45</w:t>
            </w:r>
          </w:p>
        </w:tc>
      </w:tr>
      <w:tr>
        <w:trPr>
          <w:trHeight w:val="237"/>
        </w:trPr>
        <w:tc>
          <w:tcPr>
            <w:tcW w:w="1120" w:type="dxa"/>
            <w:vAlign w:val="bottom"/>
          </w:tcPr>
          <w:p>
            <w:pPr>
              <w:spacing w:after="0"/>
              <w:rPr>
                <w:sz w:val="20"/>
                <w:szCs w:val="20"/>
                <w:color w:val="auto"/>
              </w:rPr>
            </w:pPr>
          </w:p>
        </w:tc>
        <w:tc>
          <w:tcPr>
            <w:tcW w:w="8100" w:type="dxa"/>
            <w:vAlign w:val="bottom"/>
            <w:gridSpan w:val="12"/>
          </w:tcPr>
          <w:p>
            <w:pPr>
              <w:spacing w:after="0"/>
              <w:rPr>
                <w:sz w:val="20"/>
                <w:szCs w:val="20"/>
                <w:color w:val="auto"/>
              </w:rPr>
            </w:pPr>
            <w:r>
              <w:rPr>
                <w:rFonts w:ascii="Arial" w:cs="Arial" w:eastAsia="Arial" w:hAnsi="Arial"/>
                <w:sz w:val="20"/>
                <w:szCs w:val="20"/>
                <w:color w:val="auto"/>
              </w:rPr>
              <w:t>B.  Approximate number of holders at year-end</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23</w:t>
            </w:r>
          </w:p>
        </w:tc>
      </w:tr>
      <w:tr>
        <w:trPr>
          <w:trHeight w:val="257"/>
        </w:trPr>
        <w:tc>
          <w:tcPr>
            <w:tcW w:w="1120" w:type="dxa"/>
            <w:vAlign w:val="bottom"/>
          </w:tcPr>
          <w:p>
            <w:pPr>
              <w:spacing w:after="0"/>
              <w:rPr>
                <w:sz w:val="22"/>
                <w:szCs w:val="22"/>
                <w:color w:val="auto"/>
              </w:rPr>
            </w:pPr>
          </w:p>
        </w:tc>
        <w:tc>
          <w:tcPr>
            <w:tcW w:w="8100" w:type="dxa"/>
            <w:vAlign w:val="bottom"/>
            <w:gridSpan w:val="12"/>
          </w:tcPr>
          <w:p>
            <w:pPr>
              <w:spacing w:after="0"/>
              <w:rPr>
                <w:sz w:val="20"/>
                <w:szCs w:val="20"/>
                <w:color w:val="auto"/>
              </w:rPr>
            </w:pPr>
            <w:r>
              <w:rPr>
                <w:rFonts w:ascii="Arial" w:cs="Arial" w:eastAsia="Arial" w:hAnsi="Arial"/>
                <w:sz w:val="20"/>
                <w:szCs w:val="20"/>
                <w:color w:val="auto"/>
              </w:rPr>
              <w:t>C.  Frequency and amount of dividends declared</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24-25,106,117</w:t>
            </w:r>
          </w:p>
        </w:tc>
      </w:tr>
      <w:tr>
        <w:trPr>
          <w:trHeight w:val="412"/>
        </w:trPr>
        <w:tc>
          <w:tcPr>
            <w:tcW w:w="1120" w:type="dxa"/>
            <w:vAlign w:val="bottom"/>
          </w:tcPr>
          <w:p>
            <w:pPr>
              <w:spacing w:after="0"/>
              <w:rPr>
                <w:sz w:val="24"/>
                <w:szCs w:val="24"/>
                <w:color w:val="auto"/>
              </w:rPr>
            </w:pPr>
          </w:p>
        </w:tc>
        <w:tc>
          <w:tcPr>
            <w:tcW w:w="4960" w:type="dxa"/>
            <w:vAlign w:val="bottom"/>
            <w:gridSpan w:val="10"/>
          </w:tcPr>
          <w:p>
            <w:pPr>
              <w:ind w:left="4560"/>
              <w:spacing w:after="0"/>
              <w:rPr>
                <w:sz w:val="20"/>
                <w:szCs w:val="20"/>
                <w:color w:val="auto"/>
              </w:rPr>
            </w:pPr>
            <w:r>
              <w:rPr>
                <w:rFonts w:ascii="Arial" w:cs="Arial" w:eastAsia="Arial" w:hAnsi="Arial"/>
                <w:sz w:val="18"/>
                <w:szCs w:val="18"/>
                <w:color w:val="auto"/>
              </w:rPr>
              <w:t>2</w:t>
            </w:r>
          </w:p>
        </w:tc>
        <w:tc>
          <w:tcPr>
            <w:tcW w:w="2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12"/>
        </w:trPr>
        <w:tc>
          <w:tcPr>
            <w:tcW w:w="1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5"/>
              </w:rPr>
              <w:t>Form 10-K</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220" w:type="dxa"/>
            <w:vAlign w:val="bottom"/>
            <w:gridSpan w:val="2"/>
            <w:vMerge w:val="restart"/>
          </w:tcPr>
          <w:p>
            <w:pPr>
              <w:spacing w:after="0"/>
              <w:rPr>
                <w:sz w:val="20"/>
                <w:szCs w:val="20"/>
                <w:color w:val="auto"/>
              </w:rPr>
            </w:pPr>
            <w:r>
              <w:rPr>
                <w:rFonts w:ascii="Arial" w:cs="Arial" w:eastAsia="Arial" w:hAnsi="Arial"/>
                <w:sz w:val="20"/>
                <w:szCs w:val="20"/>
                <w:color w:val="auto"/>
                <w:w w:val="99"/>
              </w:rPr>
              <w:t>D.</w:t>
            </w:r>
          </w:p>
        </w:tc>
        <w:tc>
          <w:tcPr>
            <w:tcW w:w="7900" w:type="dxa"/>
            <w:vAlign w:val="bottom"/>
            <w:gridSpan w:val="22"/>
            <w:vMerge w:val="restart"/>
          </w:tcPr>
          <w:p>
            <w:pPr>
              <w:ind w:left="160"/>
              <w:spacing w:after="0"/>
              <w:rPr>
                <w:sz w:val="20"/>
                <w:szCs w:val="20"/>
                <w:color w:val="auto"/>
              </w:rPr>
            </w:pPr>
            <w:r>
              <w:rPr>
                <w:rFonts w:ascii="Arial" w:cs="Arial" w:eastAsia="Arial" w:hAnsi="Arial"/>
                <w:sz w:val="20"/>
                <w:szCs w:val="20"/>
                <w:color w:val="auto"/>
              </w:rPr>
              <w:t>Restrictions on dividends</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7900" w:type="dxa"/>
            <w:vAlign w:val="bottom"/>
            <w:gridSpan w:val="22"/>
            <w:vMerge w:val="continue"/>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9</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E.</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Securities authorized for issuance under equity</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900" w:type="dxa"/>
            <w:vAlign w:val="bottom"/>
            <w:gridSpan w:val="22"/>
          </w:tcPr>
          <w:p>
            <w:pPr>
              <w:ind w:left="380"/>
              <w:spacing w:after="0"/>
              <w:rPr>
                <w:sz w:val="20"/>
                <w:szCs w:val="20"/>
                <w:color w:val="auto"/>
              </w:rPr>
            </w:pPr>
            <w:r>
              <w:rPr>
                <w:rFonts w:ascii="Arial" w:cs="Arial" w:eastAsia="Arial" w:hAnsi="Arial"/>
                <w:sz w:val="20"/>
                <w:szCs w:val="20"/>
                <w:color w:val="auto"/>
              </w:rPr>
              <w:t>compensation plans</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45-47</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F.</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Performance graph</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46</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4"/>
              </w:rPr>
              <w:t>G.</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Repurchases of common stock</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47</w:t>
            </w:r>
          </w:p>
        </w:tc>
        <w:tc>
          <w:tcPr>
            <w:tcW w:w="0" w:type="dxa"/>
            <w:vAlign w:val="bottom"/>
          </w:tcPr>
          <w:p>
            <w:pPr>
              <w:spacing w:after="0"/>
              <w:rPr>
                <w:sz w:val="1"/>
                <w:szCs w:val="1"/>
                <w:color w:val="auto"/>
              </w:rPr>
            </w:pPr>
          </w:p>
        </w:tc>
      </w:tr>
      <w:tr>
        <w:trPr>
          <w:trHeight w:val="211"/>
        </w:trPr>
        <w:tc>
          <w:tcPr>
            <w:tcW w:w="1100" w:type="dxa"/>
            <w:vAlign w:val="bottom"/>
          </w:tcPr>
          <w:p>
            <w:pPr>
              <w:spacing w:after="0" w:line="210" w:lineRule="exact"/>
              <w:rPr>
                <w:sz w:val="20"/>
                <w:szCs w:val="20"/>
                <w:color w:val="auto"/>
              </w:rPr>
            </w:pPr>
            <w:r>
              <w:rPr>
                <w:rFonts w:ascii="Arial" w:cs="Arial" w:eastAsia="Arial" w:hAnsi="Arial"/>
                <w:sz w:val="20"/>
                <w:szCs w:val="20"/>
                <w:color w:val="auto"/>
              </w:rPr>
              <w:t>Item 6.</w:t>
            </w:r>
          </w:p>
        </w:tc>
        <w:tc>
          <w:tcPr>
            <w:tcW w:w="8120" w:type="dxa"/>
            <w:vAlign w:val="bottom"/>
            <w:gridSpan w:val="24"/>
          </w:tcPr>
          <w:p>
            <w:pPr>
              <w:spacing w:after="0" w:line="210" w:lineRule="exact"/>
              <w:rPr>
                <w:rFonts w:ascii="Arial" w:cs="Arial" w:eastAsia="Arial" w:hAnsi="Arial"/>
                <w:sz w:val="20"/>
                <w:szCs w:val="20"/>
                <w:color w:val="0000EE"/>
              </w:rPr>
            </w:pPr>
            <w:hyperlink w:anchor="page47">
              <w:r>
                <w:rPr>
                  <w:rFonts w:ascii="Arial" w:cs="Arial" w:eastAsia="Arial" w:hAnsi="Arial"/>
                  <w:sz w:val="20"/>
                  <w:szCs w:val="20"/>
                  <w:color w:val="0000EE"/>
                </w:rPr>
                <w:t>Selected Financial Data</w:t>
              </w:r>
            </w:hyperlink>
          </w:p>
        </w:tc>
        <w:tc>
          <w:tcPr>
            <w:tcW w:w="2200" w:type="dxa"/>
            <w:vAlign w:val="bottom"/>
          </w:tcPr>
          <w:p>
            <w:pPr>
              <w:jc w:val="center"/>
              <w:spacing w:after="0" w:line="210" w:lineRule="exact"/>
              <w:rPr>
                <w:sz w:val="20"/>
                <w:szCs w:val="20"/>
                <w:color w:val="auto"/>
              </w:rPr>
            </w:pPr>
            <w:r>
              <w:rPr>
                <w:rFonts w:ascii="Arial" w:cs="Arial" w:eastAsia="Arial" w:hAnsi="Arial"/>
                <w:sz w:val="20"/>
                <w:szCs w:val="20"/>
                <w:color w:val="auto"/>
                <w:w w:val="89"/>
              </w:rPr>
              <w:t>47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10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A.</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Selected consolidated year-end balances</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23</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B.</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Consolidated earnings, etc.</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24</w:t>
            </w:r>
          </w:p>
        </w:tc>
        <w:tc>
          <w:tcPr>
            <w:tcW w:w="0" w:type="dxa"/>
            <w:vAlign w:val="bottom"/>
          </w:tcPr>
          <w:p>
            <w:pPr>
              <w:spacing w:after="0"/>
              <w:rPr>
                <w:sz w:val="1"/>
                <w:szCs w:val="1"/>
                <w:color w:val="auto"/>
              </w:rPr>
            </w:pPr>
          </w:p>
        </w:tc>
      </w:tr>
      <w:tr>
        <w:trPr>
          <w:trHeight w:val="211"/>
        </w:trPr>
        <w:tc>
          <w:tcPr>
            <w:tcW w:w="1100" w:type="dxa"/>
            <w:vAlign w:val="bottom"/>
          </w:tcPr>
          <w:p>
            <w:pPr>
              <w:spacing w:after="0" w:line="210" w:lineRule="exact"/>
              <w:rPr>
                <w:sz w:val="20"/>
                <w:szCs w:val="20"/>
                <w:color w:val="auto"/>
              </w:rPr>
            </w:pPr>
            <w:r>
              <w:rPr>
                <w:rFonts w:ascii="Arial" w:cs="Arial" w:eastAsia="Arial" w:hAnsi="Arial"/>
                <w:sz w:val="20"/>
                <w:szCs w:val="20"/>
                <w:color w:val="auto"/>
              </w:rPr>
              <w:t>Item 7.</w:t>
            </w:r>
          </w:p>
        </w:tc>
        <w:tc>
          <w:tcPr>
            <w:tcW w:w="5100" w:type="dxa"/>
            <w:vAlign w:val="bottom"/>
            <w:tcBorders>
              <w:bottom w:val="single" w:sz="8" w:color="0000EE"/>
            </w:tcBorders>
            <w:gridSpan w:val="20"/>
          </w:tcPr>
          <w:p>
            <w:pPr>
              <w:spacing w:after="0" w:line="210" w:lineRule="exact"/>
              <w:rPr>
                <w:rFonts w:ascii="Arial" w:cs="Arial" w:eastAsia="Arial" w:hAnsi="Arial"/>
                <w:sz w:val="20"/>
                <w:szCs w:val="20"/>
                <w:color w:val="0000EE"/>
                <w:w w:val="92"/>
              </w:rPr>
            </w:pPr>
            <w:hyperlink w:anchor="page47">
              <w:r>
                <w:rPr>
                  <w:rFonts w:ascii="Arial" w:cs="Arial" w:eastAsia="Arial" w:hAnsi="Arial"/>
                  <w:sz w:val="20"/>
                  <w:szCs w:val="20"/>
                  <w:color w:val="0000EE"/>
                  <w:w w:val="92"/>
                </w:rPr>
                <w:t>Management’s Discussion and Analysis of Financial Condition</w:t>
              </w:r>
            </w:hyperlink>
          </w:p>
        </w:tc>
        <w:tc>
          <w:tcPr>
            <w:tcW w:w="3020" w:type="dxa"/>
            <w:vAlign w:val="bottom"/>
            <w:gridSpan w:val="4"/>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00" w:type="dxa"/>
            <w:vAlign w:val="bottom"/>
            <w:gridSpan w:val="22"/>
          </w:tcPr>
          <w:p>
            <w:pPr>
              <w:spacing w:after="0" w:line="216" w:lineRule="exact"/>
              <w:rPr>
                <w:rFonts w:ascii="Arial" w:cs="Arial" w:eastAsia="Arial" w:hAnsi="Arial"/>
                <w:sz w:val="20"/>
                <w:szCs w:val="20"/>
                <w:color w:val="0000EE"/>
              </w:rPr>
            </w:pPr>
            <w:hyperlink w:anchor="page47">
              <w:r>
                <w:rPr>
                  <w:rFonts w:ascii="Arial" w:cs="Arial" w:eastAsia="Arial" w:hAnsi="Arial"/>
                  <w:sz w:val="20"/>
                  <w:szCs w:val="20"/>
                  <w:color w:val="0000EE"/>
                </w:rPr>
                <w:t>and Results of Operations</w:t>
              </w:r>
            </w:hyperlink>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93"/>
              </w:rPr>
              <w:t>47-107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7A.</w:t>
            </w:r>
          </w:p>
        </w:tc>
        <w:tc>
          <w:tcPr>
            <w:tcW w:w="8120" w:type="dxa"/>
            <w:vAlign w:val="bottom"/>
            <w:gridSpan w:val="24"/>
          </w:tcPr>
          <w:p>
            <w:pPr>
              <w:spacing w:after="0" w:line="216" w:lineRule="exact"/>
              <w:rPr>
                <w:rFonts w:ascii="Arial" w:cs="Arial" w:eastAsia="Arial" w:hAnsi="Arial"/>
                <w:sz w:val="20"/>
                <w:szCs w:val="20"/>
                <w:color w:val="0000EE"/>
              </w:rPr>
            </w:pPr>
            <w:hyperlink w:anchor="page108">
              <w:r>
                <w:rPr>
                  <w:rFonts w:ascii="Arial" w:cs="Arial" w:eastAsia="Arial" w:hAnsi="Arial"/>
                  <w:sz w:val="20"/>
                  <w:szCs w:val="20"/>
                  <w:color w:val="0000EE"/>
                </w:rPr>
                <w:t>Quantitative and Qualitative Disclosures About Market Risk</w:t>
              </w:r>
            </w:hyperlink>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108</w:t>
            </w: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8.</w:t>
            </w:r>
          </w:p>
        </w:tc>
        <w:tc>
          <w:tcPr>
            <w:tcW w:w="3740" w:type="dxa"/>
            <w:vAlign w:val="bottom"/>
            <w:tcBorders>
              <w:top w:val="single" w:sz="8" w:color="0000EE"/>
              <w:bottom w:val="single" w:sz="8" w:color="0000EE"/>
            </w:tcBorders>
            <w:gridSpan w:val="13"/>
          </w:tcPr>
          <w:p>
            <w:pPr>
              <w:spacing w:after="0" w:line="216" w:lineRule="exact"/>
              <w:rPr>
                <w:rFonts w:ascii="Arial" w:cs="Arial" w:eastAsia="Arial" w:hAnsi="Arial"/>
                <w:sz w:val="20"/>
                <w:szCs w:val="20"/>
                <w:color w:val="0000EE"/>
                <w:w w:val="89"/>
              </w:rPr>
            </w:pPr>
            <w:hyperlink w:anchor="page108">
              <w:r>
                <w:rPr>
                  <w:rFonts w:ascii="Arial" w:cs="Arial" w:eastAsia="Arial" w:hAnsi="Arial"/>
                  <w:sz w:val="20"/>
                  <w:szCs w:val="20"/>
                  <w:color w:val="0000EE"/>
                  <w:w w:val="89"/>
                </w:rPr>
                <w:t>Financial Statements and Supplementary Data</w:t>
              </w:r>
            </w:hyperlink>
          </w:p>
        </w:tc>
        <w:tc>
          <w:tcPr>
            <w:tcW w:w="1140" w:type="dxa"/>
            <w:vAlign w:val="bottom"/>
            <w:tcBorders>
              <w:top w:val="single" w:sz="8" w:color="0000EE"/>
            </w:tcBorders>
            <w:gridSpan w:val="4"/>
          </w:tcPr>
          <w:p>
            <w:pPr>
              <w:spacing w:after="0"/>
              <w:rPr>
                <w:sz w:val="18"/>
                <w:szCs w:val="18"/>
                <w:color w:val="auto"/>
              </w:rPr>
            </w:pPr>
          </w:p>
        </w:tc>
        <w:tc>
          <w:tcPr>
            <w:tcW w:w="3240" w:type="dxa"/>
            <w:vAlign w:val="bottom"/>
            <w:gridSpan w:val="7"/>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108</w:t>
            </w:r>
          </w:p>
        </w:tc>
        <w:tc>
          <w:tcPr>
            <w:tcW w:w="0" w:type="dxa"/>
            <w:vAlign w:val="bottom"/>
          </w:tcPr>
          <w:p>
            <w:pPr>
              <w:spacing w:after="0"/>
              <w:rPr>
                <w:sz w:val="1"/>
                <w:szCs w:val="1"/>
                <w:color w:val="auto"/>
              </w:rPr>
            </w:pPr>
          </w:p>
        </w:tc>
      </w:tr>
      <w:tr>
        <w:trPr>
          <w:trHeight w:val="242"/>
        </w:trPr>
        <w:tc>
          <w:tcPr>
            <w:tcW w:w="110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A.</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Report on Internal Control Over Financial Reporting</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109</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B.</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Report of Independent Registered Public Accounting Firm</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110-112</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9"/>
              </w:rPr>
              <w:t>C.</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Consolidated Balance Sheet — December 31, 2019 and 2018</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113</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9"/>
              </w:rPr>
              <w:t>D.</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w w:val="99"/>
              </w:rPr>
              <w:t>Consolidated Statement of Income — Years ended December 31, 2019, 2018 and 2017</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114</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E.</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Consolidated Statement of Comprehensive Income — Years</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900" w:type="dxa"/>
            <w:vAlign w:val="bottom"/>
            <w:gridSpan w:val="22"/>
          </w:tcPr>
          <w:p>
            <w:pPr>
              <w:ind w:left="380"/>
              <w:spacing w:after="0"/>
              <w:rPr>
                <w:sz w:val="20"/>
                <w:szCs w:val="20"/>
                <w:color w:val="auto"/>
              </w:rPr>
            </w:pPr>
            <w:r>
              <w:rPr>
                <w:rFonts w:ascii="Arial" w:cs="Arial" w:eastAsia="Arial" w:hAnsi="Arial"/>
                <w:sz w:val="20"/>
                <w:szCs w:val="20"/>
                <w:color w:val="auto"/>
              </w:rPr>
              <w:t>ended December 31, 2019, 2018 and 2017</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115</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F.</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w w:val="94"/>
              </w:rPr>
              <w:t>Consolidated Statement of Cash Flows — Years ended December 31, 2019, 2018 and 2017</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116</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4"/>
              </w:rPr>
              <w:t>G.</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w w:val="95"/>
              </w:rPr>
              <w:t>Consolidated Statement of Changes in Shareholders’ Equity — Years ended December 31,</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900" w:type="dxa"/>
            <w:vAlign w:val="bottom"/>
            <w:gridSpan w:val="22"/>
          </w:tcPr>
          <w:p>
            <w:pPr>
              <w:ind w:left="380"/>
              <w:spacing w:after="0"/>
              <w:rPr>
                <w:sz w:val="20"/>
                <w:szCs w:val="20"/>
                <w:color w:val="auto"/>
              </w:rPr>
            </w:pPr>
            <w:r>
              <w:rPr>
                <w:rFonts w:ascii="Arial" w:cs="Arial" w:eastAsia="Arial" w:hAnsi="Arial"/>
                <w:sz w:val="20"/>
                <w:szCs w:val="20"/>
                <w:color w:val="auto"/>
              </w:rPr>
              <w:t>2019, 2018 and 2017</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117</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9"/>
              </w:rPr>
              <w:t>H.</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Notes to Financial Statements</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118-194</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I.</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Quarterly Trends</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106</w:t>
            </w:r>
          </w:p>
        </w:tc>
        <w:tc>
          <w:tcPr>
            <w:tcW w:w="0" w:type="dxa"/>
            <w:vAlign w:val="bottom"/>
          </w:tcPr>
          <w:p>
            <w:pPr>
              <w:spacing w:after="0"/>
              <w:rPr>
                <w:sz w:val="1"/>
                <w:szCs w:val="1"/>
                <w:color w:val="auto"/>
              </w:rPr>
            </w:pPr>
          </w:p>
        </w:tc>
      </w:tr>
      <w:tr>
        <w:trPr>
          <w:trHeight w:val="211"/>
        </w:trPr>
        <w:tc>
          <w:tcPr>
            <w:tcW w:w="1100" w:type="dxa"/>
            <w:vAlign w:val="bottom"/>
          </w:tcPr>
          <w:p>
            <w:pPr>
              <w:spacing w:after="0" w:line="210" w:lineRule="exact"/>
              <w:rPr>
                <w:sz w:val="20"/>
                <w:szCs w:val="20"/>
                <w:color w:val="auto"/>
              </w:rPr>
            </w:pPr>
            <w:r>
              <w:rPr>
                <w:rFonts w:ascii="Arial" w:cs="Arial" w:eastAsia="Arial" w:hAnsi="Arial"/>
                <w:sz w:val="20"/>
                <w:szCs w:val="20"/>
                <w:color w:val="auto"/>
              </w:rPr>
              <w:t>Item 9.</w:t>
            </w:r>
          </w:p>
        </w:tc>
        <w:tc>
          <w:tcPr>
            <w:tcW w:w="8120" w:type="dxa"/>
            <w:vAlign w:val="bottom"/>
            <w:gridSpan w:val="24"/>
          </w:tcPr>
          <w:p>
            <w:pPr>
              <w:spacing w:after="0" w:line="210" w:lineRule="exact"/>
              <w:rPr>
                <w:rFonts w:ascii="Arial" w:cs="Arial" w:eastAsia="Arial" w:hAnsi="Arial"/>
                <w:sz w:val="20"/>
                <w:szCs w:val="20"/>
                <w:color w:val="0000EE"/>
              </w:rPr>
            </w:pPr>
            <w:hyperlink w:anchor="page195">
              <w:r>
                <w:rPr>
                  <w:rFonts w:ascii="Arial" w:cs="Arial" w:eastAsia="Arial" w:hAnsi="Arial"/>
                  <w:sz w:val="20"/>
                  <w:szCs w:val="20"/>
                  <w:color w:val="0000EE"/>
                </w:rPr>
                <w:t>Changes in and Disagreements with Accountants on Accounting</w:t>
              </w:r>
            </w:hyperlink>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980" w:type="dxa"/>
            <w:vAlign w:val="bottom"/>
            <w:tcBorders>
              <w:top w:val="single" w:sz="8" w:color="0000EE"/>
            </w:tcBorders>
            <w:gridSpan w:val="19"/>
          </w:tcPr>
          <w:p>
            <w:pPr>
              <w:spacing w:after="0" w:line="216" w:lineRule="exact"/>
              <w:rPr>
                <w:rFonts w:ascii="Arial" w:cs="Arial" w:eastAsia="Arial" w:hAnsi="Arial"/>
                <w:sz w:val="20"/>
                <w:szCs w:val="20"/>
                <w:color w:val="0000EE"/>
              </w:rPr>
            </w:pPr>
            <w:hyperlink w:anchor="page195">
              <w:r>
                <w:rPr>
                  <w:rFonts w:ascii="Arial" w:cs="Arial" w:eastAsia="Arial" w:hAnsi="Arial"/>
                  <w:sz w:val="20"/>
                  <w:szCs w:val="20"/>
                  <w:color w:val="0000EE"/>
                </w:rPr>
                <w:t>and Financial Disclosure</w:t>
              </w:r>
            </w:hyperlink>
          </w:p>
        </w:tc>
        <w:tc>
          <w:tcPr>
            <w:tcW w:w="2920" w:type="dxa"/>
            <w:vAlign w:val="bottom"/>
            <w:gridSpan w:val="3"/>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9A.</w:t>
            </w:r>
          </w:p>
        </w:tc>
        <w:tc>
          <w:tcPr>
            <w:tcW w:w="8120" w:type="dxa"/>
            <w:vAlign w:val="bottom"/>
            <w:gridSpan w:val="24"/>
          </w:tcPr>
          <w:p>
            <w:pPr>
              <w:spacing w:after="0" w:line="216" w:lineRule="exact"/>
              <w:rPr>
                <w:rFonts w:ascii="Arial" w:cs="Arial" w:eastAsia="Arial" w:hAnsi="Arial"/>
                <w:sz w:val="20"/>
                <w:szCs w:val="20"/>
                <w:color w:val="0000EE"/>
              </w:rPr>
            </w:pPr>
            <w:hyperlink w:anchor="page195">
              <w:r>
                <w:rPr>
                  <w:rFonts w:ascii="Arial" w:cs="Arial" w:eastAsia="Arial" w:hAnsi="Arial"/>
                  <w:sz w:val="20"/>
                  <w:szCs w:val="20"/>
                  <w:color w:val="0000EE"/>
                </w:rPr>
                <w:t>Controls and Procedures</w:t>
              </w:r>
            </w:hyperlink>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10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A.</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w w:val="95"/>
              </w:rPr>
              <w:t>Conclusions of principal executive officer and principal financial officer regarding disclosure</w:t>
            </w: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900" w:type="dxa"/>
            <w:vAlign w:val="bottom"/>
            <w:gridSpan w:val="22"/>
          </w:tcPr>
          <w:p>
            <w:pPr>
              <w:ind w:left="380"/>
              <w:spacing w:after="0"/>
              <w:rPr>
                <w:sz w:val="20"/>
                <w:szCs w:val="20"/>
                <w:color w:val="auto"/>
              </w:rPr>
            </w:pPr>
            <w:r>
              <w:rPr>
                <w:rFonts w:ascii="Arial" w:cs="Arial" w:eastAsia="Arial" w:hAnsi="Arial"/>
                <w:sz w:val="20"/>
                <w:szCs w:val="20"/>
                <w:color w:val="auto"/>
              </w:rPr>
              <w:t>controls and procedures</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195</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B.</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Management’s annual report on internal control over financial reporting</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195</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9"/>
              </w:rPr>
              <w:t>C.</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Attestation report of the registered public accounting firm</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195</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9"/>
              </w:rPr>
              <w:t>D.</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Changes in internal control over financial reporting</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195</w:t>
            </w:r>
          </w:p>
        </w:tc>
        <w:tc>
          <w:tcPr>
            <w:tcW w:w="0" w:type="dxa"/>
            <w:vAlign w:val="bottom"/>
          </w:tcPr>
          <w:p>
            <w:pPr>
              <w:spacing w:after="0"/>
              <w:rPr>
                <w:sz w:val="1"/>
                <w:szCs w:val="1"/>
                <w:color w:val="auto"/>
              </w:rPr>
            </w:pPr>
          </w:p>
        </w:tc>
      </w:tr>
      <w:tr>
        <w:trPr>
          <w:trHeight w:val="211"/>
        </w:trPr>
        <w:tc>
          <w:tcPr>
            <w:tcW w:w="1100" w:type="dxa"/>
            <w:vAlign w:val="bottom"/>
          </w:tcPr>
          <w:p>
            <w:pPr>
              <w:spacing w:after="0" w:line="210" w:lineRule="exact"/>
              <w:rPr>
                <w:sz w:val="20"/>
                <w:szCs w:val="20"/>
                <w:color w:val="auto"/>
              </w:rPr>
            </w:pPr>
            <w:r>
              <w:rPr>
                <w:rFonts w:ascii="Arial" w:cs="Arial" w:eastAsia="Arial" w:hAnsi="Arial"/>
                <w:sz w:val="20"/>
                <w:szCs w:val="20"/>
                <w:color w:val="auto"/>
              </w:rPr>
              <w:t>Item 9B.</w:t>
            </w:r>
          </w:p>
        </w:tc>
        <w:tc>
          <w:tcPr>
            <w:tcW w:w="8120" w:type="dxa"/>
            <w:vAlign w:val="bottom"/>
            <w:gridSpan w:val="24"/>
          </w:tcPr>
          <w:p>
            <w:pPr>
              <w:spacing w:after="0" w:line="210" w:lineRule="exact"/>
              <w:rPr>
                <w:rFonts w:ascii="Arial" w:cs="Arial" w:eastAsia="Arial" w:hAnsi="Arial"/>
                <w:sz w:val="20"/>
                <w:szCs w:val="20"/>
                <w:color w:val="0000EE"/>
              </w:rPr>
            </w:pPr>
            <w:hyperlink w:anchor="page195">
              <w:r>
                <w:rPr>
                  <w:rFonts w:ascii="Arial" w:cs="Arial" w:eastAsia="Arial" w:hAnsi="Arial"/>
                  <w:sz w:val="20"/>
                  <w:szCs w:val="20"/>
                  <w:color w:val="0000EE"/>
                </w:rPr>
                <w:t>Other Information</w:t>
              </w:r>
            </w:hyperlink>
          </w:p>
        </w:tc>
        <w:tc>
          <w:tcPr>
            <w:tcW w:w="2200" w:type="dxa"/>
            <w:vAlign w:val="bottom"/>
          </w:tcPr>
          <w:p>
            <w:pPr>
              <w:jc w:val="center"/>
              <w:spacing w:after="0" w:line="210" w:lineRule="exact"/>
              <w:rPr>
                <w:sz w:val="20"/>
                <w:szCs w:val="20"/>
                <w:color w:val="auto"/>
              </w:rPr>
            </w:pPr>
            <w:r>
              <w:rPr>
                <w:rFonts w:ascii="Arial" w:cs="Arial" w:eastAsia="Arial" w:hAnsi="Arial"/>
                <w:sz w:val="20"/>
                <w:szCs w:val="20"/>
                <w:color w:val="auto"/>
                <w:w w:val="89"/>
              </w:rPr>
              <w:t>195</w:t>
            </w: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Borders>
              <w:bottom w:val="single" w:sz="8" w:color="0000EE"/>
            </w:tcBorders>
            <w:gridSpan w:val="5"/>
          </w:tcPr>
          <w:p>
            <w:pPr>
              <w:jc w:val="center"/>
              <w:ind w:right="20"/>
              <w:spacing w:after="0" w:line="216" w:lineRule="exact"/>
              <w:rPr>
                <w:rFonts w:ascii="Arial" w:cs="Arial" w:eastAsia="Arial" w:hAnsi="Arial"/>
                <w:sz w:val="20"/>
                <w:szCs w:val="20"/>
                <w:b w:val="1"/>
                <w:bCs w:val="1"/>
                <w:color w:val="0000EE"/>
              </w:rPr>
            </w:pPr>
            <w:hyperlink w:anchor="page195">
              <w:r>
                <w:rPr>
                  <w:rFonts w:ascii="Arial" w:cs="Arial" w:eastAsia="Arial" w:hAnsi="Arial"/>
                  <w:sz w:val="20"/>
                  <w:szCs w:val="20"/>
                  <w:b w:val="1"/>
                  <w:bCs w:val="1"/>
                  <w:color w:val="0000EE"/>
                </w:rPr>
                <w:t>PART III</w:t>
              </w:r>
            </w:hyperlink>
          </w:p>
        </w:tc>
        <w:tc>
          <w:tcPr>
            <w:tcW w:w="3080" w:type="dxa"/>
            <w:vAlign w:val="bottom"/>
            <w:gridSpan w:val="5"/>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10.</w:t>
            </w:r>
          </w:p>
        </w:tc>
        <w:tc>
          <w:tcPr>
            <w:tcW w:w="4600" w:type="dxa"/>
            <w:vAlign w:val="bottom"/>
            <w:tcBorders>
              <w:bottom w:val="single" w:sz="8" w:color="0000EE"/>
            </w:tcBorders>
            <w:gridSpan w:val="16"/>
          </w:tcPr>
          <w:p>
            <w:pPr>
              <w:spacing w:after="0" w:line="216" w:lineRule="exact"/>
              <w:rPr>
                <w:rFonts w:ascii="Arial" w:cs="Arial" w:eastAsia="Arial" w:hAnsi="Arial"/>
                <w:sz w:val="20"/>
                <w:szCs w:val="20"/>
                <w:color w:val="0000EE"/>
                <w:w w:val="91"/>
              </w:rPr>
            </w:pPr>
            <w:hyperlink w:anchor="page195">
              <w:r>
                <w:rPr>
                  <w:rFonts w:ascii="Arial" w:cs="Arial" w:eastAsia="Arial" w:hAnsi="Arial"/>
                  <w:sz w:val="20"/>
                  <w:szCs w:val="20"/>
                  <w:color w:val="0000EE"/>
                  <w:w w:val="91"/>
                </w:rPr>
                <w:t>Directors, Executive Officers and Corporate Governance</w:t>
              </w:r>
            </w:hyperlink>
          </w:p>
        </w:tc>
        <w:tc>
          <w:tcPr>
            <w:tcW w:w="3520" w:type="dxa"/>
            <w:vAlign w:val="bottom"/>
            <w:gridSpan w:val="8"/>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195</w:t>
            </w: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11.</w:t>
            </w:r>
          </w:p>
        </w:tc>
        <w:tc>
          <w:tcPr>
            <w:tcW w:w="8120" w:type="dxa"/>
            <w:vAlign w:val="bottom"/>
            <w:gridSpan w:val="24"/>
          </w:tcPr>
          <w:p>
            <w:pPr>
              <w:spacing w:after="0" w:line="216" w:lineRule="exact"/>
              <w:rPr>
                <w:rFonts w:ascii="Arial" w:cs="Arial" w:eastAsia="Arial" w:hAnsi="Arial"/>
                <w:sz w:val="20"/>
                <w:szCs w:val="20"/>
                <w:color w:val="0000EE"/>
              </w:rPr>
            </w:pPr>
            <w:hyperlink w:anchor="page196">
              <w:r>
                <w:rPr>
                  <w:rFonts w:ascii="Arial" w:cs="Arial" w:eastAsia="Arial" w:hAnsi="Arial"/>
                  <w:sz w:val="20"/>
                  <w:szCs w:val="20"/>
                  <w:color w:val="0000EE"/>
                </w:rPr>
                <w:t>Executive Compensation</w:t>
              </w:r>
            </w:hyperlink>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12.</w:t>
            </w:r>
          </w:p>
        </w:tc>
        <w:tc>
          <w:tcPr>
            <w:tcW w:w="8120" w:type="dxa"/>
            <w:vAlign w:val="bottom"/>
            <w:gridSpan w:val="24"/>
          </w:tcPr>
          <w:p>
            <w:pPr>
              <w:spacing w:after="0" w:line="216" w:lineRule="exact"/>
              <w:rPr>
                <w:rFonts w:ascii="Arial" w:cs="Arial" w:eastAsia="Arial" w:hAnsi="Arial"/>
                <w:sz w:val="20"/>
                <w:szCs w:val="20"/>
                <w:color w:val="0000EE"/>
                <w:w w:val="99"/>
              </w:rPr>
            </w:pPr>
            <w:hyperlink w:anchor="page196">
              <w:r>
                <w:rPr>
                  <w:rFonts w:ascii="Arial" w:cs="Arial" w:eastAsia="Arial" w:hAnsi="Arial"/>
                  <w:sz w:val="20"/>
                  <w:szCs w:val="20"/>
                  <w:color w:val="0000EE"/>
                  <w:w w:val="99"/>
                </w:rPr>
                <w:t>Security Ownership of Certain Beneficial Owners and Management and Related Stockholder</w:t>
              </w:r>
            </w:hyperlink>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bottom w:val="single" w:sz="8" w:color="0000EE"/>
            </w:tcBorders>
          </w:tcPr>
          <w:p>
            <w:pPr>
              <w:spacing w:after="0" w:line="216" w:lineRule="exact"/>
              <w:rPr>
                <w:rFonts w:ascii="Arial" w:cs="Arial" w:eastAsia="Arial" w:hAnsi="Arial"/>
                <w:sz w:val="20"/>
                <w:szCs w:val="20"/>
                <w:color w:val="0000EE"/>
                <w:w w:val="89"/>
              </w:rPr>
            </w:pPr>
            <w:hyperlink w:anchor="page196">
              <w:r>
                <w:rPr>
                  <w:rFonts w:ascii="Arial" w:cs="Arial" w:eastAsia="Arial" w:hAnsi="Arial"/>
                  <w:sz w:val="20"/>
                  <w:szCs w:val="20"/>
                  <w:color w:val="0000EE"/>
                  <w:w w:val="89"/>
                </w:rPr>
                <w:t>Matters</w:t>
              </w:r>
            </w:hyperlink>
          </w:p>
        </w:tc>
        <w:tc>
          <w:tcPr>
            <w:tcW w:w="6660" w:type="dxa"/>
            <w:vAlign w:val="bottom"/>
            <w:tcBorders>
              <w:top w:val="single" w:sz="8" w:color="0000EE"/>
            </w:tcBorders>
            <w:gridSpan w:val="20"/>
          </w:tcPr>
          <w:p>
            <w:pPr>
              <w:spacing w:after="0"/>
              <w:rPr>
                <w:sz w:val="18"/>
                <w:szCs w:val="18"/>
                <w:color w:val="auto"/>
              </w:rPr>
            </w:pPr>
          </w:p>
        </w:tc>
        <w:tc>
          <w:tcPr>
            <w:tcW w:w="620" w:type="dxa"/>
            <w:vAlign w:val="bottom"/>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196</w:t>
            </w: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13.</w:t>
            </w:r>
          </w:p>
        </w:tc>
        <w:tc>
          <w:tcPr>
            <w:tcW w:w="8120" w:type="dxa"/>
            <w:vAlign w:val="bottom"/>
            <w:gridSpan w:val="24"/>
          </w:tcPr>
          <w:p>
            <w:pPr>
              <w:spacing w:after="0" w:line="216" w:lineRule="exact"/>
              <w:rPr>
                <w:rFonts w:ascii="Arial" w:cs="Arial" w:eastAsia="Arial" w:hAnsi="Arial"/>
                <w:sz w:val="20"/>
                <w:szCs w:val="20"/>
                <w:color w:val="0000EE"/>
              </w:rPr>
            </w:pPr>
            <w:hyperlink w:anchor="page196">
              <w:r>
                <w:rPr>
                  <w:rFonts w:ascii="Arial" w:cs="Arial" w:eastAsia="Arial" w:hAnsi="Arial"/>
                  <w:sz w:val="20"/>
                  <w:szCs w:val="20"/>
                  <w:color w:val="0000EE"/>
                </w:rPr>
                <w:t>Certain Relationships and Related Transactions, and Director Independence</w:t>
              </w:r>
            </w:hyperlink>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196</w:t>
            </w: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14.</w:t>
            </w:r>
          </w:p>
        </w:tc>
        <w:tc>
          <w:tcPr>
            <w:tcW w:w="5980" w:type="dxa"/>
            <w:vAlign w:val="bottom"/>
            <w:tcBorders>
              <w:top w:val="single" w:sz="8" w:color="0000EE"/>
            </w:tcBorders>
            <w:gridSpan w:val="22"/>
          </w:tcPr>
          <w:p>
            <w:pPr>
              <w:spacing w:after="0" w:line="216" w:lineRule="exact"/>
              <w:rPr>
                <w:rFonts w:ascii="Arial" w:cs="Arial" w:eastAsia="Arial" w:hAnsi="Arial"/>
                <w:sz w:val="20"/>
                <w:szCs w:val="20"/>
                <w:color w:val="0000EE"/>
              </w:rPr>
            </w:pPr>
            <w:hyperlink w:anchor="page196">
              <w:r>
                <w:rPr>
                  <w:rFonts w:ascii="Arial" w:cs="Arial" w:eastAsia="Arial" w:hAnsi="Arial"/>
                  <w:sz w:val="20"/>
                  <w:szCs w:val="20"/>
                  <w:color w:val="0000EE"/>
                </w:rPr>
                <w:t>Principal Accountant Fees and Services</w:t>
              </w:r>
            </w:hyperlink>
          </w:p>
        </w:tc>
        <w:tc>
          <w:tcPr>
            <w:tcW w:w="2140" w:type="dxa"/>
            <w:vAlign w:val="bottom"/>
            <w:gridSpan w:val="2"/>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196</w:t>
            </w: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20" w:type="dxa"/>
            <w:vAlign w:val="bottom"/>
            <w:gridSpan w:val="10"/>
          </w:tcPr>
          <w:p>
            <w:pPr>
              <w:jc w:val="center"/>
              <w:ind w:right="3080"/>
              <w:spacing w:after="0" w:line="216" w:lineRule="exact"/>
              <w:rPr>
                <w:rFonts w:ascii="Arial" w:cs="Arial" w:eastAsia="Arial" w:hAnsi="Arial"/>
                <w:sz w:val="20"/>
                <w:szCs w:val="20"/>
                <w:b w:val="1"/>
                <w:bCs w:val="1"/>
                <w:color w:val="0000EE"/>
              </w:rPr>
            </w:pPr>
            <w:hyperlink w:anchor="page196">
              <w:r>
                <w:rPr>
                  <w:rFonts w:ascii="Arial" w:cs="Arial" w:eastAsia="Arial" w:hAnsi="Arial"/>
                  <w:sz w:val="20"/>
                  <w:szCs w:val="20"/>
                  <w:b w:val="1"/>
                  <w:bCs w:val="1"/>
                  <w:color w:val="0000EE"/>
                </w:rPr>
                <w:t>PART IV</w:t>
              </w:r>
            </w:hyperlink>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15.</w:t>
            </w:r>
          </w:p>
        </w:tc>
        <w:tc>
          <w:tcPr>
            <w:tcW w:w="4220" w:type="dxa"/>
            <w:vAlign w:val="bottom"/>
            <w:gridSpan w:val="15"/>
          </w:tcPr>
          <w:p>
            <w:pPr>
              <w:spacing w:after="0" w:line="216" w:lineRule="exact"/>
              <w:rPr>
                <w:rFonts w:ascii="Arial" w:cs="Arial" w:eastAsia="Arial" w:hAnsi="Arial"/>
                <w:sz w:val="20"/>
                <w:szCs w:val="20"/>
                <w:color w:val="0000EE"/>
              </w:rPr>
            </w:pPr>
            <w:hyperlink w:anchor="page196">
              <w:r>
                <w:rPr>
                  <w:rFonts w:ascii="Arial" w:cs="Arial" w:eastAsia="Arial" w:hAnsi="Arial"/>
                  <w:sz w:val="20"/>
                  <w:szCs w:val="20"/>
                  <w:color w:val="0000EE"/>
                </w:rPr>
                <w:t>Exhibits and Financial Statement Schedules</w:t>
              </w:r>
            </w:hyperlink>
          </w:p>
        </w:tc>
        <w:tc>
          <w:tcPr>
            <w:tcW w:w="800" w:type="dxa"/>
            <w:vAlign w:val="bottom"/>
            <w:tcBorders>
              <w:top w:val="single" w:sz="8" w:color="0000EE"/>
            </w:tcBorders>
            <w:gridSpan w:val="3"/>
          </w:tcPr>
          <w:p>
            <w:pPr>
              <w:spacing w:after="0"/>
              <w:rPr>
                <w:sz w:val="18"/>
                <w:szCs w:val="18"/>
                <w:color w:val="auto"/>
              </w:rPr>
            </w:pPr>
          </w:p>
        </w:tc>
        <w:tc>
          <w:tcPr>
            <w:tcW w:w="3100" w:type="dxa"/>
            <w:vAlign w:val="bottom"/>
            <w:gridSpan w:val="6"/>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196-199</w:t>
            </w: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16.</w:t>
            </w:r>
          </w:p>
        </w:tc>
        <w:tc>
          <w:tcPr>
            <w:tcW w:w="3540" w:type="dxa"/>
            <w:vAlign w:val="bottom"/>
            <w:tcBorders>
              <w:top w:val="single" w:sz="8" w:color="0000EE"/>
            </w:tcBorders>
            <w:gridSpan w:val="12"/>
          </w:tcPr>
          <w:p>
            <w:pPr>
              <w:spacing w:after="0" w:line="216" w:lineRule="exact"/>
              <w:rPr>
                <w:rFonts w:ascii="Arial" w:cs="Arial" w:eastAsia="Arial" w:hAnsi="Arial"/>
                <w:sz w:val="20"/>
                <w:szCs w:val="20"/>
                <w:color w:val="0000EE"/>
              </w:rPr>
            </w:pPr>
            <w:hyperlink w:anchor="page199">
              <w:r>
                <w:rPr>
                  <w:rFonts w:ascii="Arial" w:cs="Arial" w:eastAsia="Arial" w:hAnsi="Arial"/>
                  <w:sz w:val="20"/>
                  <w:szCs w:val="20"/>
                  <w:color w:val="0000EE"/>
                </w:rPr>
                <w:t>Form 10-K Summary</w:t>
              </w:r>
            </w:hyperlink>
          </w:p>
        </w:tc>
        <w:tc>
          <w:tcPr>
            <w:tcW w:w="4580" w:type="dxa"/>
            <w:vAlign w:val="bottom"/>
            <w:gridSpan w:val="12"/>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320" w:type="dxa"/>
            <w:vAlign w:val="bottom"/>
            <w:gridSpan w:val="3"/>
          </w:tcPr>
          <w:p>
            <w:pPr>
              <w:spacing w:after="0" w:line="216" w:lineRule="exact"/>
              <w:rPr>
                <w:rFonts w:ascii="Arial" w:cs="Arial" w:eastAsia="Arial" w:hAnsi="Arial"/>
                <w:sz w:val="20"/>
                <w:szCs w:val="20"/>
                <w:color w:val="0000EE"/>
                <w:w w:val="99"/>
              </w:rPr>
            </w:pPr>
            <w:hyperlink w:anchor="page200">
              <w:r>
                <w:rPr>
                  <w:rFonts w:ascii="Arial" w:cs="Arial" w:eastAsia="Arial" w:hAnsi="Arial"/>
                  <w:sz w:val="20"/>
                  <w:szCs w:val="20"/>
                  <w:color w:val="0000EE"/>
                  <w:w w:val="99"/>
                </w:rPr>
                <w:t>SIGNATURES</w:t>
              </w:r>
            </w:hyperlink>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200-201</w:t>
            </w:r>
          </w:p>
        </w:tc>
        <w:tc>
          <w:tcPr>
            <w:tcW w:w="0" w:type="dxa"/>
            <w:vAlign w:val="bottom"/>
          </w:tcPr>
          <w:p>
            <w:pPr>
              <w:spacing w:after="0"/>
              <w:rPr>
                <w:sz w:val="1"/>
                <w:szCs w:val="1"/>
                <w:color w:val="auto"/>
              </w:rPr>
            </w:pPr>
          </w:p>
        </w:tc>
      </w:tr>
      <w:tr>
        <w:trPr>
          <w:trHeight w:val="584"/>
        </w:trPr>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660" w:type="dxa"/>
            <w:vAlign w:val="bottom"/>
            <w:gridSpan w:val="15"/>
          </w:tcPr>
          <w:p>
            <w:pPr>
              <w:jc w:val="center"/>
              <w:ind w:left="4040"/>
              <w:spacing w:after="0"/>
              <w:rPr>
                <w:sz w:val="20"/>
                <w:szCs w:val="20"/>
                <w:color w:val="auto"/>
              </w:rPr>
            </w:pPr>
            <w:r>
              <w:rPr>
                <w:rFonts w:ascii="Arial" w:cs="Arial" w:eastAsia="Arial" w:hAnsi="Arial"/>
                <w:sz w:val="18"/>
                <w:szCs w:val="18"/>
                <w:color w:val="auto"/>
                <w:w w:val="79"/>
              </w:rPr>
              <w:t>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100"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0"/>
          <w:szCs w:val="20"/>
          <w:b w:val="1"/>
          <w:bCs w:val="1"/>
          <w:color w:val="auto"/>
        </w:rPr>
        <w:t>PART I</w:t>
      </w:r>
    </w:p>
    <w:p>
      <w:pPr>
        <w:spacing w:after="0" w:line="217"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i w:val="1"/>
          <w:iCs w:val="1"/>
          <w:color w:val="auto"/>
        </w:rPr>
        <w:t>Business</w:t>
      </w:r>
      <w:r>
        <w:rPr>
          <w:rFonts w:ascii="Arial" w:cs="Arial" w:eastAsia="Arial" w:hAnsi="Arial"/>
          <w:sz w:val="16"/>
          <w:szCs w:val="16"/>
          <w:b w:val="1"/>
          <w:bCs w:val="1"/>
          <w:color w:val="auto"/>
        </w:rPr>
        <w:t>.</w:t>
      </w:r>
    </w:p>
    <w:p>
      <w:pPr>
        <w:spacing w:after="0" w:line="116"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auto"/>
        </w:rPr>
        <w:t>M&amp;T Bank Corporation (“Registrant” or “M&amp;T”) is a New York business corporation which is registered as a financial holding company under the Bank Holding Company Act of 1956, as amended (“BHCA”) and as a bank holding company (“BHC”) under Article III-A of the New York Banking Law (“Banking Law”). The principal executive offices of M&amp;T are located at One M&amp;T Plaza, Buffalo, New York 14203. M&amp;T was incorporated in November 1969. M&amp;T and its direct and indirect subsidiaries are collectively referred to herein as the “Company.” As of December 31, 2019 the Company had consolidated total assets of $119.9 billion, deposits of $94.8 billion and shareholders’ equity of $15.7 billion. The Company had 16,998 full-time and 775 part-time employees as of December 31, 2019.</w:t>
      </w:r>
    </w:p>
    <w:p>
      <w:pPr>
        <w:ind w:right="80" w:firstLine="598"/>
        <w:spacing w:after="0" w:line="246" w:lineRule="auto"/>
        <w:rPr>
          <w:sz w:val="20"/>
          <w:szCs w:val="20"/>
          <w:color w:val="auto"/>
        </w:rPr>
      </w:pPr>
      <w:r>
        <w:rPr>
          <w:rFonts w:ascii="Arial" w:cs="Arial" w:eastAsia="Arial" w:hAnsi="Arial"/>
          <w:sz w:val="20"/>
          <w:szCs w:val="20"/>
          <w:color w:val="auto"/>
        </w:rPr>
        <w:t>At December 31, 2019, M&amp;T had two wholly owned bank subsidiaries: Manufacturers and Traders Trust Company (“M&amp;T Bank”) and Wilmington Trust, National Association (“Wilmington Trust, N.A.”). The banks collectively offer a wide range of retail and commercial banking, trust and wealth management, and investment services to their customers. At December 31, 2019, M&amp;T Bank represented 99% of consolidated assets of the Company.</w:t>
      </w:r>
    </w:p>
    <w:p>
      <w:pPr>
        <w:spacing w:after="0" w:line="3" w:lineRule="exact"/>
        <w:rPr>
          <w:sz w:val="20"/>
          <w:szCs w:val="20"/>
          <w:color w:val="auto"/>
        </w:rPr>
      </w:pPr>
    </w:p>
    <w:p>
      <w:pPr>
        <w:ind w:right="140" w:firstLine="598"/>
        <w:spacing w:after="0" w:line="250" w:lineRule="auto"/>
        <w:rPr>
          <w:sz w:val="20"/>
          <w:szCs w:val="20"/>
          <w:color w:val="auto"/>
        </w:rPr>
      </w:pPr>
      <w:r>
        <w:rPr>
          <w:rFonts w:ascii="Arial" w:cs="Arial" w:eastAsia="Arial" w:hAnsi="Arial"/>
          <w:sz w:val="20"/>
          <w:szCs w:val="20"/>
          <w:color w:val="auto"/>
        </w:rPr>
        <w:t>The Company from time to time considers acquiring banks, thrift institutions, branch offices of banks or thrift institutions, or other businesses within markets currently served by the Company or in other locations that would complement the Company’s business or its geographic reach. The Company has pursued acquisition opportunities in the past, continues to review different opportunities, including the possibility of major acquisitions, and intends to continue this practice.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Subsidiaries</w:t>
      </w:r>
    </w:p>
    <w:p>
      <w:pPr>
        <w:spacing w:after="0" w:line="29"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M&amp;T Bank is a banking corporation that is incorporated under the laws of the State of New York. M&amp;T Bank is a member of the Federal Reserve System and the Federal Home Loan Bank System, and its deposits are insured by the Federal Deposit Insurance Corporation (“FDIC”) up to applicable limits. M&amp;T acquired all of the issued and outstanding shares of the capital stock of M&amp;T Bank in December 1969. The stock of M&amp;T Bank represents a major asset of M&amp;T. M&amp;T Bank operates under a charter granted by the State of New York in 1892, and the continuity of its banking business is traced to the organization of the Manufacturers and Traders Bank in 1856. The principal executive offices of M&amp;T Bank are located at One M&amp;T Plaza, Buffalo, New York 14203. As of December 31, 2019, M&amp;T Bank had 731 domestic banking offices located in New York State, Maryland, New Jersey, Pennsylvania, Delaware, Connecticut, Virginia, West Virginia, and the District of Columbia, a full-service commercial banking office in Ontario, Canada, and an office in George Town, Cayman Islands. As of December 31, 2019, M&amp;T Bank had consolidated total assets of $119.4 billion, deposits of $96.4 billion and shareholder’s equity of $15.1 billion. The deposit liabilities of M&amp;T Bank are insured by the FDIC through its Deposit Insurance Fund (“DIF”). As a commercial bank, M&amp;T Bank offers a broad range of financial services to a diverse base of consumers, businesses, professional clients, governmental entities and financial institutions located in its markets. Lending is largely focused on consumers residing in New York State, Maryland, New Jersey, Pennsylvania, Delaware, Connecticut, Virginia, West Virginia, and Washington, D.C., and on small and medium-size businesses based in those areas, although loans are originated through offices in other states and in Ontario, Canada. In addition, the Company conducts lending activities in various states through other subsidiaries. Trust and other fiduciary services are offered by M&amp;T Bank and through its wholly owned subsidiary, Wilmington Trust Company. M&amp;T Bank and certain of its subsidiaries also offer commercial mortgage loans secured by income producing properties or properties used by borrowers in a trade or business. Additional financial services are provided through other operating subsidiaries of the Company.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 w:name="page5"/>
    <w:bookmarkEnd w:id="4"/>
    <w:p>
      <w:pPr>
        <w:ind w:firstLine="598"/>
        <w:spacing w:after="0" w:line="250" w:lineRule="auto"/>
        <w:rPr>
          <w:sz w:val="20"/>
          <w:szCs w:val="20"/>
          <w:color w:val="auto"/>
        </w:rPr>
      </w:pPr>
      <w:r>
        <w:rPr>
          <w:rFonts w:ascii="Arial" w:cs="Arial" w:eastAsia="Arial" w:hAnsi="Arial"/>
          <w:sz w:val="20"/>
          <w:szCs w:val="20"/>
          <w:color w:val="auto"/>
        </w:rPr>
        <w:t>Wilmington Trust, N.A., a national banking association and a member of the Federal Reserve System and the FDIC, commenced operations on October 2, 1995. The deposit liabilities of Wilmington Trust, N.A. are insured by the FDIC through the DIF. The main office of Wilmington Trust, N.A. is located at 1100 North Market Street, Wilmington, Delaware 19890. Wilmington Trust, N.A. offers various trust and wealth management services. As of December 31, 2019, Wilmington Trust, N.A. had total assets of $4.7 billion, deposits of $3.9 billion and shareholder’s equity of $607 million.</w:t>
      </w:r>
    </w:p>
    <w:p>
      <w:pPr>
        <w:spacing w:after="0" w:line="3"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Wilmington Trust Company, a wholly owned subsidiary of M&amp;T Bank, was incorporated as a Delaware bank and trust company in March 1901 and amended its charter in July 2011 to become a nondepository trust company. Wilmington Trust Company provides a variety of Delaware based trust, fiduciary and custodial services to its clients. As of December 31, 2019, Wilmington Trust Company had total assets of $1.1 billion and shareholder’s equity of $632 million. Revenues of Wilmington Trust Company were $131 million in 2019. The headquarters of Wilmington Trust Company are located at 1100 North Market Street, Wilmington, Delaware 19890.</w:t>
      </w:r>
    </w:p>
    <w:p>
      <w:pPr>
        <w:spacing w:after="0" w:line="4" w:lineRule="exact"/>
        <w:rPr>
          <w:sz w:val="20"/>
          <w:szCs w:val="20"/>
          <w:color w:val="auto"/>
        </w:rPr>
      </w:pPr>
    </w:p>
    <w:p>
      <w:pPr>
        <w:ind w:right="260" w:firstLine="598"/>
        <w:spacing w:after="0" w:line="246" w:lineRule="auto"/>
        <w:rPr>
          <w:sz w:val="20"/>
          <w:szCs w:val="20"/>
          <w:color w:val="auto"/>
        </w:rPr>
      </w:pPr>
      <w:r>
        <w:rPr>
          <w:rFonts w:ascii="Arial" w:cs="Arial" w:eastAsia="Arial" w:hAnsi="Arial"/>
          <w:sz w:val="20"/>
          <w:szCs w:val="20"/>
          <w:color w:val="auto"/>
        </w:rPr>
        <w:t>M&amp;T Insurance Agency, Inc. (“M&amp;T Insurance Agency”), a wholly owned insurance agency subsidiary of M&amp;T Bank, was incorporated as a New York corporation in March 1955. M&amp;T Insurance Agency provides insurance agency services principally to the commercial market. As of December 31, 2019, M&amp;T Insurance Agency had assets of $42 million and shareholder’s equity of $23 million. M&amp;T Insurance Agency recorded revenues of $37 million during 2019. The headquarters of M&amp;T Insurance Agency are located at 285 Delaware Avenue, Buffalo, New York 14202.</w:t>
      </w:r>
    </w:p>
    <w:p>
      <w:pPr>
        <w:spacing w:after="0" w:line="4" w:lineRule="exact"/>
        <w:rPr>
          <w:sz w:val="20"/>
          <w:szCs w:val="20"/>
          <w:color w:val="auto"/>
        </w:rPr>
      </w:pPr>
    </w:p>
    <w:p>
      <w:pPr>
        <w:ind w:right="120" w:firstLine="598"/>
        <w:spacing w:after="0" w:line="246" w:lineRule="auto"/>
        <w:rPr>
          <w:sz w:val="20"/>
          <w:szCs w:val="20"/>
          <w:color w:val="auto"/>
        </w:rPr>
      </w:pPr>
      <w:r>
        <w:rPr>
          <w:rFonts w:ascii="Arial" w:cs="Arial" w:eastAsia="Arial" w:hAnsi="Arial"/>
          <w:sz w:val="20"/>
          <w:szCs w:val="20"/>
          <w:color w:val="auto"/>
        </w:rPr>
        <w:t>M&amp;T Real Estate Trust (“M&amp;T Real Estate”) was a Maryland Real Estate Investment Trust that traced its origin to the incorporation of M&amp;T Real Estate, Inc. in July 1995. M&amp;T Real Estate engaged in commercial real estate lending and provided loan servicing to M&amp;T Bank. M&amp;T Real Estate was merged into M&amp;T Bank effective September 1, 2019. Prior to its merger with M&amp;T Bank, M&amp;T Real Estate recorded $821 million of revenue in 2019.</w:t>
      </w:r>
    </w:p>
    <w:p>
      <w:pPr>
        <w:spacing w:after="0" w:line="3" w:lineRule="exact"/>
        <w:rPr>
          <w:sz w:val="20"/>
          <w:szCs w:val="20"/>
          <w:color w:val="auto"/>
        </w:rPr>
      </w:pPr>
    </w:p>
    <w:p>
      <w:pPr>
        <w:ind w:right="160" w:firstLine="598"/>
        <w:spacing w:after="0" w:line="246" w:lineRule="auto"/>
        <w:rPr>
          <w:sz w:val="20"/>
          <w:szCs w:val="20"/>
          <w:color w:val="auto"/>
        </w:rPr>
      </w:pPr>
      <w:r>
        <w:rPr>
          <w:rFonts w:ascii="Arial" w:cs="Arial" w:eastAsia="Arial" w:hAnsi="Arial"/>
          <w:sz w:val="20"/>
          <w:szCs w:val="20"/>
          <w:color w:val="auto"/>
        </w:rPr>
        <w:t>M&amp;T Realty Capital Corporation (“M&amp;T Realty Capital”), a wholly owned subsidiary of M&amp;T Bank, was incorporated as a Maryland corporation in October 1973. M&amp;T Realty Capital engages in multifamily commercial real estate lending and provides loan servicing to purchasers of the loans it originates. As of December 31, 2019, M&amp;T Realty Capital serviced or sub-serviced $21.0 billion of commercial mortgage loans for non-affiliates and had assets of $510 million and shareholder’s equity of $180 million. M&amp;T Realty Capital recorded revenues of $174 million in 2019. The headquarters of M&amp;T Realty Capital are located at One Light Street, Baltimore, Maryland 21202.</w:t>
      </w:r>
    </w:p>
    <w:p>
      <w:pPr>
        <w:spacing w:after="0" w:line="5" w:lineRule="exact"/>
        <w:rPr>
          <w:sz w:val="20"/>
          <w:szCs w:val="20"/>
          <w:color w:val="auto"/>
        </w:rPr>
      </w:pPr>
    </w:p>
    <w:p>
      <w:pPr>
        <w:ind w:right="60" w:firstLine="598"/>
        <w:spacing w:after="0" w:line="246" w:lineRule="auto"/>
        <w:rPr>
          <w:sz w:val="20"/>
          <w:szCs w:val="20"/>
          <w:color w:val="auto"/>
        </w:rPr>
      </w:pPr>
      <w:r>
        <w:rPr>
          <w:rFonts w:ascii="Arial" w:cs="Arial" w:eastAsia="Arial" w:hAnsi="Arial"/>
          <w:sz w:val="20"/>
          <w:szCs w:val="20"/>
          <w:color w:val="auto"/>
        </w:rPr>
        <w:t>M&amp;T Securities, Inc. (“M&amp;T Securities”) is a wholly owned subsidiary of M&amp;T Bank that was incorporated as a New York business corporation in November 1985. M&amp;T Securities is registered as a broker/dealer under the Securities Exchange Act of 1934, as amended, and as an investment advisor under the Investment Advisors Act of 1940, as amended (the “Investment Advisors Act”). M&amp;T Securities is licensed as a life insurance agent in each state where M&amp;T Bank operates branch offices and in a number of other states. It provides securities brokerage, investment advisory and insurance services. As of December 31, 2019, M&amp;T Securities had assets of $55 million and shareholder’s equity of $44 million. M&amp;T Securities recorded $94 million of revenue during 2019. The headquarters of M&amp;T Securities are located at 285 Delaware Avenue, Buffalo, New York 14202.</w:t>
      </w:r>
    </w:p>
    <w:p>
      <w:pPr>
        <w:spacing w:after="0" w:line="5" w:lineRule="exact"/>
        <w:rPr>
          <w:sz w:val="20"/>
          <w:szCs w:val="20"/>
          <w:color w:val="auto"/>
        </w:rPr>
      </w:pPr>
    </w:p>
    <w:p>
      <w:pPr>
        <w:ind w:right="80" w:firstLine="598"/>
        <w:spacing w:after="0" w:line="249" w:lineRule="auto"/>
        <w:rPr>
          <w:sz w:val="20"/>
          <w:szCs w:val="20"/>
          <w:color w:val="auto"/>
        </w:rPr>
      </w:pPr>
      <w:r>
        <w:rPr>
          <w:rFonts w:ascii="Arial" w:cs="Arial" w:eastAsia="Arial" w:hAnsi="Arial"/>
          <w:sz w:val="20"/>
          <w:szCs w:val="20"/>
          <w:color w:val="auto"/>
        </w:rPr>
        <w:t>Wilmington Trust Investment Advisors, Inc. (“WT Investment Advisors”), a wholly owned subsidiary of M&amp;T Bank, was incorporated as a Maryland corporation on June 30, 1995. WT Investment Advisors, a registered investment advisor under the Investment Advisors Act, serves as an investment advisor to the Wilmington Funds, a family of proprietary mutual funds, and institutional clients. As of December 31, 2019, WT Investment Advisors had assets of $54 million and shareholder’s equity of $45 million. WT Investment Advisors recorded revenues of $38 million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 w:name="page6"/>
    <w:bookmarkEnd w:id="5"/>
    <w:p>
      <w:pPr>
        <w:ind w:left="600" w:right="560" w:hanging="597"/>
        <w:spacing w:after="0" w:line="284" w:lineRule="auto"/>
        <w:rPr>
          <w:sz w:val="20"/>
          <w:szCs w:val="20"/>
          <w:color w:val="auto"/>
        </w:rPr>
      </w:pPr>
      <w:r>
        <w:rPr>
          <w:rFonts w:ascii="Arial" w:cs="Arial" w:eastAsia="Arial" w:hAnsi="Arial"/>
          <w:sz w:val="18"/>
          <w:szCs w:val="18"/>
          <w:color w:val="auto"/>
        </w:rPr>
        <w:t>in 2019. The headquarters of WT Investment Advisors are located at 1100 North Market Street, Wilmington, Delaware 19890. Wilmington Funds Management Corporation (“Wilmington Funds Management”) is a wholly owned subsidiary of M&amp;T that was</w:t>
      </w:r>
    </w:p>
    <w:p>
      <w:pPr>
        <w:spacing w:after="0" w:line="1"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incorporated in September 1981 as a Delaware corporation. Wilmington Funds Management is registered as an investment advisor under the Investment Advisors Act and serves as an investment advisor to the Wilmington Funds. Wilmington Funds Management had assets and shareholder’s equity of $63 million and $62 million, respectively, as of December 31, 2019. Wilmington Funds Management recorded revenues of $25 million in 2019. The headquarters of Wilmington Funds Management are located at 1100 North Market Street, Wilmington, Delaware 19890.</w:t>
      </w:r>
    </w:p>
    <w:p>
      <w:pPr>
        <w:spacing w:after="0" w:line="4" w:lineRule="exact"/>
        <w:rPr>
          <w:sz w:val="20"/>
          <w:szCs w:val="20"/>
          <w:color w:val="auto"/>
        </w:rPr>
      </w:pPr>
    </w:p>
    <w:p>
      <w:pPr>
        <w:ind w:right="20" w:firstLine="598"/>
        <w:spacing w:after="0" w:line="246" w:lineRule="auto"/>
        <w:rPr>
          <w:sz w:val="20"/>
          <w:szCs w:val="20"/>
          <w:color w:val="auto"/>
        </w:rPr>
      </w:pPr>
      <w:r>
        <w:rPr>
          <w:rFonts w:ascii="Arial" w:cs="Arial" w:eastAsia="Arial" w:hAnsi="Arial"/>
          <w:sz w:val="20"/>
          <w:szCs w:val="20"/>
          <w:color w:val="auto"/>
        </w:rPr>
        <w:t>Wilmington Trust Investment Management, LLC (“WTIM”) is a wholly owned subsidiary of M&amp;T and was incorporated in December 2001 as a Georgia limited liability company. WTIM is a registered investment advisor under the Investment Advisors Act and provides investment management services to clients, including certain private funds. As of December 31, 2019, WTIM has assets and shareholder’s equity of $22 million. WTIM recorded revenues of $4 million in 2019. WTIM’s headquarters is located at Terminus 27</w:t>
      </w:r>
      <w:r>
        <w:rPr>
          <w:rFonts w:ascii="Arial" w:cs="Arial" w:eastAsia="Arial" w:hAnsi="Arial"/>
          <w:sz w:val="17"/>
          <w:szCs w:val="17"/>
          <w:color w:val="auto"/>
        </w:rPr>
        <w:t>th</w:t>
      </w:r>
      <w:r>
        <w:rPr>
          <w:rFonts w:ascii="Arial" w:cs="Arial" w:eastAsia="Arial" w:hAnsi="Arial"/>
          <w:sz w:val="20"/>
          <w:szCs w:val="20"/>
          <w:color w:val="auto"/>
        </w:rPr>
        <w:t xml:space="preserve"> Floor, 3280 Peachtree Road N.E., Atlanta, Georgia 30305.</w:t>
      </w:r>
    </w:p>
    <w:p>
      <w:pPr>
        <w:spacing w:after="0" w:line="4" w:lineRule="exact"/>
        <w:rPr>
          <w:sz w:val="20"/>
          <w:szCs w:val="20"/>
          <w:color w:val="auto"/>
        </w:rPr>
      </w:pPr>
    </w:p>
    <w:p>
      <w:pPr>
        <w:ind w:right="160" w:firstLine="598"/>
        <w:spacing w:after="0" w:line="251" w:lineRule="auto"/>
        <w:rPr>
          <w:sz w:val="20"/>
          <w:szCs w:val="20"/>
          <w:color w:val="auto"/>
        </w:rPr>
      </w:pPr>
      <w:r>
        <w:rPr>
          <w:rFonts w:ascii="Arial" w:cs="Arial" w:eastAsia="Arial" w:hAnsi="Arial"/>
          <w:sz w:val="20"/>
          <w:szCs w:val="20"/>
          <w:color w:val="auto"/>
        </w:rPr>
        <w:t>The Registrant and its banking subsidiaries have a number of other special-purpose or inactive subsidiaries. These other subsidiaries did not represent, individually and collectively, a significant portion of the Company’s consolidated assets, net income and shareholders’ equity at December 31, 2019.</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Information, Principal Products/Services and Foreign Operations</w:t>
      </w:r>
    </w:p>
    <w:p>
      <w:pPr>
        <w:spacing w:after="0" w:line="29"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Information about the Registrant’s business segments is included in note 22 of Notes to Financial Statements filed herewith in Part II, Item 8, “Financial Statements and Supplementary Data” and is further discussed in Part II, Item 7, “Management’s Discussion and Analysis of Financial Condition and Results of Operations.” The Registrant’s reportable segments have been determined based upon its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 The Company’s international activities are discussed in note 17 of Notes to Financial Statements filed herewith in Part II, Item 8, “Financial Statements and Supplementary Data.”</w:t>
      </w:r>
    </w:p>
    <w:p>
      <w:pPr>
        <w:spacing w:after="0" w:line="2" w:lineRule="exact"/>
        <w:rPr>
          <w:sz w:val="20"/>
          <w:szCs w:val="20"/>
          <w:color w:val="auto"/>
        </w:rPr>
      </w:pPr>
    </w:p>
    <w:p>
      <w:pPr>
        <w:ind w:right="40" w:firstLine="598"/>
        <w:spacing w:after="0" w:line="251" w:lineRule="auto"/>
        <w:rPr>
          <w:sz w:val="20"/>
          <w:szCs w:val="20"/>
          <w:color w:val="auto"/>
        </w:rPr>
      </w:pPr>
      <w:r>
        <w:rPr>
          <w:rFonts w:ascii="Arial" w:cs="Arial" w:eastAsia="Arial" w:hAnsi="Arial"/>
          <w:sz w:val="20"/>
          <w:szCs w:val="20"/>
          <w:color w:val="auto"/>
        </w:rPr>
        <w:t>The only activity that, as a class, contributed 10% or more of the sum of consolidated interest income and other income in any of the last three years was interest on loans. The amount of income from such sources during those years is set forth on the Company’s Consolidated Statement of Income filed herewith in Part II, Item 8, “Financial Statements and Supplementary Data.”</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Supervision and Regulation of the Company</w:t>
      </w:r>
    </w:p>
    <w:p>
      <w:pPr>
        <w:spacing w:after="0" w:line="2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M&amp;T and its subsidiaries are subject to the comprehensive regulatory framework applicable to bank and financial holding companies and their subsidiaries. Regulation of financial institutions such as M&amp;T and its subsidiaries is intended primarily for the protection of depositors, the FDIC’s DIF and the banking and financial system as a whole, and generally is not intended for the protection of shareholders, investors or creditors other than insured depositors.</w:t>
      </w:r>
    </w:p>
    <w:p>
      <w:pPr>
        <w:spacing w:after="0" w:line="3" w:lineRule="exact"/>
        <w:rPr>
          <w:sz w:val="20"/>
          <w:szCs w:val="20"/>
          <w:color w:val="auto"/>
        </w:rPr>
      </w:pPr>
    </w:p>
    <w:p>
      <w:pPr>
        <w:ind w:right="240" w:firstLine="598"/>
        <w:spacing w:after="0" w:line="293" w:lineRule="auto"/>
        <w:rPr>
          <w:sz w:val="20"/>
          <w:szCs w:val="20"/>
          <w:color w:val="auto"/>
        </w:rPr>
      </w:pPr>
      <w:r>
        <w:rPr>
          <w:rFonts w:ascii="Arial" w:cs="Arial" w:eastAsia="Arial" w:hAnsi="Arial"/>
          <w:sz w:val="18"/>
          <w:szCs w:val="18"/>
          <w:color w:val="auto"/>
        </w:rPr>
        <w:t>Proposals to change the applicable regulatory framework may be introduced in the United States Congress and state legislatures, as well as by regulatory agencies. Such initiatives may include proposals to expand or contract the powers of bank holding companies and depository institutions or proposals to substantially change the financial institution regulatory system. Such legislation could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 w:name="page7"/>
    <w:bookmarkEnd w:id="6"/>
    <w:p>
      <w:pPr>
        <w:ind w:right="220"/>
        <w:spacing w:after="0" w:line="279" w:lineRule="auto"/>
        <w:rPr>
          <w:sz w:val="20"/>
          <w:szCs w:val="20"/>
          <w:color w:val="auto"/>
        </w:rPr>
      </w:pPr>
      <w:r>
        <w:rPr>
          <w:rFonts w:ascii="Arial" w:cs="Arial" w:eastAsia="Arial" w:hAnsi="Arial"/>
          <w:sz w:val="18"/>
          <w:szCs w:val="18"/>
          <w:color w:val="auto"/>
        </w:rPr>
        <w:t>change banking statutes and the operating environment of the Company in substantial and unpredictable ways. If enacted, such legislation could increase or decrease the cost of doing business, limit or expand permissible activities or affect the competitive balance among banks, savings associations, credit unions, and other financial institutions. A change in statutes, regulations or regulatory policies applicable to M&amp;T or any of its subsidiaries could have a material effect on the business, financial condition or results of operations of the Company.</w:t>
      </w:r>
    </w:p>
    <w:p>
      <w:pPr>
        <w:spacing w:after="0" w:line="2" w:lineRule="exact"/>
        <w:rPr>
          <w:sz w:val="20"/>
          <w:szCs w:val="20"/>
          <w:color w:val="auto"/>
        </w:rPr>
      </w:pPr>
    </w:p>
    <w:p>
      <w:pPr>
        <w:ind w:firstLine="598"/>
        <w:spacing w:after="0" w:line="251" w:lineRule="auto"/>
        <w:rPr>
          <w:sz w:val="20"/>
          <w:szCs w:val="20"/>
          <w:color w:val="auto"/>
        </w:rPr>
      </w:pPr>
      <w:r>
        <w:rPr>
          <w:rFonts w:ascii="Arial" w:cs="Arial" w:eastAsia="Arial" w:hAnsi="Arial"/>
          <w:sz w:val="20"/>
          <w:szCs w:val="20"/>
          <w:color w:val="auto"/>
        </w:rPr>
        <w:t>Described hereafter are material elements of the significant federal and state laws and regulations applicable to M&amp;T and its subsidiaries. The descriptions are not intended to be complete and are qualified in their entirety by reference to the full text of the statutes and regulations described and do not include all pending or proposed changes in current laws or regulations.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9"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M&amp;T is registered with the Board of Governors of the Federal Reserve System (“Federal Reserve”) as a financial holding company and BHC under the BHCA. As such, M&amp;T and its subsidiaries are subject to the supervision, examination, reporting, capital and other requirements of the BHCA and the regulations of the Federal Reserve. In addition, M&amp;T’s banking subsidiaries are subject to regulation, supervision and examination by, as applicable, the New York State Department of Financial Services (“NYSDFS”), the Office of the Comptroller of the Currency (“OCC”), the FDIC and the Federal Reserve and their consumer financial products and services are regulated by the Consumer Financial Protection Bureau (“CFPB”). Further, financial services entities such as M&amp;T’s investment advisor subsidiaries and M&amp;T’s broker-dealer are subject to regulation by the Securities and Exchange Commission (“SEC”), the Financial Industry Regulatory Authority (“FINRA”), and the Securities Investor Protection Corporation (“SIPC”), among others. Other non-bank affiliates and activities, particularly insurance brokerage and agency activities, are subject to other federal and state laws and regulations as well as licensing and regulation by state insurance and bank regulatory agencies. Although the scope of regulation and form of supervision may vary from state to state, insurance laws generally grant broad discretion to regulatory authorities in adopting regulations and supervising regulated activities. This supervision generally includes the licensing of insurance brokers and agents and the regulation of the handling of customer funds held in a fiduciary capacity as well as regulations requiring, among other things, maintenance of capital, record keeping, and reporting.</w:t>
      </w:r>
    </w:p>
    <w:p>
      <w:pPr>
        <w:spacing w:after="0" w:line="3" w:lineRule="exact"/>
        <w:rPr>
          <w:sz w:val="20"/>
          <w:szCs w:val="20"/>
          <w:color w:val="auto"/>
        </w:rPr>
      </w:pPr>
    </w:p>
    <w:p>
      <w:pPr>
        <w:ind w:right="220" w:firstLine="598"/>
        <w:spacing w:after="0" w:line="274" w:lineRule="auto"/>
        <w:rPr>
          <w:sz w:val="20"/>
          <w:szCs w:val="20"/>
          <w:color w:val="auto"/>
        </w:rPr>
      </w:pPr>
      <w:r>
        <w:rPr>
          <w:rFonts w:ascii="Arial" w:cs="Arial" w:eastAsia="Arial" w:hAnsi="Arial"/>
          <w:sz w:val="18"/>
          <w:szCs w:val="18"/>
          <w:color w:val="auto"/>
        </w:rPr>
        <w:t>M&amp;T Bank is a New York chartered bank and a member of the Federal Reserve. As a result, it is subject to extensive regulation, examination and oversight by the NYSDFS and the Federal Reserve Bank of New York. New York laws and regulations govern many aspects of M&amp;T Bank’s operations, including branching, dividends, subsidiary activities, fiduciary activities, lending, and deposit taking. M&amp;T Bank is also subject to Federal Reserve regulations and guidance, including with respect to capital levels. Its deposits are insured by the FDIC to $250,000 per depositor, which also exercises regulatory oversight over certain aspects of M&amp;T Bank’s operations. Certain subsidiaries of M&amp;T Bank are subject to regulation by other federal and state regulators as well. For example, M&amp;T Securities is regulated by the SEC, FINRA, SIPC, and state securities regulators, and WT Investment Advisors is also subject to SEC regulation.</w:t>
      </w:r>
    </w:p>
    <w:p>
      <w:pPr>
        <w:spacing w:after="0" w:line="1" w:lineRule="exact"/>
        <w:rPr>
          <w:sz w:val="20"/>
          <w:szCs w:val="20"/>
          <w:color w:val="auto"/>
        </w:rPr>
      </w:pPr>
    </w:p>
    <w:p>
      <w:pPr>
        <w:ind w:right="180" w:firstLine="598"/>
        <w:spacing w:after="0" w:line="286" w:lineRule="auto"/>
        <w:rPr>
          <w:sz w:val="20"/>
          <w:szCs w:val="20"/>
          <w:color w:val="auto"/>
        </w:rPr>
      </w:pPr>
      <w:r>
        <w:rPr>
          <w:rFonts w:ascii="Arial" w:cs="Arial" w:eastAsia="Arial" w:hAnsi="Arial"/>
          <w:sz w:val="18"/>
          <w:szCs w:val="18"/>
          <w:color w:val="auto"/>
        </w:rPr>
        <w:t>Wilmington Trust, N.A. is a national bank with operations that include fiduciary and related activities with limited lending and deposit business. It is subject to extensive regulation, examination and oversight by the OCC which governs many aspects of its operations, including fiduciary activities, capital levels, office locations, dividends and subsidiary activities. Its deposits are insured by the FDIC to $250,000 per depositor, which also exercises regulatory oversight over certain aspects of the operations of Wilmington Trust, N.A.</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Enhanced Prudential Standards</w:t>
      </w:r>
    </w:p>
    <w:p>
      <w:pPr>
        <w:spacing w:after="0" w:line="29"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Under Section 165 of the Dodd-Frank Wall Street Reform and Consumer Protection Act (“Dodd-Frank Act”), as amended by the Economic Growth, Regulatory Relief, and Consumer Protection Act of 2018 (“EGRRCPA”), U.S. bank holding companies with total consolidated assets of $100 billion or more, including M&amp;T, are currently subject to enhanced prudential standards. The enhanced prudential standards include risk-based capital and leverage requirements, liquidity standards, risk management and risk committee requirements, stress test requirements and a debt-to-equity limit for companies that the Financial Stability Oversight Council has determined would pose a grave threat to systemic financial stability were they to fail such limits.</w:t>
      </w:r>
    </w:p>
    <w:p>
      <w:pPr>
        <w:spacing w:after="0" w:line="5"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In October 2019, the Federal Reserve and the other Federal bank regulators adopted rules that tailor the application of the enhanced prudential standards to bank holding companies and of capital and liquidity requirements to bank holding companies and depository institutions (the “Tailoring Rules”). The Tailoring Rules assign each U.S. BHC with $100 billion or more in total consolidated assets, as well as its bank subsidiaries, to one of four categories based on its size and five other risk-based indicators: (1) cross-jurisdictional activity, (2) weighted short-term wholesale funding, (3) nonbank assets, (4) off-balance sheet exposure, and (5) status as a U.S. global systemically important BHC (“G-SIB”). Under the Tailoring Rules, M&amp;T (and, pursuant to the Tailoring Rules, its depository institution subsidiaries) is subject to Category IV standards, which apply to banking organizations with at least $100 billion in total consolidated assets that do not meet any of the thresholds specified for Categories I through III.</w:t>
      </w:r>
    </w:p>
    <w:p>
      <w:pPr>
        <w:spacing w:after="0" w:line="6" w:lineRule="exact"/>
        <w:rPr>
          <w:sz w:val="20"/>
          <w:szCs w:val="20"/>
          <w:color w:val="auto"/>
        </w:rPr>
      </w:pPr>
    </w:p>
    <w:p>
      <w:pPr>
        <w:ind w:right="100" w:firstLine="598"/>
        <w:spacing w:after="0" w:line="274" w:lineRule="auto"/>
        <w:rPr>
          <w:sz w:val="20"/>
          <w:szCs w:val="20"/>
          <w:color w:val="auto"/>
        </w:rPr>
      </w:pPr>
      <w:r>
        <w:rPr>
          <w:rFonts w:ascii="Arial" w:cs="Arial" w:eastAsia="Arial" w:hAnsi="Arial"/>
          <w:sz w:val="18"/>
          <w:szCs w:val="18"/>
          <w:color w:val="auto"/>
        </w:rPr>
        <w:t>Under the Tailoring Rules, Category IV firms, among other things, (1) are not subject to any Liquidity Coverage Ratio (“LCR”) (or, in certain cases, subject to reduced requirements), (2) remain eligible to opt-out of the requirement to recognize most elements of Accumulated Other Comprehensive Income (“AOCI”) in regulatory capital, (3) are no longer subject to company-run stress testing requirements, (4) are subject to supervisory stress testing on a biennial basis rather than an annual basis, (5) are subject to requirements to develop and maintain a capital plan on an annual basis and (6) are subject to certain liquidity risk management and risk committee requirements. Category IV firms continue not to be subject to (1) advanced approaches capital requirements, (2) the supplementary leverage ratio and (3) the countercyclical capital buffer. Other elements of the Tailoring Rules are discussed in further detail throughout this section.</w:t>
      </w:r>
    </w:p>
    <w:p>
      <w:pPr>
        <w:spacing w:after="0" w:line="1" w:lineRule="exact"/>
        <w:rPr>
          <w:sz w:val="20"/>
          <w:szCs w:val="20"/>
          <w:color w:val="auto"/>
        </w:rPr>
      </w:pPr>
    </w:p>
    <w:p>
      <w:pPr>
        <w:ind w:right="360" w:firstLine="598"/>
        <w:spacing w:after="0" w:line="251" w:lineRule="auto"/>
        <w:rPr>
          <w:sz w:val="20"/>
          <w:szCs w:val="20"/>
          <w:color w:val="auto"/>
        </w:rPr>
      </w:pPr>
      <w:r>
        <w:rPr>
          <w:rFonts w:ascii="Arial" w:cs="Arial" w:eastAsia="Arial" w:hAnsi="Arial"/>
          <w:sz w:val="20"/>
          <w:szCs w:val="20"/>
          <w:color w:val="auto"/>
        </w:rPr>
        <w:t>M&amp;T will continue to evaluate the impact of any changes in law and any new regulations promulgated, including changes in regulatory costs and fees, modifications to consumer products or disclosures required by the CFPB and the requirements of the enhanced supervision provisions, among others.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Permissible Activities under the BHC Act</w:t>
      </w:r>
    </w:p>
    <w:p>
      <w:pPr>
        <w:spacing w:after="0" w:line="29" w:lineRule="exact"/>
        <w:rPr>
          <w:sz w:val="20"/>
          <w:szCs w:val="20"/>
          <w:color w:val="auto"/>
        </w:rPr>
      </w:pPr>
    </w:p>
    <w:p>
      <w:pPr>
        <w:ind w:right="160"/>
        <w:spacing w:after="0" w:line="259" w:lineRule="auto"/>
        <w:rPr>
          <w:sz w:val="20"/>
          <w:szCs w:val="20"/>
          <w:color w:val="auto"/>
        </w:rPr>
      </w:pPr>
      <w:r>
        <w:rPr>
          <w:rFonts w:ascii="Arial" w:cs="Arial" w:eastAsia="Arial" w:hAnsi="Arial"/>
          <w:sz w:val="19"/>
          <w:szCs w:val="19"/>
          <w:color w:val="auto"/>
        </w:rPr>
        <w:t>In general, the BHCA limits the business of a BHC to banking, managing or controlling banks, and other activities that the Federal Reserve has determined to be so closely related to banking as to be a proper incident thereto. In addition, bank holding companies are expected to serve as a managerial and financial source of strength to their subsidiary depository institutions, including committing resources to support such subsidiaries. This support may be required at times when M&amp;T may not be inclined or able to provide it. In addition, any capital loans by a BHC to a subsidiary bank are subordinate in right of payment to deposits and to certain other indebtedness of such subsidiary bank. In the event of a BHC’s bankruptcy, any commitment by the BHC to a federal bank regulatory agency to maintain the capital of a subsidiary bank will be assumed by the bankruptcy trustee and entitled to a priority of payment.</w:t>
      </w:r>
    </w:p>
    <w:p>
      <w:pPr>
        <w:spacing w:after="0" w:line="5" w:lineRule="exact"/>
        <w:rPr>
          <w:sz w:val="20"/>
          <w:szCs w:val="20"/>
          <w:color w:val="auto"/>
        </w:rPr>
      </w:pPr>
    </w:p>
    <w:p>
      <w:pPr>
        <w:jc w:val="both"/>
        <w:ind w:firstLine="598"/>
        <w:spacing w:after="0" w:line="251" w:lineRule="auto"/>
        <w:rPr>
          <w:sz w:val="20"/>
          <w:szCs w:val="20"/>
          <w:color w:val="auto"/>
        </w:rPr>
      </w:pPr>
      <w:r>
        <w:rPr>
          <w:rFonts w:ascii="Arial" w:cs="Arial" w:eastAsia="Arial" w:hAnsi="Arial"/>
          <w:sz w:val="20"/>
          <w:szCs w:val="20"/>
          <w:color w:val="auto"/>
        </w:rPr>
        <w:t>Bank holding companies that qualify and elect to be financial holding companies may engage in any activity, or acquire and retain the shares of a company engaged in any activity, that is either (i) financial in nature or incidental to such financial activity (as determined by the Federal Reserve,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00"/>
          </w:cols>
          <w:pgMar w:left="240" w:top="332" w:right="259" w:bottom="1440" w:gutter="0" w:footer="0" w:header="0"/>
        </w:sectPr>
      </w:pPr>
    </w:p>
    <w:bookmarkStart w:id="8" w:name="page9"/>
    <w:bookmarkEnd w:id="8"/>
    <w:p>
      <w:pPr>
        <w:ind w:right="220"/>
        <w:spacing w:after="0" w:line="281" w:lineRule="auto"/>
        <w:rPr>
          <w:sz w:val="20"/>
          <w:szCs w:val="20"/>
          <w:color w:val="auto"/>
        </w:rPr>
      </w:pPr>
      <w:r>
        <w:rPr>
          <w:rFonts w:ascii="Arial" w:cs="Arial" w:eastAsia="Arial" w:hAnsi="Arial"/>
          <w:sz w:val="18"/>
          <w:szCs w:val="18"/>
          <w:color w:val="auto"/>
        </w:rPr>
        <w:t>by regulation or order, in consultation with the Secretary of the Treasury) or (ii) complementary to a financial activity and does not pose a substantial risk to the safety and soundness of depository institutions or the financial system generally (as solely determined by the Federal Reserve). Activities that are financial in nature include securities underwriting and dealing, insurance underwriting and merchant banking.</w:t>
      </w:r>
    </w:p>
    <w:p>
      <w:pPr>
        <w:ind w:right="20" w:firstLine="598"/>
        <w:spacing w:after="0" w:line="248" w:lineRule="auto"/>
        <w:rPr>
          <w:sz w:val="20"/>
          <w:szCs w:val="20"/>
          <w:color w:val="auto"/>
        </w:rPr>
      </w:pPr>
      <w:r>
        <w:rPr>
          <w:rFonts w:ascii="Arial" w:cs="Arial" w:eastAsia="Arial" w:hAnsi="Arial"/>
          <w:sz w:val="20"/>
          <w:szCs w:val="20"/>
          <w:color w:val="auto"/>
        </w:rPr>
        <w:t>M&amp;T elected to become a financial holding company on March 1, 2011. To maintain financial holding company status, a financial holding company and all of its depository institution subsidiaries must be “well capitalized” and “well managed.” The failure to meet such requirements could result in material restrictions on the activities of M&amp;T and may also adversely affect the Company’s ability to enter into certain transactions or obtain necessary approvals in connection therewith, as well as loss of financial holding company status. Additionally, if all of the Company’s depository institution subsidiaries have not received at least a “satisfactory” rating on its most recent examination under the the Community Reinvestment Act of 1977 (the “CRA”), it would not be able to commence any new financial activities or acquire a company that engages in such activities, although it would still be allowed to engage in activities closely related to banking and make investments in the ordinary course of conducting banking activities. See the section captioned “Community Reinvestment Act” included elsewhere in this discussion.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Distributions</w:t>
      </w:r>
    </w:p>
    <w:p>
      <w:pPr>
        <w:spacing w:after="0" w:line="2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M&amp;T is a legal entity separate and distinct from its banking and other subsidiaries. Historically, the majority of M&amp;T’s revenue has been from dividends paid to M&amp;T by its subsidiary banks. M&amp;T Bank and Wilmington Trust, N.A. are subject to laws and regulations imposing restrictions on the amount of dividends they may declare and pay. Future dividend payments to M&amp;T by its subsidiary banks will be dependent on a number of factors, including the earnings and financial condition of each such bank, and are subject to the limitations referred to in note 23 of Notes to Financial Statements filed herewith in Part II, Item 8, “Financial Statements and Supplementary Data,” and to other statutory powers of bank regulatory agencies.</w:t>
      </w:r>
    </w:p>
    <w:p>
      <w:pPr>
        <w:spacing w:after="0" w:line="5" w:lineRule="exact"/>
        <w:rPr>
          <w:sz w:val="20"/>
          <w:szCs w:val="20"/>
          <w:color w:val="auto"/>
        </w:rPr>
      </w:pPr>
    </w:p>
    <w:p>
      <w:pPr>
        <w:ind w:right="160" w:firstLine="598"/>
        <w:spacing w:after="0" w:line="246" w:lineRule="auto"/>
        <w:rPr>
          <w:sz w:val="20"/>
          <w:szCs w:val="20"/>
          <w:color w:val="auto"/>
        </w:rPr>
      </w:pPr>
      <w:r>
        <w:rPr>
          <w:rFonts w:ascii="Arial" w:cs="Arial" w:eastAsia="Arial" w:hAnsi="Arial"/>
          <w:sz w:val="20"/>
          <w:szCs w:val="20"/>
          <w:color w:val="auto"/>
        </w:rPr>
        <w:t>An insured depository institution is prohibited from making any capital distribution to its owner, including any dividend, if, after making such distribution, the depository institution fails to meet the required minimum level for any relevant capital measure, including the risk-based capital adequacy and leverage standards discussed herein.</w:t>
      </w:r>
    </w:p>
    <w:p>
      <w:pPr>
        <w:spacing w:after="0" w:line="2" w:lineRule="exact"/>
        <w:rPr>
          <w:sz w:val="20"/>
          <w:szCs w:val="20"/>
          <w:color w:val="auto"/>
        </w:rPr>
      </w:pPr>
    </w:p>
    <w:p>
      <w:pPr>
        <w:ind w:firstLine="598"/>
        <w:spacing w:after="0" w:line="250" w:lineRule="auto"/>
        <w:rPr>
          <w:sz w:val="20"/>
          <w:szCs w:val="20"/>
          <w:color w:val="auto"/>
        </w:rPr>
      </w:pPr>
      <w:r>
        <w:rPr>
          <w:rFonts w:ascii="Arial" w:cs="Arial" w:eastAsia="Arial" w:hAnsi="Arial"/>
          <w:sz w:val="20"/>
          <w:szCs w:val="20"/>
          <w:color w:val="auto"/>
        </w:rPr>
        <w:t>Dividend payments by M&amp;T to its shareholders and common stock repurchases by M&amp;T are subject to the oversight of the Federal Reserve. As described below in this section under “Stress Testing and Capital Plan Review,” dividends and common stock repurchases (net of any new stock issuances as per a capital plan) generally may only be paid or made under a capital plan as to which the Federal Reserve has not objected.</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Requirements</w:t>
      </w:r>
    </w:p>
    <w:p>
      <w:pPr>
        <w:spacing w:after="0" w:line="29"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M&amp;T and its subsidiary banks are required to comply with applicable capital adequacy standards established by the federal banking agencies (the “Capital Rules”), which are based on the Basel Committee’s December 2010 final capital framework for strengthening international capital standards, referred to as “Basel III”.</w:t>
      </w:r>
    </w:p>
    <w:p>
      <w:pPr>
        <w:spacing w:after="0" w:line="2" w:lineRule="exact"/>
        <w:rPr>
          <w:sz w:val="20"/>
          <w:szCs w:val="20"/>
          <w:color w:val="auto"/>
        </w:rPr>
      </w:pPr>
    </w:p>
    <w:p>
      <w:pPr>
        <w:jc w:val="both"/>
        <w:ind w:right="400" w:firstLine="598"/>
        <w:spacing w:after="0" w:line="293" w:lineRule="auto"/>
        <w:rPr>
          <w:sz w:val="20"/>
          <w:szCs w:val="20"/>
          <w:color w:val="auto"/>
        </w:rPr>
      </w:pPr>
      <w:r>
        <w:rPr>
          <w:rFonts w:ascii="Arial" w:cs="Arial" w:eastAsia="Arial" w:hAnsi="Arial"/>
          <w:sz w:val="18"/>
          <w:szCs w:val="18"/>
          <w:color w:val="auto"/>
        </w:rPr>
        <w:t>Among other matters, the Capital Rules impose a capital measure called Common Equity Tier 1 Capital (“CET1”) to which most deductions/adjustments to regulatory capital measures must be made. In addition, the Capital Rules specify that Tier 1 capital consists of CET1 and “Additional Tier 1 capital” instruments meeting certain specified requirements. Pursuant to the Capital Rules,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 w:name="page10"/>
    <w:bookmarkEnd w:id="9"/>
    <w:p>
      <w:pPr>
        <w:spacing w:after="0"/>
        <w:rPr>
          <w:sz w:val="20"/>
          <w:szCs w:val="20"/>
          <w:color w:val="auto"/>
        </w:rPr>
      </w:pPr>
      <w:r>
        <w:rPr>
          <w:rFonts w:ascii="Arial" w:cs="Arial" w:eastAsia="Arial" w:hAnsi="Arial"/>
          <w:sz w:val="20"/>
          <w:szCs w:val="20"/>
          <w:color w:val="auto"/>
        </w:rPr>
        <w:t>minimum capital ratios are as follows:</w:t>
      </w:r>
    </w:p>
    <w:p>
      <w:pPr>
        <w:spacing w:after="0" w:line="25" w:lineRule="exact"/>
        <w:rPr>
          <w:sz w:val="20"/>
          <w:szCs w:val="20"/>
          <w:color w:val="auto"/>
        </w:rPr>
      </w:pPr>
    </w:p>
    <w:p>
      <w:pPr>
        <w:ind w:left="1180" w:hanging="584"/>
        <w:spacing w:after="0"/>
        <w:tabs>
          <w:tab w:leader="none" w:pos="1180" w:val="left"/>
        </w:tabs>
        <w:numPr>
          <w:ilvl w:val="0"/>
          <w:numId w:val="7"/>
        </w:numPr>
        <w:rPr>
          <w:rFonts w:ascii="Arial" w:cs="Arial" w:eastAsia="Arial" w:hAnsi="Arial"/>
          <w:sz w:val="20"/>
          <w:szCs w:val="20"/>
          <w:color w:val="auto"/>
        </w:rPr>
      </w:pPr>
      <w:r>
        <w:rPr>
          <w:rFonts w:ascii="Arial" w:cs="Arial" w:eastAsia="Arial" w:hAnsi="Arial"/>
          <w:sz w:val="20"/>
          <w:szCs w:val="20"/>
          <w:color w:val="auto"/>
        </w:rPr>
        <w:t>4.5% CET1 to risk-weighted assets;</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7"/>
        </w:numPr>
        <w:rPr>
          <w:rFonts w:ascii="Arial" w:cs="Arial" w:eastAsia="Arial" w:hAnsi="Arial"/>
          <w:sz w:val="20"/>
          <w:szCs w:val="20"/>
          <w:color w:val="auto"/>
        </w:rPr>
      </w:pPr>
      <w:r>
        <w:rPr>
          <w:rFonts w:ascii="Arial" w:cs="Arial" w:eastAsia="Arial" w:hAnsi="Arial"/>
          <w:sz w:val="20"/>
          <w:szCs w:val="20"/>
          <w:color w:val="auto"/>
        </w:rPr>
        <w:t>6.0% Tier 1 capital (that is, CET1 plus Additional Tier 1 capital) to risk-weighted assets;</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7"/>
        </w:numPr>
        <w:rPr>
          <w:rFonts w:ascii="Arial" w:cs="Arial" w:eastAsia="Arial" w:hAnsi="Arial"/>
          <w:sz w:val="20"/>
          <w:szCs w:val="20"/>
          <w:color w:val="auto"/>
        </w:rPr>
      </w:pPr>
      <w:r>
        <w:rPr>
          <w:rFonts w:ascii="Arial" w:cs="Arial" w:eastAsia="Arial" w:hAnsi="Arial"/>
          <w:sz w:val="20"/>
          <w:szCs w:val="20"/>
          <w:color w:val="auto"/>
        </w:rPr>
        <w:t>8.0% Total capital (that is, Tier 1 capital plus Tier 2 capital) to risk-weighted assets; and</w:t>
      </w:r>
    </w:p>
    <w:p>
      <w:pPr>
        <w:spacing w:after="0" w:line="6" w:lineRule="exact"/>
        <w:rPr>
          <w:rFonts w:ascii="Arial" w:cs="Arial" w:eastAsia="Arial" w:hAnsi="Arial"/>
          <w:sz w:val="20"/>
          <w:szCs w:val="20"/>
          <w:color w:val="auto"/>
        </w:rPr>
      </w:pPr>
    </w:p>
    <w:p>
      <w:pPr>
        <w:ind w:left="1180" w:right="300" w:hanging="584"/>
        <w:spacing w:after="0" w:line="256" w:lineRule="auto"/>
        <w:tabs>
          <w:tab w:leader="none" w:pos="1180" w:val="left"/>
        </w:tabs>
        <w:numPr>
          <w:ilvl w:val="0"/>
          <w:numId w:val="7"/>
        </w:numPr>
        <w:rPr>
          <w:rFonts w:ascii="Arial" w:cs="Arial" w:eastAsia="Arial" w:hAnsi="Arial"/>
          <w:sz w:val="20"/>
          <w:szCs w:val="20"/>
          <w:color w:val="auto"/>
        </w:rPr>
      </w:pPr>
      <w:r>
        <w:rPr>
          <w:rFonts w:ascii="Arial" w:cs="Arial" w:eastAsia="Arial" w:hAnsi="Arial"/>
          <w:sz w:val="20"/>
          <w:szCs w:val="20"/>
          <w:color w:val="auto"/>
        </w:rPr>
        <w:t>4.0% Tier 1 capital to average consolidated assets as reported on consolidated financial statements (known as the “leverage ratio”).</w:t>
      </w:r>
    </w:p>
    <w:p>
      <w:pPr>
        <w:spacing w:after="0" w:line="201" w:lineRule="exact"/>
        <w:rPr>
          <w:sz w:val="20"/>
          <w:szCs w:val="20"/>
          <w:color w:val="auto"/>
        </w:rPr>
      </w:pPr>
    </w:p>
    <w:p>
      <w:pPr>
        <w:jc w:val="both"/>
        <w:ind w:right="80" w:firstLine="598"/>
        <w:spacing w:after="0" w:line="266" w:lineRule="auto"/>
        <w:rPr>
          <w:sz w:val="20"/>
          <w:szCs w:val="20"/>
          <w:color w:val="auto"/>
        </w:rPr>
      </w:pPr>
      <w:r>
        <w:rPr>
          <w:rFonts w:ascii="Arial" w:cs="Arial" w:eastAsia="Arial" w:hAnsi="Arial"/>
          <w:sz w:val="19"/>
          <w:szCs w:val="19"/>
          <w:color w:val="auto"/>
        </w:rPr>
        <w:t>In calculating regulatory capital ratios M&amp;T must assign risk weights to the Company’s assets and off-balance sheet items. M&amp;T has an ongoing process to review data elements associated with certain assets that from time to time may affect how specific assets are classified and could lead to increases or decreases of the regulatory risk weights assigned to such assets.</w:t>
      </w:r>
    </w:p>
    <w:p>
      <w:pPr>
        <w:spacing w:after="0" w:line="1"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The Capital Rules also impose a “capital conservation buffer” (“CCB”) of 2.5%, composed entirely of CET1, on top of the three minimum risk-weighted asset ratios listed above. The capital conservation buffer is designed to absorb losses during periods of economic stress. Thus, the effective minimum ratios applicable to M&amp;T are (i) CET1 to risk-weighted assets of at least 7%, (ii) Tier 1 capital to risk-weighted assets of at least 8.5% and (iii) total capital to risk-weighted assets of at least 10.5%. Banking institutions that fail to meet the effective minimum ratios once the CCB is taken into account will be subject to constraints on capital distributions, including dividends and share repurchases, and certain discretionary executive compensation. The severity of the constraints depends on the amount of the shortfall and the institution’s “eligible retained income” (that is, four quarter trailing net income, net of distributions and tax effects not reflected in net income). On April 10, 2018, the Federal Reserve issued a proposal designed to create a single, integrated capital requirement by combining the quantitative assessment of firms’ capital plans with the CCB requirement. Details of this proposal are discussed under “Stress Testing and Capital Plan Review” herein. Although the proposal, if adopted, would change the way in which the minimum ratios are calculated, firms would continue to be subject to progressively more stringent constraints on capital actions as they approach the minimum ratios.</w:t>
      </w:r>
    </w:p>
    <w:p>
      <w:pPr>
        <w:spacing w:after="0" w:line="2"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CET1 consists of common stock instruments that meet the eligibility criteria in the Capital Rules, including common stock and related surplus, net of treasury stock, retained earnings, certain minority interests and, for certain firms, AOCI. As permitted under the Capital Rules, M&amp;T made a one-time permanent election to neutralize certain AOCI components, with the result that those components are not recognized in M&amp;T’s CET1. The Capital Rules also preclude certain hybrid securities, such as trust preferred securities, from inclusion in bank holding companies’ Tier 1 capital. Thus, trust preferred securities no longer included in M&amp;T’s Tier 1 capital may nonetheless be included as a component of Tier 2 capital on a permanent basis and irrespective of whether such securities otherwise meet the revised definition of Tier 2 capital set forth in the Capital Rules. M&amp;T’s regulatory capital ratios are presented in note 23 of Notes to Financial Statements filed herewith in Part II, Item 8, “Financial Statements and Supplementary Data.”</w:t>
      </w:r>
    </w:p>
    <w:p>
      <w:pPr>
        <w:spacing w:after="0" w:line="6" w:lineRule="exact"/>
        <w:rPr>
          <w:sz w:val="20"/>
          <w:szCs w:val="20"/>
          <w:color w:val="auto"/>
        </w:rPr>
      </w:pPr>
    </w:p>
    <w:p>
      <w:pPr>
        <w:ind w:right="20" w:firstLine="598"/>
        <w:spacing w:after="0" w:line="274" w:lineRule="auto"/>
        <w:rPr>
          <w:sz w:val="20"/>
          <w:szCs w:val="20"/>
          <w:color w:val="auto"/>
        </w:rPr>
      </w:pPr>
      <w:r>
        <w:rPr>
          <w:rFonts w:ascii="Arial" w:cs="Arial" w:eastAsia="Arial" w:hAnsi="Arial"/>
          <w:sz w:val="18"/>
          <w:szCs w:val="18"/>
          <w:color w:val="auto"/>
        </w:rPr>
        <w:t>The Capital Rules provide for a number of deductions from and adjustments to CET1. These include, for example, the requirement that mortgage servicing rights, certain deferred tax assets, and significant investments in non-consolidated financial entities be deducted from CET1. The deductions and other adjustments to CET1 capital generally became fully phased-in on January 1, 2018, except that in November 2017, the federal banking regulators revised the Capital Rules to extend the then-current transitional treatment of these deductions for non-advanced approaches banking organizations (the “Transition Rule”) until revisions to the deductions became effective.</w:t>
      </w:r>
    </w:p>
    <w:p>
      <w:pPr>
        <w:spacing w:after="0" w:line="1" w:lineRule="exact"/>
        <w:rPr>
          <w:sz w:val="20"/>
          <w:szCs w:val="20"/>
          <w:color w:val="auto"/>
        </w:rPr>
      </w:pPr>
    </w:p>
    <w:p>
      <w:pPr>
        <w:ind w:right="120" w:firstLine="598"/>
        <w:spacing w:after="0" w:line="251" w:lineRule="auto"/>
        <w:rPr>
          <w:sz w:val="20"/>
          <w:szCs w:val="20"/>
          <w:color w:val="auto"/>
        </w:rPr>
      </w:pPr>
      <w:r>
        <w:rPr>
          <w:rFonts w:ascii="Arial" w:cs="Arial" w:eastAsia="Arial" w:hAnsi="Arial"/>
          <w:sz w:val="20"/>
          <w:szCs w:val="20"/>
          <w:color w:val="auto"/>
        </w:rPr>
        <w:t>In July 2019, the federal banking regulators adopted rules intended to simplify the deductions for these items for banking organizations, such as M&amp;T, that are not subject to the “advanced approaches” under the Capital Rules (the “Capital Simplification Rules”). The Capital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0" w:name="page11"/>
    <w:bookmarkEnd w:id="10"/>
    <w:p>
      <w:pPr>
        <w:spacing w:after="0"/>
        <w:rPr>
          <w:sz w:val="20"/>
          <w:szCs w:val="20"/>
          <w:color w:val="auto"/>
        </w:rPr>
      </w:pPr>
      <w:r>
        <w:rPr>
          <w:rFonts w:ascii="Arial" w:cs="Arial" w:eastAsia="Arial" w:hAnsi="Arial"/>
          <w:sz w:val="20"/>
          <w:szCs w:val="20"/>
          <w:color w:val="auto"/>
        </w:rPr>
        <w:t>Simplifications Rules and the rescission of the Transition Rule were adopted by the Company as of January 1, 2020.</w:t>
      </w:r>
    </w:p>
    <w:p>
      <w:pPr>
        <w:spacing w:after="0" w:line="25" w:lineRule="exact"/>
        <w:rPr>
          <w:sz w:val="20"/>
          <w:szCs w:val="20"/>
          <w:color w:val="auto"/>
        </w:rPr>
      </w:pPr>
    </w:p>
    <w:p>
      <w:pPr>
        <w:ind w:firstLine="598"/>
        <w:spacing w:after="0" w:line="248" w:lineRule="auto"/>
        <w:rPr>
          <w:sz w:val="20"/>
          <w:szCs w:val="20"/>
          <w:color w:val="auto"/>
        </w:rPr>
      </w:pPr>
      <w:r>
        <w:rPr>
          <w:rFonts w:ascii="Arial" w:cs="Arial" w:eastAsia="Arial" w:hAnsi="Arial"/>
          <w:sz w:val="20"/>
          <w:szCs w:val="20"/>
          <w:color w:val="auto"/>
        </w:rPr>
        <w:t>In December 2017, the Basel Committee published standards that it described as the finalization of the Basel III post-crisis regulatory reforms (the standards are commonly referred to as “Basel IV”). Among other things, these standards revise the Basel Committee’s standardized approach for credit risk (including by recalibrating risk weights and introducing new capital requirements for certain “unconditionally cancellable commitments,” such as unused credit card lines of credit) and provides a new standardized approach for operational risk capital. Under the Basel framework, these standards will generally be effective on January 1, 2022, with an aggregate output floor phasing in through January 1, 2027. Under the current U.S. capital rules, operational risk capital requirements and a capital floor apply only to advanced approaches institutions, and not to the Company. The impact of Basel IV will depend on the manner in which it is implemented by the federal banking regulators.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Stress Testing and Capital Plan Review</w:t>
      </w:r>
    </w:p>
    <w:p>
      <w:pPr>
        <w:spacing w:after="0" w:line="29"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As part of the enhanced prudential requirements applicable to systemically important financial institutions, the Federal Reserve conducts periodic analyses of bank holding companies with at least $100 billion in total consolidated assets to determine whether the companies have sufficient capital on a consolidated basis necessary to absorb losses in baseline and severely adverse economic and financial scenarios generated by the Federal Reserve. For Category IV firms, such as M&amp;T, these supervisory stress tests occur on a biennial basis, including 2020. The Federal Reserve may also use additional components in the severely adverse scenario or additional or more complex scenarios designed to capture salient risks to specific business groups. A summary of results of the Federal Reserve’s analysis under the severely adverse stress scenario is publicly disclosed. Under the Tailoring Rules, Category IV firms, including M&amp;T, are no longer subject to company-run stress testing requirements. However, they remain subject to the quantitative review of their capital plans under CCAR, to required capital plan submissions, and to the associated reporting requirements.</w:t>
      </w:r>
    </w:p>
    <w:p>
      <w:pPr>
        <w:spacing w:after="0" w:line="2"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In addition, bank holding companies with total consolidated assets of $100 billion or more, such as M&amp;T, must submit annual capital plans for approval as part of the Federal Reserve’s CCAR process. Covered bank holding companies may execute capital actions, such as paying dividends and repurchasing stock, only in accordance with a capital plan that has been reviewed and approved by the Federal Reserve (or any approved amendments to such plan). The comprehensive capital plans include a view of capital adequacy under various scenarios — including a BHC-defined baseline scenario, a baseline scenario provided by the Federal Reserve, at least one BHC-defined stress scenario, and severely adverse scenarios provided by the Federal Reserve. The CCAR process is intended to help ensure that these bank holding companies have robust, forward-looking capital planning processes that account for each company’s unique risks and that permit continued operations during times of economic and financial stress. Each of the bank holding companies participating in the CCAR process is also required to collect and report certain related data to the Federal Reserve on a quarterly basis to allow the Federal Reserve to monitor progress against the approved capital plans. Each capital plan must include a view of capital adequacy under the stress test scenarios described above. In connection with the adoption of the Tailoring Rules, the Federal Reserve stated that it expects to revise its guidance relating to capital planning to align with the categories of standards set forth in the Tailoring Rules, and the impact of the future proposal on M&amp;T and its capital planning process will depend on the final form of the Federal Reserve’s revised guidance.</w:t>
      </w:r>
    </w:p>
    <w:p>
      <w:pPr>
        <w:spacing w:after="0" w:line="3" w:lineRule="exact"/>
        <w:rPr>
          <w:sz w:val="20"/>
          <w:szCs w:val="20"/>
          <w:color w:val="auto"/>
        </w:rPr>
      </w:pPr>
    </w:p>
    <w:p>
      <w:pPr>
        <w:ind w:right="160" w:firstLine="598"/>
        <w:spacing w:after="0" w:line="251" w:lineRule="auto"/>
        <w:rPr>
          <w:sz w:val="20"/>
          <w:szCs w:val="20"/>
          <w:color w:val="auto"/>
        </w:rPr>
      </w:pPr>
      <w:r>
        <w:rPr>
          <w:rFonts w:ascii="Arial" w:cs="Arial" w:eastAsia="Arial" w:hAnsi="Arial"/>
          <w:sz w:val="20"/>
          <w:szCs w:val="20"/>
          <w:color w:val="auto"/>
        </w:rPr>
        <w:t>The Federal Reserve may object to a capital plan if the plan does not show that the covered BHC will maintain sufficient regulatory capital ratios on a pro forma basis under expected and stressful conditions throughout the nine-quarter planning horizon covered by the capital plan. The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11" w:name="page12"/>
    <w:bookmarkEnd w:id="11"/>
    <w:p>
      <w:pPr>
        <w:ind w:right="160"/>
        <w:spacing w:after="0" w:line="263" w:lineRule="auto"/>
        <w:rPr>
          <w:sz w:val="20"/>
          <w:szCs w:val="20"/>
          <w:color w:val="auto"/>
        </w:rPr>
      </w:pPr>
      <w:r>
        <w:rPr>
          <w:rFonts w:ascii="Arial" w:cs="Arial" w:eastAsia="Arial" w:hAnsi="Arial"/>
          <w:sz w:val="19"/>
          <w:szCs w:val="19"/>
          <w:color w:val="auto"/>
        </w:rPr>
        <w:t>rules also provide that a covered BHC may not make a capital distribution unless after giving effect to the distribution it will meet all minimum regulatory capital ratios. The Federal Reserve also incorporates an assessment of the qualitative aspects of the firm’s capital planning process into regular, ongoing supervisory activities and through targeted, horizontal assessments of particular aspects of capital planning. M&amp;T’s annual CCAR capital plan is currently due in April each year. The Federal Reserve publishes the results of its supervisory stress tests and quantitative CCAR review of capital plans by June 30 of each year.</w:t>
      </w:r>
    </w:p>
    <w:p>
      <w:pPr>
        <w:spacing w:after="0" w:line="3" w:lineRule="exact"/>
        <w:rPr>
          <w:sz w:val="20"/>
          <w:szCs w:val="20"/>
          <w:color w:val="auto"/>
        </w:rPr>
      </w:pPr>
    </w:p>
    <w:p>
      <w:pPr>
        <w:ind w:right="80" w:firstLine="598"/>
        <w:spacing w:after="0" w:line="274" w:lineRule="auto"/>
        <w:rPr>
          <w:sz w:val="20"/>
          <w:szCs w:val="20"/>
          <w:color w:val="auto"/>
        </w:rPr>
      </w:pPr>
      <w:r>
        <w:rPr>
          <w:rFonts w:ascii="Arial" w:cs="Arial" w:eastAsia="Arial" w:hAnsi="Arial"/>
          <w:sz w:val="18"/>
          <w:szCs w:val="18"/>
          <w:color w:val="auto"/>
        </w:rPr>
        <w:t>In addition to other limitations, M&amp;T’s ability to make any capital distributions is contingent on the Federal Reserve’s non-objection to M&amp;T’s capital plan. The Federal Reserve generally limits a BHC’s ability to make quarterly capital distributions – that is, dividends and share repurchases – if the amount of the BHC’s actual cumulative quarterly capital issuances of instruments that qualify as regulatory capital are less than the BHC had indicated in its submitted capital plan as to which it received a non-objection from the Federal Reserve.</w:t>
      </w:r>
    </w:p>
    <w:p>
      <w:pPr>
        <w:spacing w:after="0" w:line="1" w:lineRule="exact"/>
        <w:rPr>
          <w:sz w:val="20"/>
          <w:szCs w:val="20"/>
          <w:color w:val="auto"/>
        </w:rPr>
      </w:pPr>
    </w:p>
    <w:p>
      <w:pPr>
        <w:ind w:firstLine="598"/>
        <w:spacing w:after="0" w:line="262" w:lineRule="auto"/>
        <w:rPr>
          <w:sz w:val="20"/>
          <w:szCs w:val="20"/>
          <w:color w:val="auto"/>
        </w:rPr>
      </w:pPr>
      <w:r>
        <w:rPr>
          <w:rFonts w:ascii="Arial" w:cs="Arial" w:eastAsia="Arial" w:hAnsi="Arial"/>
          <w:sz w:val="19"/>
          <w:szCs w:val="19"/>
          <w:color w:val="auto"/>
        </w:rPr>
        <w:t>As noted above, on April 10, 2018, the Federal Reserve issued a proposal designed to create a single, integrated capital requirement by combining the quantitative assessment of CCAR with the CCB requirement. If adopted, the proposal would replace the current static 2.5% CCB with a stress capital buffer (“SCB”) requirement. The SCB, subject to a minimum of 2.5%, would reflect stressed losses in the supervisory severely adverse scenario of the Federal Reserve’s supervisory stress tests and would also include four quarters of planned common stock dividends. The proposal would also introduce a stress leverage buffer (“SLB”) requirement, similar to the SCB, which would apply to the Tier 1 leverage ratio. In addition, the proposal would eliminate the quantitative objection provisions of CCAR but would require a BHC to reduce its planned capital distributions if those distributions would not be consistent with the applicable capital buffer constraints based on the BHC’s own baseline scenario projections. The Federal Reserve has stated that it intends to propose revisions to the stress buffer requirements that would be applicable to a Category IV BHC to align with the two-year supervisory stress testing cycle for Category IV bank holding companies.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w:t>
      </w:r>
    </w:p>
    <w:p>
      <w:pPr>
        <w:spacing w:after="0" w:line="29"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The Federal Reserve and other banking regulators have adopted rules implementing a U.S. version of the Basel Committee’s LCR requirement, which is intended to ensure that banks hold sufficient amounts of so-called “high quality liquid assets” (“HQLA”) to cover the anticipated net cash outflows during a hypothetical acute 30-day stress scenario. Under the Tailoring Rules, Category IV firms with less than $50 billion in weighted short-term wholesale funding, including M&amp;T, are no longer subject to any LCR requirement.</w:t>
      </w:r>
    </w:p>
    <w:p>
      <w:pPr>
        <w:spacing w:after="0" w:line="3" w:lineRule="exact"/>
        <w:rPr>
          <w:sz w:val="20"/>
          <w:szCs w:val="20"/>
          <w:color w:val="auto"/>
        </w:rPr>
      </w:pPr>
    </w:p>
    <w:p>
      <w:pPr>
        <w:ind w:right="40" w:firstLine="598"/>
        <w:spacing w:after="0" w:line="246" w:lineRule="auto"/>
        <w:rPr>
          <w:sz w:val="20"/>
          <w:szCs w:val="20"/>
          <w:color w:val="auto"/>
        </w:rPr>
      </w:pPr>
      <w:r>
        <w:rPr>
          <w:rFonts w:ascii="Arial" w:cs="Arial" w:eastAsia="Arial" w:hAnsi="Arial"/>
          <w:sz w:val="20"/>
          <w:szCs w:val="20"/>
          <w:color w:val="auto"/>
        </w:rPr>
        <w:t>The Basel III framework also included a second standard, referred to as the Net Stable Funding Ratio (“NSFR”), which is designed to promote more medium- and long-term funding of the assets and activities of banks over a one-year time horizon. In May 2016, the Federal Reserve and other federal banking regulators issued a proposed rule that would implement the NSFR for large U.S. banking organizations. Although the NSFR has not been finalized, it is expected that the framework for applying any finalized NSFR will be consistent with the approach for the LCR requirement under the Tailoring Rules.</w:t>
      </w:r>
    </w:p>
    <w:p>
      <w:pPr>
        <w:spacing w:after="0" w:line="4" w:lineRule="exact"/>
        <w:rPr>
          <w:sz w:val="20"/>
          <w:szCs w:val="20"/>
          <w:color w:val="auto"/>
        </w:rPr>
      </w:pPr>
    </w:p>
    <w:p>
      <w:pPr>
        <w:ind w:right="60" w:firstLine="598"/>
        <w:spacing w:after="0" w:line="249" w:lineRule="auto"/>
        <w:rPr>
          <w:sz w:val="20"/>
          <w:szCs w:val="20"/>
          <w:color w:val="auto"/>
        </w:rPr>
      </w:pPr>
      <w:r>
        <w:rPr>
          <w:rFonts w:ascii="Arial" w:cs="Arial" w:eastAsia="Arial" w:hAnsi="Arial"/>
          <w:sz w:val="20"/>
          <w:szCs w:val="20"/>
          <w:color w:val="auto"/>
        </w:rPr>
        <w:t>Under the Tailoring Rules, Category IV firms, including M&amp;T, remain subject to liquidity risk management requirements, but these requirements are now tailored such that these firms are required to: (i) calculate collateral positions monthly, as opposed to weekly; (ii) establish a more limited set of liquidity risk limits; and (iii) monitor fewer elements of intraday liquidity risk exposures. These firms are now also subject to liquidity stress testing quarterly, rather than monthly, and are required to report liquidity data on the FR 2052a on a monthly basis. M&amp;T remains subject to the liquidity buffer requirements.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Cross Guaranty Provision</w:t>
      </w:r>
    </w:p>
    <w:p>
      <w:pPr>
        <w:spacing w:after="0" w:line="29"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The cross guaranty provisions in the Federal Deposit Insurance Act (“FDIA”) were enacted by Congress in the Financial Institutions, Reform, Recovery and Enforcement Act of 1989 (“FIRREA”) and require each insured depository institution owned by the same BHC to be financially responsible for the failure or resolution costs of any affiliated insured institution. Generally, the amount of the cross guaranty liability is equal to the estimated loss to the DIF for the resolution of the affiliated institution(s) in default. The FDIC’s claim under the cross guaranty provision is superior to claims of shareholders of the insured depository institution or its BHC and to most claims arising out of obligations or liabilities owed to affiliates of the institution, but is subordinate to claims of depositors, secured creditors and holders of subordinated debt (other than affiliates) of the commonly controlled insured depository institution. The FDIC may decline to enforce the cross guaranty provision if it determines that a waiver is in the best interest of the DIF.</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Volcker Rule</w:t>
      </w:r>
    </w:p>
    <w:p>
      <w:pPr>
        <w:spacing w:after="0" w:line="29"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On December 10, 2013, the federal banking regulators and the SEC adopted the so-called Volcker Rule to implement the provisions of the Dodd-Frank Act limiting proprietary trading and investing in and sponsoring certain hedge funds and private equity funds (defined as “covered funds” in the Volcker Rule). The Company does not engage in any significant amount of proprietary trading as defined in the Volcker Rule and implemented the required procedures for those areas in which trading does occur. The covered funds limits are imposed through a conformance period that ended in July 2017. The Company has sought, and received, from the Federal Reserve, a five-year extension (to July 21, 2022) to either divest or terminate its investment in one venture capital fund. In October 2019, the Federal Reserve, OCC, FDIC, CFTC and SEC finalized rules to tailor the application of the Volcker Rule based on the size and scope of a banking entity’s trading activities and to clarify and amend certain definitions, requirements and exemptions. These regulators have also stated their intention to engage in further rulemaking with respect to the implementing of regulations relating to covered funds, including potential changes to the definition of “covered funds” and the prohibitions on certain covered transactions.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Safety and Soundness Standards</w:t>
      </w:r>
    </w:p>
    <w:p>
      <w:pPr>
        <w:spacing w:after="0" w:line="29"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Guidelines adopted by the federal bank regulatory agencies pursuant to the FDIA establish general standards relating to internal controls, information systems, internal audit systems, loan documentation, credit underwriting, interest rate exposure, asset growth, compensation, fees and benefits. In general, these guidelines require, among other things, appropriate systems and practices to identify and manage the risk and exposures specified in the guidelines. Additionally, the agencies adopted regulations that authorize, but do not require, an agency to order an institution that has been given notice by an agency that it is not satisfying any of such safety and soundness standards to submit a compliance plan. If, after being so notified, an institution fails to submit an acceptable compliance plan or fails in any material respect to implement an acceptable compliance plan, the agency must issue an order directing action to correct the deficiency and may issue an order directing other actions of the types to which an undercapitalized institution is subject. If an institution fails to comply with such an order, the agency may seek to enforce such order in judicial proceedings and to impose civil money penalties.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Limits on Undercapitalized Depository Institutions</w:t>
      </w:r>
    </w:p>
    <w:p>
      <w:pPr>
        <w:spacing w:after="0" w:line="29" w:lineRule="exact"/>
        <w:rPr>
          <w:sz w:val="20"/>
          <w:szCs w:val="20"/>
          <w:color w:val="auto"/>
        </w:rPr>
      </w:pPr>
    </w:p>
    <w:p>
      <w:pPr>
        <w:ind w:right="380"/>
        <w:spacing w:after="0" w:line="271" w:lineRule="auto"/>
        <w:rPr>
          <w:sz w:val="20"/>
          <w:szCs w:val="20"/>
          <w:color w:val="auto"/>
        </w:rPr>
      </w:pPr>
      <w:r>
        <w:rPr>
          <w:rFonts w:ascii="Arial" w:cs="Arial" w:eastAsia="Arial" w:hAnsi="Arial"/>
          <w:sz w:val="19"/>
          <w:szCs w:val="19"/>
          <w:color w:val="auto"/>
        </w:rPr>
        <w:t>The FDIA establishes a system of regulatory remedies to resolve the problems of undercapitalized institutions, referred to as the prompt corrective action. The federal banking regulators have established five capital categories (“well-capitalized,” “adequately capitalized,” “undercapitalized,” “significantly undercapitalized” and “critically undercapitalized”) and must take certain mandatory</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340"/>
          </w:cols>
          <w:pgMar w:left="240" w:top="332" w:right="319" w:bottom="1440" w:gutter="0" w:footer="0" w:header="0"/>
        </w:sectPr>
      </w:pPr>
    </w:p>
    <w:bookmarkStart w:id="13" w:name="page14"/>
    <w:bookmarkEnd w:id="13"/>
    <w:p>
      <w:pPr>
        <w:spacing w:after="0" w:line="276" w:lineRule="auto"/>
        <w:rPr>
          <w:sz w:val="20"/>
          <w:szCs w:val="20"/>
          <w:color w:val="auto"/>
        </w:rPr>
      </w:pPr>
      <w:r>
        <w:rPr>
          <w:rFonts w:ascii="Arial" w:cs="Arial" w:eastAsia="Arial" w:hAnsi="Arial"/>
          <w:sz w:val="18"/>
          <w:szCs w:val="18"/>
          <w:color w:val="auto"/>
        </w:rPr>
        <w:t>supervisory actions, and are authorized to take other discretionary actions, with respect to institutions which are undercapitalized, significantly undercapitalized or critically undercapitalized. The severity of these mandatory and discretionary supervisory actions depends upon the capital category in which the institution is placed. The FDIC has specified by regulation the relevant capital levels for each category. The FDIA’s prompt corrective action provisions only apply to depository institutions and not to bank holding companies. The Federal Reserve’s regulations applicable to bank holding companies separately define “well capitalized.” A financial holding company that is not well-capitalized and well-managed (or whose bank subsidiaries are not well capitalized and well managed) under applicable prompt corrective action standards may be restricted in certain of its activities and ultimately may lose financial holding company status. Under existing rules, an institution that is not an advanced approaches institution is deemed to be “well capitalized” if it has (i) a CET1 ratio of at least 6.5%, (ii) a Tier 1 capital ratio of at least 8%, (iii) a Total capital ratio of at least 10%, and (iv) a Tier 1 leverage ratio of at least 5%.</w:t>
      </w:r>
    </w:p>
    <w:p>
      <w:pPr>
        <w:spacing w:after="0" w:line="4" w:lineRule="exact"/>
        <w:rPr>
          <w:sz w:val="20"/>
          <w:szCs w:val="20"/>
          <w:color w:val="auto"/>
        </w:rPr>
      </w:pPr>
    </w:p>
    <w:p>
      <w:pPr>
        <w:ind w:firstLine="598"/>
        <w:spacing w:after="0" w:line="261" w:lineRule="auto"/>
        <w:rPr>
          <w:sz w:val="20"/>
          <w:szCs w:val="20"/>
          <w:color w:val="auto"/>
        </w:rPr>
      </w:pPr>
      <w:r>
        <w:rPr>
          <w:rFonts w:ascii="Arial" w:cs="Arial" w:eastAsia="Arial" w:hAnsi="Arial"/>
          <w:sz w:val="19"/>
          <w:szCs w:val="19"/>
          <w:color w:val="auto"/>
        </w:rPr>
        <w:t>An institution that is categorized as undercapitalized, significantly undercapitalized or critically undercapitalized is required to submit an acceptable capital restoration plan to its appropriate federal banking regulator. Under the FDIA, in order for the capital restoration plan to be accepted by the appropriate federal banking agency, a BHC must guarantee that a subsidiary depository institution will comply with its capital restoration plan, subject to certain limitations. The BHC must also provide appropriate assurances of performance. An undercapitalized institution is also generally prohibited from increasing its average total assets, accepting brokered deposits or offering interest rates on any deposits significantly higher than prevailing market rates, making acquisitions, establishing any branches or engaging in any new line of business, except in accordance with an accepted capital restoration plan or with the approval of the FDIC. Institutions that are significantly undercapitalized or undercapitalized and either fail to submit an acceptable capital restoration plan or fail to implement an approved capital restoration plan may be subject to a number of requirements and restrictions, including orders to sell sufficient voting stock to become adequately capitalized, requirements to reduce total assets and cessation of receipt of deposits from correspondent banks. Critically undercapitalized depository institutions failing to submit or implement an acceptable capital restoration plan are subject to appointment of a receiver or conservator.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Transactions with Affiliates</w:t>
      </w:r>
    </w:p>
    <w:p>
      <w:pPr>
        <w:spacing w:after="0" w:line="29"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There are various legal restrictions on the extent to which M&amp;T and its non-bank subsidiaries may borrow or otherwise obtain funding from M&amp;T Bank and Wilmington Trust, N.A. In general, Sections 23A and 23B of the Federal Reserve Act and Federal Reserve Regulation W require that any “covered transaction” by M&amp;T Bank and Wilmington Trust, N.A. (or any of their respective subsidiaries) with an affiliate must in certain cases be secured by designated amounts of specified collateral and must be limited as follows: (a) in the case of any single such affiliate, the aggregate amount of covered transactions of the insured depository institution and its subsidiaries may not exceed 10% of the capital stock and surplus of such insured depository institution, and (b) in the case of all affiliates, the aggregate amount of covered transactions of an insured depository institution and its subsidiaries may not exceed 20% of the capital stock and surplus of such insured depository institution. “Covered transactions” are defined by statute to include, among other things, a loan or extension of credit, as well as a purchase of securities issued by an affiliate, a purchase of assets (unless otherwise exempted by the Federal Reserve) from the affiliate, certain derivative transactions that create a credit exposure to an affiliate, the acceptance of securities issued by the affiliate as collateral for a loan, and the issuance of a guarantee, acceptance or letter of credit on behalf of an affiliate. All covered transactions, including certain additional transactions (such as transactions with a third party in which an affiliate has a financial interest), must be conducted on market terms.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FDIC Insurance Assessments</w:t>
      </w:r>
    </w:p>
    <w:p>
      <w:pPr>
        <w:spacing w:after="0" w:line="29"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i w:val="1"/>
          <w:iCs w:val="1"/>
          <w:color w:val="auto"/>
        </w:rPr>
        <w:t>Deposit Insurance Assessments</w:t>
      </w:r>
      <w:r>
        <w:rPr>
          <w:rFonts w:ascii="Arial" w:cs="Arial" w:eastAsia="Arial" w:hAnsi="Arial"/>
          <w:sz w:val="18"/>
          <w:szCs w:val="18"/>
          <w:color w:val="auto"/>
        </w:rPr>
        <w:t>. M&amp;T Bank and Wilmington Trust, N.A. deposits are insured by the DIF of the FDIC up to the limits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under applicable law. The FDIC imposes a risk-based premium assessment system that determines assessment rates for financial institutions. Deposit insurance assessments are based on average total assets minus average tangible equity. For larger institutions, such as M&amp;T Bank, the FDIC uses a performance score and a loss-severity score that are used to calculate an initial assessment rate. In calculating these scores, the FDIC uses a bank’s capital level and supervisory ratings and certain financial measures to assess an institution’s ability to withstand asset-related stress and funding-related stress. The FDIC has the ability to make discretionary adjustments to the total score based upon significant risk factors that are not adequately captured in the calculations. Under the current system, premiums are assessed quarterly.</w:t>
      </w:r>
    </w:p>
    <w:p>
      <w:pPr>
        <w:spacing w:after="0" w:line="1" w:lineRule="exact"/>
        <w:rPr>
          <w:sz w:val="20"/>
          <w:szCs w:val="20"/>
          <w:color w:val="auto"/>
        </w:rPr>
      </w:pPr>
    </w:p>
    <w:p>
      <w:pPr>
        <w:jc w:val="both"/>
        <w:ind w:right="160" w:firstLine="598"/>
        <w:spacing w:after="0" w:line="251" w:lineRule="auto"/>
        <w:rPr>
          <w:sz w:val="20"/>
          <w:szCs w:val="20"/>
          <w:color w:val="auto"/>
        </w:rPr>
      </w:pPr>
      <w:r>
        <w:rPr>
          <w:rFonts w:ascii="Arial" w:cs="Arial" w:eastAsia="Arial" w:hAnsi="Arial"/>
          <w:sz w:val="20"/>
          <w:szCs w:val="20"/>
          <w:color w:val="auto"/>
        </w:rPr>
        <w:t>Under the FDIA, insurance of deposits may be terminated by the FDIC upon a finding that the institution has engaged in unsafe and unsound practices, is in an unsafe or unsound condition to continue operations, or has violated any applicable law, regulation, rule, order or condition imposed by the FDIC.</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Acquisitions</w:t>
      </w:r>
    </w:p>
    <w:p>
      <w:pPr>
        <w:spacing w:after="0" w:line="29"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The BHCA requires every BHC to obtain the prior approval of the Federal Reserve before: (1) it may acquire direct or indirect ownership or control of any voting shares of any bank or savings institution, if after such acquisition, the BHC will directly or indirectly own or control</w:t>
      </w:r>
    </w:p>
    <w:p>
      <w:pPr>
        <w:jc w:val="both"/>
        <w:spacing w:after="0" w:line="274" w:lineRule="auto"/>
        <w:rPr>
          <w:sz w:val="20"/>
          <w:szCs w:val="20"/>
          <w:color w:val="auto"/>
        </w:rPr>
      </w:pPr>
      <w:r>
        <w:rPr>
          <w:rFonts w:ascii="Arial" w:cs="Arial" w:eastAsia="Arial" w:hAnsi="Arial"/>
          <w:sz w:val="18"/>
          <w:szCs w:val="18"/>
          <w:color w:val="auto"/>
        </w:rPr>
        <w:t>5% or more of the voting shares of the institution; (2) it or any of its subsidiaries, other than a bank, may acquire all or substantially all of the assets of any bank or savings institution; or (3) it may merge or consolidate with any other BHC. Financial holding companies are required to obtain prior approval from the Federal Reserve before acquiring certain nonbank financial companies with assets exceeding $10 billion.</w:t>
      </w:r>
    </w:p>
    <w:p>
      <w:pPr>
        <w:spacing w:after="0" w:line="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BHCA further provides that the Federal Reserve may not approve any transaction that would result in a monopoly or would be in furtherance of any combination or conspiracy to monopolize or attempt to monopolize the business of banking in any section of the United States, or the effect of which may be substantially to lessen competition or to tend to create a monopoly in any section of the country, or that in any other manner would be in restraint of trade, unless the anticompetitive effects of the proposed transaction are clearly outweighed by the public interest in meeting the convenience and needs of the community to be served. The Federal Reserve is also required to consider the financial and managerial resources and future prospects of the bank holding companies and banks concerned and the convenience and needs of the community to be served. Consideration of financial resources generally focuses on capital adequacy and consideration of convenience and needs issues includes the parties’ performance under the CRA and compliance with consumer protection laws. The Federal Reserve must take into account the institutions’ effectiveness in combating money laundering. In addition, pursuant to the Dodd-Frank Act, the BHCA was amended to require the Federal Reserve, when evaluating a proposed transaction, to consider the extent to which the transaction would result in greater or more concentrated risks to the stability of the United States banking or financial system.</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and Incentive Compensation</w:t>
      </w:r>
    </w:p>
    <w:p>
      <w:pPr>
        <w:spacing w:after="0" w:line="29"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Guidelines adopted by several federal banking agencies prohibit excessive compensation as an unsafe and unsound practice and describe compensation as “excessive” when the amounts paid are unreasonable or disproportionate to the services performed by an executive officer, employee, director or principal stockholder. The Federal Reserve issued comprehensive guidance on incentive compensation policies (the “Incentive Compensation Guidance”) intended to ensure that the incentive compensation policies of banking organizations do not undermine the safety and soundness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00"/>
          </w:cols>
          <w:pgMar w:left="240" w:top="332" w:right="259" w:bottom="1440" w:gutter="0" w:footer="0" w:header="0"/>
        </w:sectPr>
      </w:pPr>
    </w:p>
    <w:bookmarkStart w:id="15" w:name="page16"/>
    <w:bookmarkEnd w:id="15"/>
    <w:p>
      <w:pPr>
        <w:spacing w:after="0" w:line="276" w:lineRule="auto"/>
        <w:rPr>
          <w:sz w:val="20"/>
          <w:szCs w:val="20"/>
          <w:color w:val="auto"/>
        </w:rPr>
      </w:pPr>
      <w:r>
        <w:rPr>
          <w:rFonts w:ascii="Arial" w:cs="Arial" w:eastAsia="Arial" w:hAnsi="Arial"/>
          <w:sz w:val="18"/>
          <w:szCs w:val="18"/>
          <w:color w:val="auto"/>
        </w:rPr>
        <w:t>of such organizations by encouraging excessive risk-taking. The Incentive Compensation Guidance, which covers all employees that have the ability to materially affect the risk profile of an organization, either individually or as part of a group, is based upon the key principles that a banking organization’s incentive compensation arrangements should (i) provide incentives that do not encourage risk-taking beyond the organization’s ability to effectively identify and manage risks, (ii) be compatible with effective internal controls and risk management, and (iii) be supported by strong corporate governance, including active and effective oversight by the organization’s board of directors. These three principles are incorporated into the proposed joint compensation regulations under the Dodd-Frank Act noted below. Any deficiencies in compensation practices that are identified may be incorporated into the organization’s supervisory ratings, which can affect its ability to make acquisitions or perform other actions. The Incentive Compensation Guidance provides that enforcement actions may be taken against a banking organization if its incentive compensation arrangements or related risk-management control or governance processes pose a risk to the organization’s safety and soundness and the organization is not taking prompt and effective measures to correct the deficiencies.</w:t>
      </w:r>
    </w:p>
    <w:p>
      <w:pPr>
        <w:spacing w:after="0" w:line="3" w:lineRule="exact"/>
        <w:rPr>
          <w:sz w:val="20"/>
          <w:szCs w:val="20"/>
          <w:color w:val="auto"/>
        </w:rPr>
      </w:pPr>
    </w:p>
    <w:p>
      <w:pPr>
        <w:jc w:val="both"/>
        <w:ind w:right="40" w:firstLine="598"/>
        <w:spacing w:after="0" w:line="274" w:lineRule="auto"/>
        <w:rPr>
          <w:sz w:val="20"/>
          <w:szCs w:val="20"/>
          <w:color w:val="auto"/>
        </w:rPr>
      </w:pPr>
      <w:r>
        <w:rPr>
          <w:rFonts w:ascii="Arial" w:cs="Arial" w:eastAsia="Arial" w:hAnsi="Arial"/>
          <w:sz w:val="18"/>
          <w:szCs w:val="18"/>
          <w:color w:val="auto"/>
        </w:rPr>
        <w:t>The Dodd-Frank Act requires the federal bank regulatory agencies and the SEC to establish joint regulations or guidelines prohibiting incentive-based payment arrangements at specified regulated entities having at least $1 billion in total assets, such as M&amp;T and M&amp;T Bank. In June 2016, the agencies proposed rules to implement this requirement but these proposed rules have not been finalized.</w:t>
      </w:r>
    </w:p>
    <w:p>
      <w:pPr>
        <w:spacing w:after="0" w:line="1" w:lineRule="exact"/>
        <w:rPr>
          <w:sz w:val="20"/>
          <w:szCs w:val="20"/>
          <w:color w:val="auto"/>
        </w:rPr>
      </w:pPr>
    </w:p>
    <w:p>
      <w:pPr>
        <w:ind w:right="440" w:firstLine="598"/>
        <w:spacing w:after="0" w:line="246" w:lineRule="auto"/>
        <w:rPr>
          <w:sz w:val="20"/>
          <w:szCs w:val="20"/>
          <w:color w:val="auto"/>
        </w:rPr>
      </w:pPr>
      <w:r>
        <w:rPr>
          <w:rFonts w:ascii="Arial" w:cs="Arial" w:eastAsia="Arial" w:hAnsi="Arial"/>
          <w:sz w:val="20"/>
          <w:szCs w:val="20"/>
          <w:color w:val="auto"/>
        </w:rPr>
        <w:t>In October 2016, the NYSDFS issued guidance emphasizing that its regulated banking institutions, including M&amp;T Bank, must ensure that any incentive compensation arrangements tied to employee performance indicators are subject to effective risk management, oversight and control.</w:t>
      </w:r>
    </w:p>
    <w:p>
      <w:pPr>
        <w:spacing w:after="0" w:line="2" w:lineRule="exact"/>
        <w:rPr>
          <w:sz w:val="20"/>
          <w:szCs w:val="20"/>
          <w:color w:val="auto"/>
        </w:rPr>
      </w:pPr>
    </w:p>
    <w:p>
      <w:pPr>
        <w:ind w:right="20" w:firstLine="598"/>
        <w:spacing w:after="0" w:line="251" w:lineRule="auto"/>
        <w:rPr>
          <w:sz w:val="20"/>
          <w:szCs w:val="20"/>
          <w:color w:val="auto"/>
        </w:rPr>
      </w:pPr>
      <w:r>
        <w:rPr>
          <w:rFonts w:ascii="Arial" w:cs="Arial" w:eastAsia="Arial" w:hAnsi="Arial"/>
          <w:sz w:val="20"/>
          <w:szCs w:val="20"/>
          <w:color w:val="auto"/>
        </w:rPr>
        <w:t>The scope and content of the banking regulators’ policies on incentive compensation are continuing to develop and are likely to continue evolving in the future. It cannot be determined at this time whether compliance with such policies will adversely affect the ability of M&amp;T and its subsidiaries to hire, retain and motivate their key employees.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Resolution Planning</w:t>
      </w:r>
    </w:p>
    <w:p>
      <w:pPr>
        <w:spacing w:after="0" w:line="29"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Pursuant to the Dodd-Frank Act, as amended by EGRRCPA, certain bank holding companies are required to report periodically to the Federal Reserve and the FDIC a resolution plan for their rapid and orderly resolution in the event of material financial distress or failure. However, in connection with the release of the Tailoring Rules, the Federal Reserve and FDIC finalized rules in October 2019 which, among other things, adjust the review cycles and applicability of the agencies’ resolution planning requirements. Under these new rules, Category IV firms such as M&amp;T are no longer required to submit resolution plans.</w:t>
      </w:r>
    </w:p>
    <w:p>
      <w:pPr>
        <w:spacing w:after="0" w:line="4" w:lineRule="exact"/>
        <w:rPr>
          <w:sz w:val="20"/>
          <w:szCs w:val="20"/>
          <w:color w:val="auto"/>
        </w:rPr>
      </w:pPr>
    </w:p>
    <w:p>
      <w:pPr>
        <w:ind w:right="80" w:firstLine="598"/>
        <w:spacing w:after="0" w:line="249" w:lineRule="auto"/>
        <w:rPr>
          <w:sz w:val="20"/>
          <w:szCs w:val="20"/>
          <w:color w:val="auto"/>
        </w:rPr>
      </w:pPr>
      <w:r>
        <w:rPr>
          <w:rFonts w:ascii="Arial" w:cs="Arial" w:eastAsia="Arial" w:hAnsi="Arial"/>
          <w:sz w:val="20"/>
          <w:szCs w:val="20"/>
          <w:color w:val="auto"/>
        </w:rPr>
        <w:t>The FDIC has separately implemented a resolution planning rule that currently requires insured depository institutions with $50 billion or more in total assets, such as M&amp;T Bank, to submit to the FDIC periodic plans for resolution in the event of the institution’s failure. In April 2019, the FDIC released an advance notice of proposed rulemaking about potential changes to its resolution planning requirements for insured depository institutions, such as M&amp;T Bank, and the next round of insured depository institution resolution plan submissions will not be required until the rulemaking process is complete.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Insolvency of an Insured Depository Institution or a Bank Holding Company</w:t>
      </w:r>
    </w:p>
    <w:p>
      <w:pPr>
        <w:spacing w:after="0" w:line="29"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If the FDIC is appointed as conservator or receiver for an insured depository institution such as M&amp;T Bank or Wilmington Trust, N.A., upon its insolvency or in certain other events, the FDIC has the power:</w:t>
      </w:r>
    </w:p>
    <w:p>
      <w:pPr>
        <w:spacing w:after="0" w:line="2" w:lineRule="exact"/>
        <w:rPr>
          <w:sz w:val="20"/>
          <w:szCs w:val="20"/>
          <w:color w:val="auto"/>
        </w:rPr>
      </w:pPr>
    </w:p>
    <w:p>
      <w:pPr>
        <w:ind w:left="1180" w:right="280" w:hanging="584"/>
        <w:spacing w:after="0" w:line="246" w:lineRule="auto"/>
        <w:tabs>
          <w:tab w:leader="none" w:pos="1180" w:val="left"/>
        </w:tabs>
        <w:numPr>
          <w:ilvl w:val="0"/>
          <w:numId w:val="8"/>
        </w:numPr>
        <w:rPr>
          <w:rFonts w:ascii="Arial" w:cs="Arial" w:eastAsia="Arial" w:hAnsi="Arial"/>
          <w:sz w:val="20"/>
          <w:szCs w:val="20"/>
          <w:color w:val="auto"/>
        </w:rPr>
      </w:pPr>
      <w:r>
        <w:rPr>
          <w:rFonts w:ascii="Arial" w:cs="Arial" w:eastAsia="Arial" w:hAnsi="Arial"/>
          <w:sz w:val="20"/>
          <w:szCs w:val="20"/>
          <w:color w:val="auto"/>
        </w:rPr>
        <w:t>to transfer any of the depository institution’s assets and liabilities to a new obligor, including a newly formed “bridge” bank without the approval of the depository institution’s creditors;</w:t>
      </w:r>
    </w:p>
    <w:p>
      <w:pPr>
        <w:spacing w:after="0" w:line="1" w:lineRule="exact"/>
        <w:rPr>
          <w:rFonts w:ascii="Arial" w:cs="Arial" w:eastAsia="Arial" w:hAnsi="Arial"/>
          <w:sz w:val="20"/>
          <w:szCs w:val="20"/>
          <w:color w:val="auto"/>
        </w:rPr>
      </w:pPr>
    </w:p>
    <w:p>
      <w:pPr>
        <w:ind w:left="1180" w:right="120" w:hanging="584"/>
        <w:spacing w:after="0" w:line="246" w:lineRule="auto"/>
        <w:tabs>
          <w:tab w:leader="none" w:pos="1180" w:val="left"/>
        </w:tabs>
        <w:numPr>
          <w:ilvl w:val="0"/>
          <w:numId w:val="8"/>
        </w:numPr>
        <w:rPr>
          <w:rFonts w:ascii="Arial" w:cs="Arial" w:eastAsia="Arial" w:hAnsi="Arial"/>
          <w:sz w:val="20"/>
          <w:szCs w:val="20"/>
          <w:color w:val="auto"/>
        </w:rPr>
      </w:pPr>
      <w:r>
        <w:rPr>
          <w:rFonts w:ascii="Arial" w:cs="Arial" w:eastAsia="Arial" w:hAnsi="Arial"/>
          <w:sz w:val="20"/>
          <w:szCs w:val="20"/>
          <w:color w:val="auto"/>
        </w:rPr>
        <w:t>to enforce the terms of the depository institution’s contracts pursuant to their terms without regard to any provisions triggered by the appointment of the FDIC in that capacity; or</w:t>
      </w:r>
    </w:p>
    <w:p>
      <w:pPr>
        <w:spacing w:after="0" w:line="1" w:lineRule="exact"/>
        <w:rPr>
          <w:rFonts w:ascii="Arial" w:cs="Arial" w:eastAsia="Arial" w:hAnsi="Arial"/>
          <w:sz w:val="20"/>
          <w:szCs w:val="20"/>
          <w:color w:val="auto"/>
        </w:rPr>
      </w:pPr>
    </w:p>
    <w:p>
      <w:pPr>
        <w:jc w:val="both"/>
        <w:ind w:left="1180" w:right="620" w:hanging="584"/>
        <w:spacing w:after="0" w:line="251" w:lineRule="auto"/>
        <w:tabs>
          <w:tab w:leader="none" w:pos="1180" w:val="left"/>
        </w:tabs>
        <w:numPr>
          <w:ilvl w:val="0"/>
          <w:numId w:val="8"/>
        </w:numPr>
        <w:rPr>
          <w:rFonts w:ascii="Arial" w:cs="Arial" w:eastAsia="Arial" w:hAnsi="Arial"/>
          <w:sz w:val="20"/>
          <w:szCs w:val="20"/>
          <w:color w:val="auto"/>
        </w:rPr>
      </w:pPr>
      <w:r>
        <w:rPr>
          <w:rFonts w:ascii="Arial" w:cs="Arial" w:eastAsia="Arial" w:hAnsi="Arial"/>
          <w:sz w:val="20"/>
          <w:szCs w:val="20"/>
          <w:color w:val="auto"/>
        </w:rPr>
        <w:t>to repudiate or disaffirm any contract or lease to which the depository institution is a party, the performance of which is determined by the FDIC to be burdensome and the disaffirmance or repudiation of which is determined by the FDIC to promote the orderly administration of the depository institution.</w:t>
      </w:r>
    </w:p>
    <w:p>
      <w:pPr>
        <w:spacing w:after="0" w:line="180" w:lineRule="exact"/>
        <w:rPr>
          <w:sz w:val="20"/>
          <w:szCs w:val="20"/>
          <w:color w:val="auto"/>
        </w:rPr>
      </w:pPr>
    </w:p>
    <w:p>
      <w:pPr>
        <w:ind w:right="40" w:firstLine="598"/>
        <w:spacing w:after="0" w:line="276" w:lineRule="auto"/>
        <w:rPr>
          <w:sz w:val="20"/>
          <w:szCs w:val="20"/>
          <w:color w:val="auto"/>
        </w:rPr>
      </w:pPr>
      <w:r>
        <w:rPr>
          <w:rFonts w:ascii="Arial" w:cs="Arial" w:eastAsia="Arial" w:hAnsi="Arial"/>
          <w:sz w:val="18"/>
          <w:szCs w:val="18"/>
          <w:color w:val="auto"/>
        </w:rPr>
        <w:t>In addition, under federal law, the claims of holders of domestic deposit liabilities and certain claims for administrative expenses against an insured depository institution would be afforded a priority over other general unsecured claims against such an institution, including claims of debt holders of the institution, in the “liquidation or other resolution” of such an institution by any receiver. As a result, whether or not the FDIC ever sought to repudiate any debt obligations of M&amp;T Bank or Wilmington Trust, N.A., the debt holders would be treated differently from, and could receive, if anything, substantially less than, the depositors of the bank. The Dodd-Frank Act created a new resolution regime (known as “orderly liquidation authority”) for systemically important financial companies, including bank holding companies and their affiliates. Under the orderly liquidation authority, the FDIC may be appointed as receiver for the systemically important institution, and its failed subsidiaries, for purposes of liquidating the entity if, among other conditions, it is determined at the time of the institution’s failure that it is in default or in danger of default and the failure poses a risk to the stability of the U.S. financial system.</w:t>
      </w:r>
    </w:p>
    <w:p>
      <w:pPr>
        <w:spacing w:after="0" w:line="4" w:lineRule="exact"/>
        <w:rPr>
          <w:sz w:val="20"/>
          <w:szCs w:val="20"/>
          <w:color w:val="auto"/>
        </w:rPr>
      </w:pPr>
    </w:p>
    <w:p>
      <w:pPr>
        <w:ind w:right="40" w:firstLine="598"/>
        <w:spacing w:after="0" w:line="259" w:lineRule="auto"/>
        <w:rPr>
          <w:sz w:val="20"/>
          <w:szCs w:val="20"/>
          <w:color w:val="auto"/>
        </w:rPr>
      </w:pPr>
      <w:r>
        <w:rPr>
          <w:rFonts w:ascii="Arial" w:cs="Arial" w:eastAsia="Arial" w:hAnsi="Arial"/>
          <w:sz w:val="19"/>
          <w:szCs w:val="19"/>
          <w:color w:val="auto"/>
        </w:rPr>
        <w:t>If the FDIC is appointed as receiver under the orderly liquidation authority, then the powers of the receiver, and the rights and obligations of creditors and other parties who have dealt with the institution, would be determined under the Dodd-Frank Act provisions, and not under the insolvency law that would otherwise apply. The powers of the receiver under the orderly liquidation authority were based on the powers of the FDIC as receiver for depository institutions under the FDIA. However, the provisions governing the rights of creditors under the orderly liquidation authority were modified in certain respects to reduce disparities with the treatment of creditors’ claims under the U.S. Bankruptcy Code as compared to the treatment of those claims under the new authority. Nonetheless, substantial differences in the rights of creditors exist as between these two regimes, including the right of the FDIC to disregard the strict priority of creditor claims in some circumstances, the use of an administrative claims procedure to determine creditors’ claims (as opposed to the judicial procedure utilized in bankruptcy proceedings), and the right of the FDIC to transfer claims to a “bridge” entity.</w:t>
      </w:r>
    </w:p>
    <w:p>
      <w:pPr>
        <w:spacing w:after="0" w:line="6"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An orderly liquidation fund will fund such liquidation proceedings through borrowings from the Treasury Department and risk-based assessments made, first, on entities that received more in the resolution than they would have received in liquidation to the extent of such excess, and second, if necessary, on bank holding companies with total consolidated assets of $50 billion or more, such as M&amp;T. If an orderly liquidation is triggered, M&amp;T could face assessments for the orderly liquidation fund.</w:t>
      </w:r>
    </w:p>
    <w:p>
      <w:pPr>
        <w:spacing w:after="0" w:line="3" w:lineRule="exact"/>
        <w:rPr>
          <w:sz w:val="20"/>
          <w:szCs w:val="20"/>
          <w:color w:val="auto"/>
        </w:rPr>
      </w:pPr>
    </w:p>
    <w:p>
      <w:pPr>
        <w:ind w:right="340" w:firstLine="598"/>
        <w:spacing w:after="0" w:line="256" w:lineRule="auto"/>
        <w:rPr>
          <w:sz w:val="20"/>
          <w:szCs w:val="20"/>
          <w:color w:val="auto"/>
        </w:rPr>
      </w:pPr>
      <w:r>
        <w:rPr>
          <w:rFonts w:ascii="Arial" w:cs="Arial" w:eastAsia="Arial" w:hAnsi="Arial"/>
          <w:sz w:val="20"/>
          <w:szCs w:val="20"/>
          <w:color w:val="auto"/>
        </w:rPr>
        <w:t>The FDIC has developed a strategy under the orderly liquidation authority referred to as the “single point of entry” strategy, under which the FDIC would resolve a failed financial holding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7" w:name="page18"/>
    <w:bookmarkEnd w:id="17"/>
    <w:p>
      <w:pPr>
        <w:ind w:right="120"/>
        <w:spacing w:after="0" w:line="252" w:lineRule="auto"/>
        <w:rPr>
          <w:sz w:val="20"/>
          <w:szCs w:val="20"/>
          <w:color w:val="auto"/>
        </w:rPr>
      </w:pPr>
      <w:r>
        <w:rPr>
          <w:rFonts w:ascii="Arial" w:cs="Arial" w:eastAsia="Arial" w:hAnsi="Arial"/>
          <w:sz w:val="20"/>
          <w:szCs w:val="20"/>
          <w:color w:val="auto"/>
        </w:rPr>
        <w:t>company by transferring its assets (including shares of its operating subsidiaries) and, potentially, very limited liabilities to a “bridge” holding company; utilize the resources of the failed financial holding company to recapitalize the operating subsidiaries; and satisfy the claims of unsecured creditors of the failed financial holding company and other claimants in the receivership by delivering securities of one or more new financial companies that would emerge from the bridge holding company. Under this strategy, management of the failed financial holding company would be replaced and shareholders and creditors of the failed financial holding company would bear the losses resulting from the failure.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Depositor Preference</w:t>
      </w:r>
    </w:p>
    <w:p>
      <w:pPr>
        <w:spacing w:after="0" w:line="29"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Under federal law, depositors and certain claims for administrative expenses and employee compensation against an insured depository institution would be afforded a priority over other general unsecured claims against such an institution in the “liquidation or other resolution” of such an institution by any receiver. If an insured depository institution fails, insured and uninsured depositors, along with the FDIC, will have priority in payment ahead of unsecured, non-deposit creditors, including depositors whose deposits are payable only outside of the United States and the parent BHC, with respect to any extensions of credit they have made to such insured depository institution.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Privacy and Cyber Security</w:t>
      </w:r>
    </w:p>
    <w:p>
      <w:pPr>
        <w:spacing w:after="0" w:line="29"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The federal banking regulators have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diversified financial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 Federal law makes it a criminal offense, except in limited circumstances, to obtain or attempt to obtain customer information of a financial nature by fraudulent or deceptive means.</w:t>
      </w:r>
    </w:p>
    <w:p>
      <w:pPr>
        <w:spacing w:after="0" w:line="2" w:lineRule="exact"/>
        <w:rPr>
          <w:sz w:val="20"/>
          <w:szCs w:val="20"/>
          <w:color w:val="auto"/>
        </w:rPr>
      </w:pPr>
    </w:p>
    <w:p>
      <w:pPr>
        <w:ind w:right="100" w:firstLine="598"/>
        <w:spacing w:after="0" w:line="259" w:lineRule="auto"/>
        <w:rPr>
          <w:sz w:val="20"/>
          <w:szCs w:val="20"/>
          <w:color w:val="auto"/>
        </w:rPr>
      </w:pPr>
      <w:r>
        <w:rPr>
          <w:rFonts w:ascii="Arial" w:cs="Arial" w:eastAsia="Arial" w:hAnsi="Arial"/>
          <w:sz w:val="19"/>
          <w:szCs w:val="19"/>
          <w:color w:val="auto"/>
        </w:rPr>
        <w:t>In October 2016, the federal banking regulators jointly issued an advance notice of proposed rulemaking on enhanced cyber risk management standards that are intended to increase the operational resilience of large and interconnected entities under their supervision. If established, the enhanced cyber risk management standards would be designed to help reduce the potential impact of a cyber-attack or other cyber-related failure on the financial system. The advance notice of proposed rulemaking addresses five categories of cyber standards: (1) cyber risk governance; (2) cyber risk management; (3) internal dependency management; (4) external dependency management; and (5) incident response, cyber resilience, and situational awareness.</w:t>
      </w:r>
    </w:p>
    <w:p>
      <w:pPr>
        <w:spacing w:after="0" w:line="4"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In March 2017, the NYSDFS implemented regulations requiring financial institutions regulated by the NYSDFS, including M&amp;T Bank, to, among other things, (i) establish and maintain a cyber security program designed to ensure the confidentiality, integrity and availability of their information systems; (ii) implement and maintain a written cyber security policy setting forth policies and procedures for the protection of their information systems and nonpublic information; and (iii) designate a Chief Information Security Officer.</w:t>
      </w:r>
    </w:p>
    <w:p>
      <w:pPr>
        <w:spacing w:after="0" w:line="3" w:lineRule="exact"/>
        <w:rPr>
          <w:sz w:val="20"/>
          <w:szCs w:val="20"/>
          <w:color w:val="auto"/>
        </w:rPr>
      </w:pPr>
    </w:p>
    <w:p>
      <w:pPr>
        <w:ind w:right="140" w:firstLine="598"/>
        <w:spacing w:after="0" w:line="256" w:lineRule="auto"/>
        <w:rPr>
          <w:sz w:val="20"/>
          <w:szCs w:val="20"/>
          <w:color w:val="auto"/>
        </w:rPr>
      </w:pPr>
      <w:r>
        <w:rPr>
          <w:rFonts w:ascii="Arial" w:cs="Arial" w:eastAsia="Arial" w:hAnsi="Arial"/>
          <w:sz w:val="20"/>
          <w:szCs w:val="20"/>
          <w:color w:val="auto"/>
        </w:rPr>
        <w:t>Many state regulators have been increasingly active in implementing privacy and cybersecurity standards and regulations, including implementing or modifying their data breach notification and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18" w:name="page19"/>
    <w:bookmarkEnd w:id="18"/>
    <w:p>
      <w:pPr>
        <w:ind w:right="2020"/>
        <w:spacing w:after="0" w:line="385" w:lineRule="auto"/>
        <w:rPr>
          <w:sz w:val="20"/>
          <w:szCs w:val="20"/>
          <w:color w:val="auto"/>
        </w:rPr>
      </w:pPr>
      <w:r>
        <w:rPr>
          <w:rFonts w:ascii="Arial" w:cs="Arial" w:eastAsia="Arial" w:hAnsi="Arial"/>
          <w:sz w:val="19"/>
          <w:szCs w:val="19"/>
          <w:color w:val="auto"/>
        </w:rPr>
        <w:t xml:space="preserve">data privacy requirements. For example, the California Consumer Privacy Act became effective on January 1, 2020. </w:t>
      </w:r>
      <w:r>
        <w:rPr>
          <w:rFonts w:ascii="Arial" w:cs="Arial" w:eastAsia="Arial" w:hAnsi="Arial"/>
          <w:sz w:val="19"/>
          <w:szCs w:val="19"/>
          <w:b w:val="1"/>
          <w:bCs w:val="1"/>
          <w:color w:val="auto"/>
        </w:rPr>
        <w:t>Consumer Protection Laws and the Consumer Financial Protection Bureau Supervision</w:t>
      </w:r>
    </w:p>
    <w:p>
      <w:pPr>
        <w:spacing w:after="0" w:line="259" w:lineRule="auto"/>
        <w:rPr>
          <w:sz w:val="20"/>
          <w:szCs w:val="20"/>
          <w:color w:val="auto"/>
        </w:rPr>
      </w:pPr>
      <w:r>
        <w:rPr>
          <w:rFonts w:ascii="Arial" w:cs="Arial" w:eastAsia="Arial" w:hAnsi="Arial"/>
          <w:sz w:val="19"/>
          <w:szCs w:val="19"/>
          <w:color w:val="auto"/>
        </w:rPr>
        <w:t>In connection with their respective lending and leasing activities, M&amp;T Bank, Wilmington Trust, N.A. and certain of their subsidiaries, are each subject to a number of federal and state laws designed to protect borrowers and promote lending to various sectors of the economy. Such laws include: the Equal Credit Opportunity Act, the Fair Credit Reporting Act, the Fair and Accurate Credit Transactions Act, the Truth in Lending Act, the Home Mortgage Disclosure Act, the Electronic Fund Transfer Act, the Real Estate Settlement Procedures Act, the Servicemembers Civil Relief Act, and various state law counterparts. Furthermore, the CFPB has issued integrated disclosure requirements under the Truth in Lending Act and the Real Estate Settlement Procedures Act that relate to the provision of disclosures to borrowers. There are also consumer protection laws governing deposit taking activities (e.g. Truth in Savings Act), as well securities and insurance laws governing certain aspects of the Company’s consolidated operations.</w:t>
      </w:r>
    </w:p>
    <w:p>
      <w:pPr>
        <w:spacing w:after="0" w:line="6" w:lineRule="exact"/>
        <w:rPr>
          <w:sz w:val="20"/>
          <w:szCs w:val="20"/>
          <w:color w:val="auto"/>
        </w:rPr>
      </w:pPr>
    </w:p>
    <w:p>
      <w:pPr>
        <w:ind w:right="160" w:firstLine="598"/>
        <w:spacing w:after="0" w:line="259" w:lineRule="auto"/>
        <w:rPr>
          <w:sz w:val="20"/>
          <w:szCs w:val="20"/>
          <w:color w:val="auto"/>
        </w:rPr>
      </w:pPr>
      <w:r>
        <w:rPr>
          <w:rFonts w:ascii="Arial" w:cs="Arial" w:eastAsia="Arial" w:hAnsi="Arial"/>
          <w:sz w:val="19"/>
          <w:szCs w:val="19"/>
          <w:color w:val="auto"/>
        </w:rPr>
        <w:t>The Dodd-Frank Act established the CFPB with broad powers to supervise and enforce most federal consumer protection laws. The CFPB has broad rule-making authority for a wide range of consumer protection laws that apply to all banks and savings institutions, including the authority to prohibit “unfair, deceptive or abusive” acts and practices. The CFPB has examination and enforcement authority over all banks and savings institutions with more than $10 billion in assets, including M&amp;T Bank.</w:t>
      </w:r>
    </w:p>
    <w:p>
      <w:pPr>
        <w:spacing w:after="0" w:line="3"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One of the important rules in governing deposits is the Electronic Fund Transfer Act which, among other things, prohibits financial institutions from charging consumers fees for paying overdrafts on automated teller machines (“ATM”) and one-time debit card transactions, unless a consumer consents, or opts in, to the overdraft service for those type of transactions. If a consumer does not opt in, any ATM transaction or one-time debit card transaction sent for approval that exceeds the customer’s available balance will be declined. Overdrafts on other types of transactions (e.g. checks, recurring debit card transactions and ACH transactions) are not covered by this rule. Before opting in, the consumer must be provided a notice that explains the financial institution’s overdraft services, including the fees associated with the service, and the consumer’s choices. Financial institutions must provide consumers who do not opt in with the same account terms, conditions and features (including pricing) that they provide to consumers who do opt in.</w:t>
      </w:r>
    </w:p>
    <w:p>
      <w:pPr>
        <w:spacing w:after="0" w:line="6" w:lineRule="exact"/>
        <w:rPr>
          <w:sz w:val="20"/>
          <w:szCs w:val="20"/>
          <w:color w:val="auto"/>
        </w:rPr>
      </w:pPr>
    </w:p>
    <w:p>
      <w:pPr>
        <w:ind w:right="20" w:firstLine="598"/>
        <w:spacing w:after="0" w:line="246" w:lineRule="auto"/>
        <w:rPr>
          <w:sz w:val="20"/>
          <w:szCs w:val="20"/>
          <w:color w:val="auto"/>
        </w:rPr>
      </w:pPr>
      <w:r>
        <w:rPr>
          <w:rFonts w:ascii="Arial" w:cs="Arial" w:eastAsia="Arial" w:hAnsi="Arial"/>
          <w:sz w:val="20"/>
          <w:szCs w:val="20"/>
          <w:color w:val="auto"/>
        </w:rPr>
        <w:t>The CFPB has issued final rules that change the reporting requirements for lenders under the Home Mortgage Disclosure Act. The rules expand the range of transactions subject to the requirements to include most securitized residential mortgage loans and credit lines. The rules also increased the overall amount of data required to be collected and submitted, including additional data points about loans and borrowers.</w:t>
      </w:r>
    </w:p>
    <w:p>
      <w:pPr>
        <w:spacing w:after="0" w:line="3" w:lineRule="exact"/>
        <w:rPr>
          <w:sz w:val="20"/>
          <w:szCs w:val="20"/>
          <w:color w:val="auto"/>
        </w:rPr>
      </w:pPr>
    </w:p>
    <w:p>
      <w:pPr>
        <w:ind w:right="300" w:firstLine="598"/>
        <w:spacing w:after="0" w:line="251" w:lineRule="auto"/>
        <w:rPr>
          <w:sz w:val="20"/>
          <w:szCs w:val="20"/>
          <w:color w:val="auto"/>
        </w:rPr>
      </w:pPr>
      <w:r>
        <w:rPr>
          <w:rFonts w:ascii="Arial" w:cs="Arial" w:eastAsia="Arial" w:hAnsi="Arial"/>
          <w:sz w:val="20"/>
          <w:szCs w:val="20"/>
          <w:color w:val="auto"/>
        </w:rPr>
        <w:t>In addition, the Dodd-Frank Act permits states to adopt consumer protection laws and standards that are more stringent than those adopted at the federal level and, in certain circumstances, permits state attorneys general to enforce compliance with both the state and federal laws and regulations.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Community Reinvestment Act</w:t>
      </w:r>
    </w:p>
    <w:p>
      <w:pPr>
        <w:spacing w:after="0" w:line="29"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The CRA is intended to encourage depository institutions to help meet the credit needs of the communities in which they operate, including low- and moderate-income neighborhoods, consistent with safe and sound operations. CRA examinations are conducted by the federal agencies that are responsible for supervising depository institutions: the Federal Reserve, the FDIC and the OCC. A financial institution’s performance in helping to meet the credit needs of its community is evaluated in the context of information about the institution (capacity, constraints and business strategies), its community (demographic and economic data, lending, investment, and service opportunities), and its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19" w:name="page20"/>
    <w:bookmarkEnd w:id="19"/>
    <w:p>
      <w:pPr>
        <w:ind w:right="60"/>
        <w:spacing w:after="0" w:line="279" w:lineRule="auto"/>
        <w:rPr>
          <w:sz w:val="20"/>
          <w:szCs w:val="20"/>
          <w:color w:val="auto"/>
        </w:rPr>
      </w:pPr>
      <w:r>
        <w:rPr>
          <w:rFonts w:ascii="Arial" w:cs="Arial" w:eastAsia="Arial" w:hAnsi="Arial"/>
          <w:sz w:val="18"/>
          <w:szCs w:val="18"/>
          <w:color w:val="auto"/>
        </w:rPr>
        <w:t>competitors and peers. Upon completion of a CRA examination, an overall CRA Rating is assigned using a four-tiered rating system. These ratings are: “Outstanding,” “Satisfactory,” “Needs to Improve” and “Substantial Noncompliance.” The CRA evaluation is used in evaluating applications for future approval of bank activities including mergers, acquisitions, charters, branch openings and deposit facilities. M&amp;T Bank has a current rating of “Outstanding.” M&amp;T Bank is also subject to New York State CRA examination and is assessed using a 1 to 4 scoring system. M&amp;T Bank currently has an “Outstanding” rating from the NYSDFS. Wilmington Trust, N.A. has been designated a special purpose trust company since March 3, 2016, and is therefore exempt from the requirements of the CRA. In April 2018, the U.S. Department of Treasury issued a memorandum to the federal banking regulators with recommended changes to the CRA’s implementing regulations to reduce their complexity and associated burden on banks. In December 2019, the OCC and FDIC issued a notice of proposed rulemaking intended to (i) clarify which activities qualify for CRA credit; (ii) update where activities count for CRA credit; (iii) create a more transparent and objective method for measuring CRA performance; and (iv) provide for more transparent, consistent, and timely CRA-related data collection, recordkeeping, and reporting. However, the Federal Reserve has not joined the proposed rulemaking. The Company will continue to evaluate the impact of any changes to the regulations implementing the CRA.</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Secrecy and Anti-Money Laundering</w:t>
      </w:r>
    </w:p>
    <w:p>
      <w:pPr>
        <w:spacing w:after="0" w:line="29"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Federal laws and regulations impose obligations on U.S. financial institutions, including banks and broker/dealer subsidiaries, to implement and maintain appropriate policies, procedures and controls which are reasonably designed to prevent, detect and report instances of money laundering and the financing of terrorism and to verify the identity of their customers. In addition, these provisions require the federal financial institution regulatory agencies to consider the effectiveness of a financial institution’s anti-money laundering activities when reviewing bank mergers and BHC acquisitions. Failure of a financial institution to maintain and implement adequate programs to combat money laundering and terrorist financing could have serious legal and reputational consequences for the institution.</w:t>
      </w:r>
    </w:p>
    <w:p>
      <w:pPr>
        <w:spacing w:after="0" w:line="1" w:lineRule="exact"/>
        <w:rPr>
          <w:sz w:val="20"/>
          <w:szCs w:val="20"/>
          <w:color w:val="auto"/>
        </w:rPr>
      </w:pPr>
    </w:p>
    <w:p>
      <w:pPr>
        <w:ind w:firstLine="598"/>
        <w:spacing w:after="0" w:line="249" w:lineRule="auto"/>
        <w:rPr>
          <w:sz w:val="20"/>
          <w:szCs w:val="20"/>
          <w:color w:val="auto"/>
        </w:rPr>
      </w:pPr>
      <w:r>
        <w:rPr>
          <w:rFonts w:ascii="Arial" w:cs="Arial" w:eastAsia="Arial" w:hAnsi="Arial"/>
          <w:sz w:val="20"/>
          <w:szCs w:val="20"/>
          <w:color w:val="auto"/>
        </w:rPr>
        <w:t>Financial Crimes Enforcement Network, which drafts regulations implementing the USA PATRIOT Act and other anti-money laundering and bank secrecy act legislation, has adopted rules that require financial institutions to obtain beneficial ownership information with respect to legal entities with which such institutions conduct business, subject to certain exclusions and exemptions. Bank regulators are focusing their examinations on anti-money laundering compliance, and M&amp;T continues to monitor and augment, where necessary, its anti-money laundering compliance programs.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Office of Foreign Assets Control Regulation</w:t>
      </w:r>
    </w:p>
    <w:p>
      <w:pPr>
        <w:spacing w:after="0" w:line="29"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The United States has imposed economic sanctions that affect transactions with designated foreign countries, nationals and others. These are typically known as the “OFAC” rules based on their administration by the U.S. Treasury Department Office of Foreign Assets Control (“OFAC”). The OFAC-administered sanctions targeting countries take many different forms. Generally, however, they contain one or more of the following elements: (i) restrictions on trade with or investment in a sanctioned country, including prohibitions against direct or indirect imports from and exports to a sanctioned country and prohibitions on “U.S. persons” engaging in financial transactions relating to making investments in, or providing investment-related advice or assistance to, a sanctioned country; and (ii) a blocking of assets in which the government or specially designated nationals of the sanctioned country have an interest, by prohibiting transfers of property subject to U.S. jurisdiction (including property in the possession or control of U.S. persons). Blocked assets (e.g. property and bank deposits) cannot be paid out, withdrawn, set off or transferred in any manner without a license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20" w:name="page21"/>
    <w:bookmarkEnd w:id="20"/>
    <w:p>
      <w:pPr>
        <w:spacing w:after="0"/>
        <w:rPr>
          <w:sz w:val="20"/>
          <w:szCs w:val="20"/>
          <w:color w:val="auto"/>
        </w:rPr>
      </w:pPr>
      <w:r>
        <w:rPr>
          <w:rFonts w:ascii="Arial" w:cs="Arial" w:eastAsia="Arial" w:hAnsi="Arial"/>
          <w:sz w:val="20"/>
          <w:szCs w:val="20"/>
          <w:color w:val="auto"/>
        </w:rPr>
        <w:t>from OFAC. Failure to comply with these sanctions could have serious legal and reputational consequences.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Federal Reserve Policies</w:t>
      </w:r>
    </w:p>
    <w:p>
      <w:pPr>
        <w:spacing w:after="0" w:line="29" w:lineRule="exact"/>
        <w:rPr>
          <w:sz w:val="20"/>
          <w:szCs w:val="20"/>
          <w:color w:val="auto"/>
        </w:rPr>
      </w:pPr>
    </w:p>
    <w:p>
      <w:pPr>
        <w:ind w:right="40"/>
        <w:spacing w:after="0" w:line="297" w:lineRule="auto"/>
        <w:rPr>
          <w:sz w:val="20"/>
          <w:szCs w:val="20"/>
          <w:color w:val="auto"/>
        </w:rPr>
      </w:pPr>
      <w:r>
        <w:rPr>
          <w:rFonts w:ascii="Arial" w:cs="Arial" w:eastAsia="Arial" w:hAnsi="Arial"/>
          <w:sz w:val="17"/>
          <w:szCs w:val="17"/>
          <w:color w:val="auto"/>
        </w:rPr>
        <w:t>The earnings of the Company are significantly affected by the monetary and fiscal policies of governmental authorities, including the Federal Reserve. Among the instruments of monetary policy used by the Federal Reserve are open-market operations in U.S. Government securities and federal funds, changes in the discount rate on member bank borrowings and changes in reserve requirements against member bank deposits. These instruments of monetary policy are used in varying combinations to influence the overall level of bank loans, investments and deposits, and the interest rates charged on loans and paid for deposits. The Federal Reserve frequently uses these instruments of monetary policy, especially its open-market operations and the discount rate, to influence the level of interest rates and to affect the strength of the economy, the level of inflation or the price of the dollar in foreign exchange markets. The monetary policies of the Federal Reserve have had a significant effect on the operating results of banking institutions in the past and are expected to continue to do so in the future. It is not possible to predict the nature of future changes in monetary and fiscal policies or the effect which they may have on the Company’s business and earnings.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w:t>
      </w:r>
    </w:p>
    <w:p>
      <w:pPr>
        <w:spacing w:after="0" w:line="29"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M&amp;T’s Corporate Governance Standards and the following corporate governance documents are also available on M&amp;T’s website at the Investor Relations link: Disclosure and Regulation FD Policy; Executive Committee Charter; Nomination, Compensation and Governance Committee Charter; Audit Committee Charter; Risk Committee Charter; Financial Reporting and Disclosure Controls and Procedures Policy; Code of Ethics for CEO and Senior Financial Officers; Code of Business Conduct and Ethics; Employee Complaint Procedures for Accounting and Auditing Matters; and Excessive or Luxury Expenditures Policy. Copies of such governance documents are also available, free of charge, to any person who requests them. Such requests may be directed to M&amp;T Bank Corporation, Shareholder Relations Department, One M&amp;T Plaza, 8th Floor, Buffalo, NY 14203-2399 (Telephone: (716) 842-5138).</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9"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The Company competes in offering commercial and personal financial and wealth services with other banking institutions and thrifts and with firms in a number of other industries, such as credit unions, personal loan companies, sales finance companies, leasing companies, securities brokerage firms, mutual fund companies, hedge funds, wealth and investment advisory firms, insurance companies and other financial services-related entities. Furthermore, diversified financial services companies are able to offer a combination of these services to their customers on a nationwide basis. The Company’s operations are significantly impacted by state and federal regulations applicable to the banking industry. Moreover, provisions of the Gramm-Leach-Bliley Act of 1999, the Interstate Banking Act and state banking laws have allowed for increased competition among diversified financial services providers and e-commerce and other Internet-based companies.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Information</w:t>
      </w:r>
    </w:p>
    <w:p>
      <w:pPr>
        <w:spacing w:after="0" w:line="29" w:lineRule="exact"/>
        <w:rPr>
          <w:sz w:val="20"/>
          <w:szCs w:val="20"/>
          <w:color w:val="auto"/>
        </w:rPr>
      </w:pPr>
    </w:p>
    <w:p>
      <w:pPr>
        <w:ind w:right="280"/>
        <w:spacing w:after="0" w:line="249" w:lineRule="auto"/>
        <w:rPr>
          <w:sz w:val="20"/>
          <w:szCs w:val="20"/>
          <w:color w:val="auto"/>
        </w:rPr>
      </w:pPr>
      <w:r>
        <w:rPr>
          <w:rFonts w:ascii="Arial" w:cs="Arial" w:eastAsia="Arial" w:hAnsi="Arial"/>
          <w:sz w:val="20"/>
          <w:szCs w:val="20"/>
          <w:color w:val="auto"/>
        </w:rPr>
        <w:t>Through a link on the Investor Relations section of M&amp;T’s website at www.mtb.com, copies of M&amp;T’s Annual Reports on Form 10-K, Quarterly Reports on Form 10-Q and Current Reports on Form 8-K, and amendments to those reports filed or furnished pursuant to Section 13(a) or 15(d) of the Exchange Act, are made available, free of charge, as soon as reasonably practicable after electronically filing such material with, or furnishing it to, the SEC. Copies of such reports and other information are also available at no charge to any person who requests them or at www.sec.gov. Such</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1" w:name="page22"/>
    <w:bookmarkEnd w:id="21"/>
    <w:p>
      <w:pPr>
        <w:ind w:right="180"/>
        <w:spacing w:after="0" w:line="275" w:lineRule="auto"/>
        <w:rPr>
          <w:sz w:val="20"/>
          <w:szCs w:val="20"/>
          <w:color w:val="auto"/>
        </w:rPr>
      </w:pPr>
      <w:r>
        <w:rPr>
          <w:rFonts w:ascii="Arial" w:cs="Arial" w:eastAsia="Arial" w:hAnsi="Arial"/>
          <w:sz w:val="20"/>
          <w:szCs w:val="20"/>
          <w:color w:val="auto"/>
        </w:rPr>
        <w:t>requests may be directed to M&amp;T Bank Corporation, Shareholder Relations Department, One M&amp;T Plaza, 8th Floor, Buffalo, NY 14203-2399 (Telephone: (716) 842-5138).</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Statistical Disclosure Pursuant to Guide 3</w:t>
      </w:r>
    </w:p>
    <w:p>
      <w:pPr>
        <w:spacing w:after="0" w:line="29"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See cross-reference sheet for disclosures incorporated elsewhere in this Annual Report on Form 10-K. Additional information is included in the following tables.</w:t>
      </w:r>
    </w:p>
    <w:p>
      <w:pPr>
        <w:spacing w:after="0" w:line="1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280"/>
          </w:cols>
          <w:pgMar w:left="240" w:top="126" w:right="37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Table 1</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SELECTED CONSOLIDATED YEAR-END BALANCES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48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12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6"/>
        </w:trPr>
        <w:tc>
          <w:tcPr>
            <w:tcW w:w="3100" w:type="dxa"/>
            <w:vAlign w:val="bottom"/>
            <w:gridSpan w:val="2"/>
          </w:tcPr>
          <w:p>
            <w:pPr>
              <w:spacing w:after="0"/>
              <w:rPr>
                <w:sz w:val="20"/>
                <w:szCs w:val="20"/>
                <w:color w:val="auto"/>
              </w:rPr>
            </w:pPr>
            <w:r>
              <w:rPr>
                <w:rFonts w:ascii="Arial" w:cs="Arial" w:eastAsia="Arial" w:hAnsi="Arial"/>
                <w:sz w:val="18"/>
                <w:szCs w:val="18"/>
                <w:color w:val="auto"/>
              </w:rPr>
              <w:t>Interest-bearing deposits at banks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7,190,154</w:t>
            </w:r>
          </w:p>
        </w:tc>
        <w:tc>
          <w:tcPr>
            <w:tcW w:w="120" w:type="dxa"/>
            <w:vAlign w:val="bottom"/>
          </w:tcPr>
          <w:p>
            <w:pPr>
              <w:spacing w:after="0"/>
              <w:rPr>
                <w:sz w:val="24"/>
                <w:szCs w:val="2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8,105,197</w:t>
            </w:r>
          </w:p>
        </w:tc>
        <w:tc>
          <w:tcPr>
            <w:tcW w:w="6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5,078,903</w:t>
            </w:r>
          </w:p>
        </w:tc>
        <w:tc>
          <w:tcPr>
            <w:tcW w:w="6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5,000,638</w:t>
            </w:r>
          </w:p>
        </w:tc>
        <w:tc>
          <w:tcPr>
            <w:tcW w:w="160" w:type="dxa"/>
            <w:vAlign w:val="bottom"/>
          </w:tcPr>
          <w:p>
            <w:pPr>
              <w:spacing w:after="0"/>
              <w:rPr>
                <w:sz w:val="24"/>
                <w:szCs w:val="24"/>
                <w:color w:val="auto"/>
              </w:rPr>
            </w:pPr>
          </w:p>
        </w:tc>
        <w:tc>
          <w:tcPr>
            <w:tcW w:w="320" w:type="dxa"/>
            <w:vAlign w:val="bottom"/>
          </w:tcPr>
          <w:p>
            <w:pPr>
              <w:jc w:val="right"/>
              <w:ind w:right="151"/>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7,594,350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Federal funds sold</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100" w:type="dxa"/>
            <w:vAlign w:val="bottom"/>
            <w:gridSpan w:val="2"/>
          </w:tcPr>
          <w:p>
            <w:pPr>
              <w:spacing w:after="0"/>
              <w:rPr>
                <w:sz w:val="20"/>
                <w:szCs w:val="20"/>
                <w:color w:val="auto"/>
              </w:rPr>
            </w:pPr>
            <w:r>
              <w:rPr>
                <w:rFonts w:ascii="Arial" w:cs="Arial" w:eastAsia="Arial" w:hAnsi="Arial"/>
                <w:sz w:val="18"/>
                <w:szCs w:val="18"/>
                <w:color w:val="auto"/>
              </w:rPr>
              <w:t>Trading account</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470,129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185,584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132,909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323,867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273,783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securities</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r>
      <w:tr>
        <w:trPr>
          <w:trHeight w:val="223"/>
        </w:trPr>
        <w:tc>
          <w:tcPr>
            <w:tcW w:w="3100" w:type="dxa"/>
            <w:vAlign w:val="bottom"/>
            <w:gridSpan w:val="2"/>
          </w:tcPr>
          <w:p>
            <w:pPr>
              <w:ind w:left="240"/>
              <w:spacing w:after="0"/>
              <w:rPr>
                <w:sz w:val="20"/>
                <w:szCs w:val="20"/>
                <w:color w:val="auto"/>
              </w:rPr>
            </w:pPr>
            <w:r>
              <w:rPr>
                <w:rFonts w:ascii="Arial" w:cs="Arial" w:eastAsia="Arial" w:hAnsi="Arial"/>
                <w:sz w:val="18"/>
                <w:szCs w:val="18"/>
                <w:color w:val="auto"/>
              </w:rPr>
              <w:t>U.S. Treasury and federal agencies</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8,746,749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11,746,240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13,851,832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15,090,578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14,540,237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Obligations of states and political</w:t>
            </w: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r>
      <w:tr>
        <w:trPr>
          <w:trHeight w:val="223"/>
        </w:trPr>
        <w:tc>
          <w:tcPr>
            <w:tcW w:w="31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subdivisions</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4,915</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9,153</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27,151</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3"/>
              </w:rPr>
              <w:t>64,499</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124,459</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r>
      <w:tr>
        <w:trPr>
          <w:trHeight w:val="223"/>
        </w:trPr>
        <w:tc>
          <w:tcPr>
            <w:tcW w:w="310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745,587</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937,420</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785,542</w:t>
            </w: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1,095,391</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991,743</w:t>
            </w: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r>
      <w:tr>
        <w:trPr>
          <w:trHeight w:val="217"/>
        </w:trPr>
        <w:tc>
          <w:tcPr>
            <w:tcW w:w="310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Total investment securities</w:t>
            </w: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9,497,251</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12,692,813</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14,664,525</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16,250,468</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15,656,439</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r>
      <w:tr>
        <w:trPr>
          <w:trHeight w:val="223"/>
        </w:trPr>
        <w:tc>
          <w:tcPr>
            <w:tcW w:w="3100" w:type="dxa"/>
            <w:vAlign w:val="bottom"/>
            <w:gridSpan w:val="2"/>
          </w:tcPr>
          <w:p>
            <w:pPr>
              <w:spacing w:after="0"/>
              <w:rPr>
                <w:sz w:val="20"/>
                <w:szCs w:val="20"/>
                <w:color w:val="auto"/>
              </w:rPr>
            </w:pPr>
            <w:r>
              <w:rPr>
                <w:rFonts w:ascii="Arial" w:cs="Arial" w:eastAsia="Arial" w:hAnsi="Arial"/>
                <w:sz w:val="18"/>
                <w:szCs w:val="18"/>
                <w:color w:val="auto"/>
              </w:rPr>
              <w:t>Loans and leases</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1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financial, leasing, etc.</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23,987,897</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23,136,913</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21,900,258</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22,770,629</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20,576,737</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r>
      <w:tr>
        <w:trPr>
          <w:trHeight w:val="223"/>
        </w:trPr>
        <w:tc>
          <w:tcPr>
            <w:tcW w:w="3100" w:type="dxa"/>
            <w:vAlign w:val="bottom"/>
            <w:gridSpan w:val="2"/>
          </w:tcPr>
          <w:p>
            <w:pPr>
              <w:ind w:left="240"/>
              <w:spacing w:after="0"/>
              <w:rPr>
                <w:sz w:val="20"/>
                <w:szCs w:val="20"/>
                <w:color w:val="auto"/>
              </w:rPr>
            </w:pPr>
            <w:r>
              <w:rPr>
                <w:rFonts w:ascii="Arial" w:cs="Arial" w:eastAsia="Arial" w:hAnsi="Arial"/>
                <w:sz w:val="18"/>
                <w:szCs w:val="18"/>
                <w:color w:val="auto"/>
              </w:rPr>
              <w:t>Real estate — construction</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9,010,297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8,823,635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8,125,925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8,066,756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5,716,994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1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Real estate — mortgage</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42,816,450</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42,816,858</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44,965,038</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48,134,198</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49,841,156</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r>
      <w:tr>
        <w:trPr>
          <w:trHeight w:val="223"/>
        </w:trPr>
        <w:tc>
          <w:tcPr>
            <w:tcW w:w="310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Consumer</w:t>
            </w:r>
          </w:p>
        </w:tc>
        <w:tc>
          <w:tcPr>
            <w:tcW w:w="7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15,373,881</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13,956,086</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13,251,665</w:t>
            </w: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12,130,094</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11,584,347</w:t>
            </w: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r>
      <w:tr>
        <w:trPr>
          <w:trHeight w:val="217"/>
        </w:trPr>
        <w:tc>
          <w:tcPr>
            <w:tcW w:w="310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Total loans and leases</w:t>
            </w: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91,188,525</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88,733,492</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88,242,886</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91,101,677</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87,719,234</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r>
      <w:tr>
        <w:trPr>
          <w:trHeight w:val="223"/>
        </w:trPr>
        <w:tc>
          <w:tcPr>
            <w:tcW w:w="3100" w:type="dxa"/>
            <w:vAlign w:val="bottom"/>
            <w:gridSpan w:val="2"/>
          </w:tcPr>
          <w:p>
            <w:pPr>
              <w:ind w:left="240"/>
              <w:spacing w:after="0"/>
              <w:rPr>
                <w:sz w:val="20"/>
                <w:szCs w:val="20"/>
                <w:color w:val="auto"/>
              </w:rPr>
            </w:pPr>
            <w:r>
              <w:rPr>
                <w:rFonts w:ascii="Arial" w:cs="Arial" w:eastAsia="Arial" w:hAnsi="Arial"/>
                <w:sz w:val="18"/>
                <w:szCs w:val="18"/>
                <w:color w:val="auto"/>
              </w:rPr>
              <w:t>Unearned discount</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(265,656)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(267,015)</w:t>
            </w:r>
          </w:p>
        </w:tc>
        <w:tc>
          <w:tcPr>
            <w:tcW w:w="46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(253,903)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5"/>
          </w:tcPr>
          <w:p>
            <w:pPr>
              <w:jc w:val="right"/>
              <w:ind w:right="100"/>
              <w:spacing w:after="0"/>
              <w:rPr>
                <w:sz w:val="20"/>
                <w:szCs w:val="20"/>
                <w:color w:val="auto"/>
              </w:rPr>
            </w:pPr>
            <w:r>
              <w:rPr>
                <w:rFonts w:ascii="Arial" w:cs="Arial" w:eastAsia="Arial" w:hAnsi="Arial"/>
                <w:sz w:val="18"/>
                <w:szCs w:val="18"/>
                <w:color w:val="auto"/>
              </w:rPr>
              <w:t>(248,261)</w:t>
            </w:r>
          </w:p>
        </w:tc>
        <w:tc>
          <w:tcPr>
            <w:tcW w:w="320" w:type="dxa"/>
            <w:vAlign w:val="bottom"/>
          </w:tcPr>
          <w:p>
            <w:pPr>
              <w:spacing w:after="0"/>
              <w:rPr>
                <w:sz w:val="19"/>
                <w:szCs w:val="19"/>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(229,735)</w:t>
            </w:r>
          </w:p>
        </w:tc>
        <w:tc>
          <w:tcPr>
            <w:tcW w:w="20" w:type="dxa"/>
            <w:vAlign w:val="bottom"/>
          </w:tcPr>
          <w:p>
            <w:pPr>
              <w:spacing w:after="0"/>
              <w:rPr>
                <w:sz w:val="19"/>
                <w:szCs w:val="19"/>
                <w:color w:val="auto"/>
              </w:rPr>
            </w:pPr>
          </w:p>
        </w:tc>
      </w:tr>
      <w:tr>
        <w:trPr>
          <w:trHeight w:val="204"/>
        </w:trPr>
        <w:tc>
          <w:tcPr>
            <w:tcW w:w="3100" w:type="dxa"/>
            <w:vAlign w:val="bottom"/>
            <w:tcBorders>
              <w:top w:val="single" w:sz="8" w:color="CFF0FC"/>
            </w:tcBorders>
            <w:gridSpan w:val="2"/>
            <w:shd w:val="clear" w:color="auto" w:fill="CFF0FC"/>
          </w:tcPr>
          <w:p>
            <w:pPr>
              <w:ind w:left="480"/>
              <w:spacing w:after="0" w:line="204" w:lineRule="exact"/>
              <w:rPr>
                <w:sz w:val="20"/>
                <w:szCs w:val="20"/>
                <w:color w:val="auto"/>
              </w:rPr>
            </w:pPr>
            <w:r>
              <w:rPr>
                <w:rFonts w:ascii="Arial" w:cs="Arial" w:eastAsia="Arial" w:hAnsi="Arial"/>
                <w:sz w:val="18"/>
                <w:szCs w:val="18"/>
                <w:color w:val="auto"/>
              </w:rPr>
              <w:t>Loans and leases, net of</w:t>
            </w:r>
          </w:p>
        </w:tc>
        <w:tc>
          <w:tcPr>
            <w:tcW w:w="7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r>
      <w:tr>
        <w:trPr>
          <w:trHeight w:val="223"/>
        </w:trPr>
        <w:tc>
          <w:tcPr>
            <w:tcW w:w="31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unearned discount</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90,922,869</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88,466,477</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87,988,983</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90,853,416</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87,489,499</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r>
      <w:tr>
        <w:trPr>
          <w:trHeight w:val="223"/>
        </w:trPr>
        <w:tc>
          <w:tcPr>
            <w:tcW w:w="3100" w:type="dxa"/>
            <w:vAlign w:val="bottom"/>
            <w:gridSpan w:val="2"/>
          </w:tcPr>
          <w:p>
            <w:pPr>
              <w:ind w:left="240"/>
              <w:spacing w:after="0"/>
              <w:rPr>
                <w:sz w:val="20"/>
                <w:szCs w:val="20"/>
                <w:color w:val="auto"/>
              </w:rPr>
            </w:pPr>
            <w:r>
              <w:rPr>
                <w:rFonts w:ascii="Arial" w:cs="Arial" w:eastAsia="Arial" w:hAnsi="Arial"/>
                <w:sz w:val="18"/>
                <w:szCs w:val="18"/>
                <w:color w:val="auto"/>
              </w:rPr>
              <w:t>Allowance for credit losses</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(1,051,071)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(1,019,444)</w:t>
            </w:r>
          </w:p>
        </w:tc>
        <w:tc>
          <w:tcPr>
            <w:tcW w:w="46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(1,017,198)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5"/>
          </w:tcPr>
          <w:p>
            <w:pPr>
              <w:jc w:val="right"/>
              <w:ind w:right="100"/>
              <w:spacing w:after="0"/>
              <w:rPr>
                <w:sz w:val="20"/>
                <w:szCs w:val="20"/>
                <w:color w:val="auto"/>
              </w:rPr>
            </w:pPr>
            <w:r>
              <w:rPr>
                <w:rFonts w:ascii="Arial" w:cs="Arial" w:eastAsia="Arial" w:hAnsi="Arial"/>
                <w:sz w:val="18"/>
                <w:szCs w:val="18"/>
                <w:color w:val="auto"/>
              </w:rPr>
              <w:t>(988,997)</w:t>
            </w:r>
          </w:p>
        </w:tc>
        <w:tc>
          <w:tcPr>
            <w:tcW w:w="320" w:type="dxa"/>
            <w:vAlign w:val="bottom"/>
          </w:tcPr>
          <w:p>
            <w:pPr>
              <w:spacing w:after="0"/>
              <w:rPr>
                <w:sz w:val="19"/>
                <w:szCs w:val="19"/>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(955,992)</w:t>
            </w:r>
          </w:p>
        </w:tc>
        <w:tc>
          <w:tcPr>
            <w:tcW w:w="20" w:type="dxa"/>
            <w:vAlign w:val="bottom"/>
          </w:tcPr>
          <w:p>
            <w:pPr>
              <w:spacing w:after="0"/>
              <w:rPr>
                <w:sz w:val="19"/>
                <w:szCs w:val="19"/>
                <w:color w:val="auto"/>
              </w:rPr>
            </w:pPr>
          </w:p>
        </w:tc>
      </w:tr>
      <w:tr>
        <w:trPr>
          <w:trHeight w:val="217"/>
        </w:trPr>
        <w:tc>
          <w:tcPr>
            <w:tcW w:w="3100" w:type="dxa"/>
            <w:vAlign w:val="bottom"/>
            <w:tcBorders>
              <w:top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Loans and leases, net</w:t>
            </w:r>
          </w:p>
        </w:tc>
        <w:tc>
          <w:tcPr>
            <w:tcW w:w="7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89,871,798</w:t>
            </w: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87,447,033</w:t>
            </w:r>
          </w:p>
        </w:tc>
        <w:tc>
          <w:tcPr>
            <w:tcW w:w="14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7"/>
              </w:rPr>
              <w:t>86,971,785</w:t>
            </w: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89,864,419</w:t>
            </w:r>
          </w:p>
        </w:tc>
        <w:tc>
          <w:tcPr>
            <w:tcW w:w="1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86,533,507</w:t>
            </w: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r>
      <w:tr>
        <w:trPr>
          <w:trHeight w:val="223"/>
        </w:trPr>
        <w:tc>
          <w:tcPr>
            <w:tcW w:w="31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4,593,112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4,593,112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4,593,112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4,593,112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4,593,112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Core deposit and other intangible</w:t>
            </w: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r>
      <w:tr>
        <w:trPr>
          <w:trHeight w:val="223"/>
        </w:trPr>
        <w:tc>
          <w:tcPr>
            <w:tcW w:w="31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assets</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29,034</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47,067</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71,589</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3"/>
              </w:rPr>
              <w:t>97,655</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140,268</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r>
      <w:tr>
        <w:trPr>
          <w:trHeight w:val="223"/>
        </w:trPr>
        <w:tc>
          <w:tcPr>
            <w:tcW w:w="3100" w:type="dxa"/>
            <w:vAlign w:val="bottom"/>
            <w:gridSpan w:val="2"/>
          </w:tcPr>
          <w:p>
            <w:pPr>
              <w:spacing w:after="0"/>
              <w:rPr>
                <w:sz w:val="20"/>
                <w:szCs w:val="20"/>
                <w:color w:val="auto"/>
              </w:rPr>
            </w:pPr>
            <w:r>
              <w:rPr>
                <w:rFonts w:ascii="Arial" w:cs="Arial" w:eastAsia="Arial" w:hAnsi="Arial"/>
                <w:sz w:val="18"/>
                <w:szCs w:val="18"/>
                <w:color w:val="auto"/>
              </w:rPr>
              <w:t>Real estate and other assets owned</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85,646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78,375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111,910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139,206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195,085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119,872,757</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120,097,403</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7"/>
              </w:rPr>
              <w:t>118,593,487</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123,449,206</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122,787,884</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r>
      <w:tr>
        <w:trPr>
          <w:trHeight w:val="223"/>
        </w:trPr>
        <w:tc>
          <w:tcPr>
            <w:tcW w:w="12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32,396,407</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32,256,668</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33,975,180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32,813,896</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29,110,635</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r>
      <w:tr>
        <w:trPr>
          <w:trHeight w:val="223"/>
        </w:trPr>
        <w:tc>
          <w:tcPr>
            <w:tcW w:w="3100" w:type="dxa"/>
            <w:vAlign w:val="bottom"/>
            <w:gridSpan w:val="2"/>
          </w:tcPr>
          <w:p>
            <w:pPr>
              <w:spacing w:after="0"/>
              <w:rPr>
                <w:sz w:val="20"/>
                <w:szCs w:val="20"/>
                <w:color w:val="auto"/>
              </w:rPr>
            </w:pPr>
            <w:r>
              <w:rPr>
                <w:rFonts w:ascii="Arial" w:cs="Arial" w:eastAsia="Arial" w:hAnsi="Arial"/>
                <w:sz w:val="18"/>
                <w:szCs w:val="18"/>
                <w:color w:val="auto"/>
                <w:w w:val="98"/>
              </w:rPr>
              <w:t>Savings and interest-checking deposits</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54,932,162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50,963,744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51,698,008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52,346,207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49,566,644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Time deposits</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5,757,456</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6,124,254</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6,580,962</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10,131,846</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13,110,392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r>
      <w:tr>
        <w:trPr>
          <w:trHeight w:val="223"/>
        </w:trPr>
        <w:tc>
          <w:tcPr>
            <w:tcW w:w="31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Deposits at Cayman Islands office</w:t>
            </w:r>
          </w:p>
        </w:tc>
        <w:tc>
          <w:tcPr>
            <w:tcW w:w="7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1,684,044</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811,906</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177,996</w:t>
            </w: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201,927</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170,170</w:t>
            </w: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r>
      <w:tr>
        <w:trPr>
          <w:trHeight w:val="217"/>
        </w:trPr>
        <w:tc>
          <w:tcPr>
            <w:tcW w:w="310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Total deposits</w:t>
            </w: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94,770,069</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90,156,572</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92,432,146</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95,493,876</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91,957,841</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r>
      <w:tr>
        <w:trPr>
          <w:trHeight w:val="223"/>
        </w:trPr>
        <w:tc>
          <w:tcPr>
            <w:tcW w:w="3100" w:type="dxa"/>
            <w:vAlign w:val="bottom"/>
            <w:gridSpan w:val="2"/>
          </w:tcPr>
          <w:p>
            <w:pPr>
              <w:spacing w:after="0"/>
              <w:rPr>
                <w:sz w:val="20"/>
                <w:szCs w:val="20"/>
                <w:color w:val="auto"/>
              </w:rPr>
            </w:pPr>
            <w:r>
              <w:rPr>
                <w:rFonts w:ascii="Arial" w:cs="Arial" w:eastAsia="Arial" w:hAnsi="Arial"/>
                <w:sz w:val="18"/>
                <w:szCs w:val="18"/>
                <w:color w:val="auto"/>
              </w:rPr>
              <w:t>Short-term borrowings</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62,363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4,398,378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175,099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163,442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2,132,182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borrowings</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6,986,186</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8,444,914</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8,141,430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9,493,835</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10,653,858</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r>
      <w:tr>
        <w:trPr>
          <w:trHeight w:val="223"/>
        </w:trPr>
        <w:tc>
          <w:tcPr>
            <w:tcW w:w="31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104,156,108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104,637,212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7"/>
              </w:rPr>
              <w:t>102,342,668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106,962,584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106,614,595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15,716,649</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15,460,191</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16,250,819</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16,486,622</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16,173,289</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r>
      <w:tr>
        <w:trPr>
          <w:trHeight w:val="388"/>
        </w:trPr>
        <w:tc>
          <w:tcPr>
            <w:tcW w:w="3100" w:type="dxa"/>
            <w:vAlign w:val="bottom"/>
            <w:gridSpan w:val="2"/>
          </w:tcPr>
          <w:p>
            <w:pPr>
              <w:spacing w:after="0"/>
              <w:rPr>
                <w:sz w:val="20"/>
                <w:szCs w:val="20"/>
                <w:color w:val="auto"/>
              </w:rPr>
            </w:pPr>
            <w:r>
              <w:rPr>
                <w:rFonts w:ascii="Arial" w:cs="Arial" w:eastAsia="Arial" w:hAnsi="Arial"/>
                <w:sz w:val="20"/>
                <w:szCs w:val="20"/>
                <w:b w:val="1"/>
                <w:bCs w:val="1"/>
                <w:color w:val="auto"/>
              </w:rPr>
              <w:t>Table 2</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7"/>
        </w:trPr>
        <w:tc>
          <w:tcPr>
            <w:tcW w:w="1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260" w:type="dxa"/>
            <w:vAlign w:val="bottom"/>
            <w:gridSpan w:val="13"/>
          </w:tcPr>
          <w:p>
            <w:pPr>
              <w:jc w:val="center"/>
              <w:ind w:right="40"/>
              <w:spacing w:after="0"/>
              <w:rPr>
                <w:sz w:val="20"/>
                <w:szCs w:val="20"/>
                <w:color w:val="auto"/>
              </w:rPr>
            </w:pPr>
            <w:r>
              <w:rPr>
                <w:rFonts w:ascii="Arial" w:cs="Arial" w:eastAsia="Arial" w:hAnsi="Arial"/>
                <w:sz w:val="20"/>
                <w:szCs w:val="20"/>
                <w:b w:val="1"/>
                <w:bCs w:val="1"/>
                <w:color w:val="auto"/>
              </w:rPr>
              <w:t>SHAREHOLDERS, EMPLOYEES AND OFFICES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4"/>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Number at Year-End</w:t>
            </w:r>
          </w:p>
        </w:tc>
        <w:tc>
          <w:tcPr>
            <w:tcW w:w="1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24"/>
                <w:szCs w:val="24"/>
                <w:color w:val="auto"/>
              </w:rPr>
            </w:pPr>
          </w:p>
        </w:tc>
        <w:tc>
          <w:tcPr>
            <w:tcW w:w="6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Borders>
              <w:bottom w:val="single" w:sz="8" w:color="auto"/>
            </w:tcBorders>
            <w:gridSpan w:val="3"/>
          </w:tcPr>
          <w:p>
            <w:pPr>
              <w:jc w:val="right"/>
              <w:ind w:right="131"/>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4"/>
                <w:szCs w:val="24"/>
                <w:color w:val="auto"/>
              </w:rPr>
            </w:pPr>
          </w:p>
        </w:tc>
        <w:tc>
          <w:tcPr>
            <w:tcW w:w="7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7"/>
        </w:trPr>
        <w:tc>
          <w:tcPr>
            <w:tcW w:w="3100" w:type="dxa"/>
            <w:vAlign w:val="bottom"/>
            <w:gridSpan w:val="2"/>
          </w:tcPr>
          <w:p>
            <w:pPr>
              <w:spacing w:after="0"/>
              <w:rPr>
                <w:sz w:val="20"/>
                <w:szCs w:val="20"/>
                <w:color w:val="auto"/>
              </w:rPr>
            </w:pPr>
            <w:r>
              <w:rPr>
                <w:rFonts w:ascii="Arial" w:cs="Arial" w:eastAsia="Arial" w:hAnsi="Arial"/>
                <w:sz w:val="20"/>
                <w:szCs w:val="20"/>
                <w:color w:val="auto"/>
              </w:rPr>
              <w:t>Shareholders</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20"/>
                <w:szCs w:val="20"/>
                <w:color w:val="auto"/>
                <w:w w:val="94"/>
              </w:rPr>
              <w:t>17,333</w:t>
            </w:r>
          </w:p>
        </w:tc>
        <w:tc>
          <w:tcPr>
            <w:tcW w:w="980" w:type="dxa"/>
            <w:vAlign w:val="bottom"/>
            <w:gridSpan w:val="3"/>
          </w:tcPr>
          <w:p>
            <w:pPr>
              <w:jc w:val="right"/>
              <w:ind w:right="20"/>
              <w:spacing w:after="0"/>
              <w:rPr>
                <w:sz w:val="20"/>
                <w:szCs w:val="20"/>
                <w:color w:val="auto"/>
              </w:rPr>
            </w:pPr>
            <w:r>
              <w:rPr>
                <w:rFonts w:ascii="Arial" w:cs="Arial" w:eastAsia="Arial" w:hAnsi="Arial"/>
                <w:sz w:val="20"/>
                <w:szCs w:val="20"/>
                <w:color w:val="auto"/>
              </w:rPr>
              <w:t>18,099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18,864</w:t>
            </w:r>
          </w:p>
        </w:tc>
        <w:tc>
          <w:tcPr>
            <w:tcW w:w="980" w:type="dxa"/>
            <w:vAlign w:val="bottom"/>
            <w:gridSpan w:val="5"/>
          </w:tcPr>
          <w:p>
            <w:pPr>
              <w:jc w:val="right"/>
              <w:spacing w:after="0"/>
              <w:rPr>
                <w:sz w:val="20"/>
                <w:szCs w:val="20"/>
                <w:color w:val="auto"/>
              </w:rPr>
            </w:pPr>
            <w:r>
              <w:rPr>
                <w:rFonts w:ascii="Arial" w:cs="Arial" w:eastAsia="Arial" w:hAnsi="Arial"/>
                <w:sz w:val="20"/>
                <w:szCs w:val="20"/>
                <w:color w:val="auto"/>
              </w:rPr>
              <w:t>19,802</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20,693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31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Employees</w:t>
            </w:r>
          </w:p>
        </w:tc>
        <w:tc>
          <w:tcPr>
            <w:tcW w:w="7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w w:val="94"/>
              </w:rPr>
              <w:t>17,773</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17,267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16,794</w:t>
            </w:r>
          </w:p>
        </w:tc>
        <w:tc>
          <w:tcPr>
            <w:tcW w:w="980" w:type="dxa"/>
            <w:vAlign w:val="bottom"/>
            <w:gridSpan w:val="5"/>
            <w:shd w:val="clear" w:color="auto" w:fill="CFF0FC"/>
          </w:tcPr>
          <w:p>
            <w:pPr>
              <w:jc w:val="right"/>
              <w:spacing w:after="0"/>
              <w:rPr>
                <w:sz w:val="20"/>
                <w:szCs w:val="20"/>
                <w:color w:val="auto"/>
              </w:rPr>
            </w:pPr>
            <w:r>
              <w:rPr>
                <w:rFonts w:ascii="Arial" w:cs="Arial" w:eastAsia="Arial" w:hAnsi="Arial"/>
                <w:sz w:val="20"/>
                <w:szCs w:val="20"/>
                <w:color w:val="auto"/>
              </w:rPr>
              <w:t>16,973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17,476</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3100" w:type="dxa"/>
            <w:vAlign w:val="bottom"/>
            <w:gridSpan w:val="2"/>
          </w:tcPr>
          <w:p>
            <w:pPr>
              <w:spacing w:after="0"/>
              <w:rPr>
                <w:sz w:val="20"/>
                <w:szCs w:val="20"/>
                <w:color w:val="auto"/>
              </w:rPr>
            </w:pPr>
            <w:r>
              <w:rPr>
                <w:rFonts w:ascii="Arial" w:cs="Arial" w:eastAsia="Arial" w:hAnsi="Arial"/>
                <w:sz w:val="20"/>
                <w:szCs w:val="20"/>
                <w:color w:val="auto"/>
              </w:rPr>
              <w:t>Offices</w:t>
            </w: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20"/>
                <w:szCs w:val="20"/>
                <w:color w:val="auto"/>
              </w:rPr>
              <w:t>771</w:t>
            </w:r>
          </w:p>
        </w:tc>
        <w:tc>
          <w:tcPr>
            <w:tcW w:w="980" w:type="dxa"/>
            <w:vAlign w:val="bottom"/>
            <w:gridSpan w:val="3"/>
          </w:tcPr>
          <w:p>
            <w:pPr>
              <w:jc w:val="right"/>
              <w:ind w:right="20"/>
              <w:spacing w:after="0"/>
              <w:rPr>
                <w:sz w:val="20"/>
                <w:szCs w:val="20"/>
                <w:color w:val="auto"/>
              </w:rPr>
            </w:pPr>
            <w:r>
              <w:rPr>
                <w:rFonts w:ascii="Arial" w:cs="Arial" w:eastAsia="Arial" w:hAnsi="Arial"/>
                <w:sz w:val="20"/>
                <w:szCs w:val="20"/>
                <w:color w:val="auto"/>
              </w:rPr>
              <w:t>794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833</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20"/>
                <w:szCs w:val="20"/>
                <w:color w:val="auto"/>
                <w:w w:val="89"/>
              </w:rPr>
              <w:t>855</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863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22"/>
        </w:trPr>
        <w:tc>
          <w:tcPr>
            <w:tcW w:w="1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77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126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Table 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EARNINGS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51"/>
        </w:trPr>
        <w:tc>
          <w:tcPr>
            <w:tcW w:w="5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0"/>
        </w:trPr>
        <w:tc>
          <w:tcPr>
            <w:tcW w:w="5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Interest income</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Loans and leases, including fees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4,442,182</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4,164,561</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3,742,867</w:t>
            </w:r>
          </w:p>
        </w:tc>
        <w:tc>
          <w:tcPr>
            <w:tcW w:w="24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3,485,050</w:t>
            </w:r>
          </w:p>
        </w:tc>
        <w:tc>
          <w:tcPr>
            <w:tcW w:w="22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2,778,151</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Investment securities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7"/>
        </w:trPr>
        <w:tc>
          <w:tcPr>
            <w:tcW w:w="5320" w:type="dxa"/>
            <w:vAlign w:val="bottom"/>
          </w:tcPr>
          <w:p>
            <w:pPr>
              <w:ind w:left="240"/>
              <w:spacing w:after="0"/>
              <w:rPr>
                <w:sz w:val="20"/>
                <w:szCs w:val="20"/>
                <w:color w:val="auto"/>
              </w:rPr>
            </w:pPr>
            <w:r>
              <w:rPr>
                <w:rFonts w:ascii="Arial" w:cs="Arial" w:eastAsia="Arial" w:hAnsi="Arial"/>
                <w:sz w:val="16"/>
                <w:szCs w:val="16"/>
                <w:color w:val="auto"/>
              </w:rPr>
              <w:t>Fully taxable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288,532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323,912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361,157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361,494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372,162</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Exempt from federal taxes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4,263</w:t>
            </w:r>
          </w:p>
        </w:tc>
        <w:tc>
          <w:tcPr>
            <w:tcW w:w="100" w:type="dxa"/>
            <w:vAlign w:val="bottom"/>
            <w:shd w:val="clear" w:color="auto" w:fill="CFF0FC"/>
          </w:tcPr>
          <w:p>
            <w:pPr>
              <w:spacing w:after="0"/>
              <w:rPr>
                <w:sz w:val="18"/>
                <w:szCs w:val="18"/>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Deposits at banks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141,397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108,182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61,326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45,516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15,252</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7,161</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1,391</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1,014</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1,205</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1,016</w:t>
            </w:r>
          </w:p>
        </w:tc>
        <w:tc>
          <w:tcPr>
            <w:tcW w:w="100" w:type="dxa"/>
            <w:vAlign w:val="bottom"/>
            <w:shd w:val="clear" w:color="auto" w:fill="CFF0FC"/>
          </w:tcPr>
          <w:p>
            <w:pPr>
              <w:spacing w:after="0"/>
              <w:rPr>
                <w:sz w:val="18"/>
                <w:szCs w:val="18"/>
                <w:color w:val="auto"/>
              </w:rPr>
            </w:pPr>
          </w:p>
        </w:tc>
      </w:tr>
      <w:tr>
        <w:trPr>
          <w:trHeight w:val="200"/>
        </w:trPr>
        <w:tc>
          <w:tcPr>
            <w:tcW w:w="53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interest income</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4,879,593</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4,598,711</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4,167,795</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3,895,871</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3,170,844</w:t>
            </w:r>
          </w:p>
        </w:tc>
        <w:tc>
          <w:tcPr>
            <w:tcW w:w="100" w:type="dxa"/>
            <w:vAlign w:val="bottom"/>
            <w:tcBorders>
              <w:bottom w:val="single" w:sz="8" w:color="CFF0FC"/>
            </w:tcBorders>
          </w:tcPr>
          <w:p>
            <w:pPr>
              <w:spacing w:after="0"/>
              <w:rPr>
                <w:sz w:val="17"/>
                <w:szCs w:val="17"/>
                <w:color w:val="auto"/>
              </w:rPr>
            </w:pPr>
          </w:p>
        </w:tc>
      </w:tr>
      <w:tr>
        <w:trPr>
          <w:trHeight w:val="207"/>
        </w:trPr>
        <w:tc>
          <w:tcPr>
            <w:tcW w:w="5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Interest expense</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Savings and interest-checking deposits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368,003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215,411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133,177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87,704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46,140</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Time deposits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95,426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51,423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61,505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102,841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27,059</w:t>
            </w:r>
          </w:p>
        </w:tc>
        <w:tc>
          <w:tcPr>
            <w:tcW w:w="100" w:type="dxa"/>
            <w:vAlign w:val="bottom"/>
            <w:shd w:val="clear" w:color="auto" w:fill="CFF0FC"/>
          </w:tcPr>
          <w:p>
            <w:pPr>
              <w:spacing w:after="0"/>
              <w:rPr>
                <w:sz w:val="18"/>
                <w:szCs w:val="18"/>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Deposits at Cayman Islands office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21,917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5,633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1,186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Short-term borrowings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24,741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5,386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1,677</w:t>
            </w:r>
          </w:p>
        </w:tc>
        <w:tc>
          <w:tcPr>
            <w:tcW w:w="100" w:type="dxa"/>
            <w:vAlign w:val="bottom"/>
            <w:shd w:val="clear" w:color="auto" w:fill="CFF0FC"/>
          </w:tcPr>
          <w:p>
            <w:pPr>
              <w:spacing w:after="0"/>
              <w:rPr>
                <w:sz w:val="18"/>
                <w:szCs w:val="18"/>
                <w:color w:val="auto"/>
              </w:rPr>
            </w:pPr>
          </w:p>
        </w:tc>
      </w:tr>
      <w:tr>
        <w:trPr>
          <w:trHeight w:val="207"/>
        </w:trPr>
        <w:tc>
          <w:tcPr>
            <w:tcW w:w="5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Long-term borrowings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239,242</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248,556</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189,372</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231,017</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252,766</w:t>
            </w:r>
          </w:p>
        </w:tc>
        <w:tc>
          <w:tcPr>
            <w:tcW w:w="100" w:type="dxa"/>
            <w:vAlign w:val="bottom"/>
            <w:tcBorders>
              <w:bottom w:val="single" w:sz="8" w:color="CFF0FC"/>
            </w:tcBorders>
          </w:tcPr>
          <w:p>
            <w:pPr>
              <w:spacing w:after="0"/>
              <w:rPr>
                <w:sz w:val="17"/>
                <w:szCs w:val="17"/>
                <w:color w:val="auto"/>
              </w:rPr>
            </w:pPr>
          </w:p>
        </w:tc>
      </w:tr>
      <w:tr>
        <w:trPr>
          <w:trHeight w:val="207"/>
        </w:trPr>
        <w:tc>
          <w:tcPr>
            <w:tcW w:w="53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interest expense</w:t>
            </w: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749,329</w:t>
            </w:r>
          </w:p>
        </w:tc>
        <w:tc>
          <w:tcPr>
            <w:tcW w:w="2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526,409</w:t>
            </w:r>
          </w:p>
        </w:tc>
        <w:tc>
          <w:tcPr>
            <w:tcW w:w="2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386,751</w:t>
            </w:r>
          </w:p>
        </w:tc>
        <w:tc>
          <w:tcPr>
            <w:tcW w:w="2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425,984</w:t>
            </w:r>
          </w:p>
        </w:tc>
        <w:tc>
          <w:tcPr>
            <w:tcW w:w="2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328,257</w:t>
            </w:r>
          </w:p>
        </w:tc>
        <w:tc>
          <w:tcPr>
            <w:tcW w:w="100" w:type="dxa"/>
            <w:vAlign w:val="bottom"/>
            <w:shd w:val="clear" w:color="auto" w:fill="CFF0FC"/>
          </w:tcPr>
          <w:p>
            <w:pPr>
              <w:spacing w:after="0"/>
              <w:rPr>
                <w:sz w:val="17"/>
                <w:szCs w:val="17"/>
                <w:color w:val="auto"/>
              </w:rPr>
            </w:pPr>
          </w:p>
        </w:tc>
      </w:tr>
      <w:tr>
        <w:trPr>
          <w:trHeight w:val="200"/>
        </w:trPr>
        <w:tc>
          <w:tcPr>
            <w:tcW w:w="5320" w:type="dxa"/>
            <w:vAlign w:val="bottom"/>
          </w:tcPr>
          <w:p>
            <w:pPr>
              <w:spacing w:after="0"/>
              <w:rPr>
                <w:sz w:val="20"/>
                <w:szCs w:val="20"/>
                <w:color w:val="auto"/>
              </w:rPr>
            </w:pPr>
            <w:r>
              <w:rPr>
                <w:rFonts w:ascii="Arial" w:cs="Arial" w:eastAsia="Arial" w:hAnsi="Arial"/>
                <w:sz w:val="16"/>
                <w:szCs w:val="16"/>
                <w:b w:val="1"/>
                <w:bCs w:val="1"/>
                <w:color w:val="auto"/>
              </w:rPr>
              <w:t>Net interest income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4,130,264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4,072,302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3,781,044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3,469,887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2,842,587</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Provision for credit losses</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176,000</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132,000</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168,000</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190,000</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170,000</w:t>
            </w:r>
          </w:p>
        </w:tc>
        <w:tc>
          <w:tcPr>
            <w:tcW w:w="100" w:type="dxa"/>
            <w:vAlign w:val="bottom"/>
            <w:shd w:val="clear" w:color="auto" w:fill="CFF0FC"/>
          </w:tcPr>
          <w:p>
            <w:pPr>
              <w:spacing w:after="0"/>
              <w:rPr>
                <w:sz w:val="18"/>
                <w:szCs w:val="18"/>
                <w:color w:val="auto"/>
              </w:rPr>
            </w:pPr>
          </w:p>
        </w:tc>
      </w:tr>
      <w:tr>
        <w:trPr>
          <w:trHeight w:val="200"/>
        </w:trPr>
        <w:tc>
          <w:tcPr>
            <w:tcW w:w="5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interest income after provision for credit losses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3,954,264</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3,940,302</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3,613,044</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3,279,887</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2,672,587</w:t>
            </w:r>
          </w:p>
        </w:tc>
        <w:tc>
          <w:tcPr>
            <w:tcW w:w="100" w:type="dxa"/>
            <w:vAlign w:val="bottom"/>
            <w:tcBorders>
              <w:bottom w:val="single" w:sz="8" w:color="CFF0FC"/>
            </w:tcBorders>
          </w:tcPr>
          <w:p>
            <w:pPr>
              <w:spacing w:after="0"/>
              <w:rPr>
                <w:sz w:val="17"/>
                <w:szCs w:val="17"/>
                <w:color w:val="auto"/>
              </w:rPr>
            </w:pPr>
          </w:p>
        </w:tc>
      </w:tr>
      <w:tr>
        <w:trPr>
          <w:trHeight w:val="207"/>
        </w:trPr>
        <w:tc>
          <w:tcPr>
            <w:tcW w:w="5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income</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Mortgage banking revenues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457,770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360,442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363,827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373,697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375,738</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Service charges on deposit accounts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432,978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429,337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427,372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419,102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420,608</w:t>
            </w:r>
          </w:p>
        </w:tc>
        <w:tc>
          <w:tcPr>
            <w:tcW w:w="100" w:type="dxa"/>
            <w:vAlign w:val="bottom"/>
            <w:shd w:val="clear" w:color="auto" w:fill="CFF0FC"/>
          </w:tcPr>
          <w:p>
            <w:pPr>
              <w:spacing w:after="0"/>
              <w:rPr>
                <w:sz w:val="18"/>
                <w:szCs w:val="18"/>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Trust income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572,608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537,585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501,381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472,184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470,640</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Brokerage services income</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48,922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51,069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61,445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63,423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64,770</w:t>
            </w:r>
          </w:p>
        </w:tc>
        <w:tc>
          <w:tcPr>
            <w:tcW w:w="100" w:type="dxa"/>
            <w:vAlign w:val="bottom"/>
            <w:shd w:val="clear" w:color="auto" w:fill="CFF0FC"/>
          </w:tcPr>
          <w:p>
            <w:pPr>
              <w:spacing w:after="0"/>
              <w:rPr>
                <w:sz w:val="18"/>
                <w:szCs w:val="18"/>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Trading account and foreign exchange gains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62,044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32,547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35,301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41,126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30,577</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Gain (loss) on bank investment securities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18,037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(6,301)</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21,279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30,314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(130)</w:t>
            </w:r>
          </w:p>
        </w:tc>
      </w:tr>
      <w:tr>
        <w:trPr>
          <w:trHeight w:val="207"/>
        </w:trPr>
        <w:tc>
          <w:tcPr>
            <w:tcW w:w="5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revenues from operations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469,320</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451,321</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440,538</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426,150</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462,834</w:t>
            </w:r>
          </w:p>
        </w:tc>
        <w:tc>
          <w:tcPr>
            <w:tcW w:w="100" w:type="dxa"/>
            <w:vAlign w:val="bottom"/>
            <w:tcBorders>
              <w:bottom w:val="single" w:sz="8" w:color="CFF0FC"/>
            </w:tcBorders>
          </w:tcPr>
          <w:p>
            <w:pPr>
              <w:spacing w:after="0"/>
              <w:rPr>
                <w:sz w:val="17"/>
                <w:szCs w:val="17"/>
                <w:color w:val="auto"/>
              </w:rPr>
            </w:pPr>
          </w:p>
        </w:tc>
      </w:tr>
      <w:tr>
        <w:trPr>
          <w:trHeight w:val="207"/>
        </w:trPr>
        <w:tc>
          <w:tcPr>
            <w:tcW w:w="53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other income</w:t>
            </w: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2,061,679</w:t>
            </w:r>
          </w:p>
        </w:tc>
        <w:tc>
          <w:tcPr>
            <w:tcW w:w="2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1,856,000</w:t>
            </w:r>
          </w:p>
        </w:tc>
        <w:tc>
          <w:tcPr>
            <w:tcW w:w="2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1,851,143</w:t>
            </w:r>
          </w:p>
        </w:tc>
        <w:tc>
          <w:tcPr>
            <w:tcW w:w="2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1,825,996</w:t>
            </w:r>
          </w:p>
        </w:tc>
        <w:tc>
          <w:tcPr>
            <w:tcW w:w="2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1,825,037</w:t>
            </w:r>
          </w:p>
        </w:tc>
        <w:tc>
          <w:tcPr>
            <w:tcW w:w="100" w:type="dxa"/>
            <w:vAlign w:val="bottom"/>
            <w:shd w:val="clear" w:color="auto" w:fill="CFF0FC"/>
          </w:tcPr>
          <w:p>
            <w:pPr>
              <w:spacing w:after="0"/>
              <w:rPr>
                <w:sz w:val="17"/>
                <w:szCs w:val="17"/>
                <w:color w:val="auto"/>
              </w:rPr>
            </w:pPr>
          </w:p>
        </w:tc>
      </w:tr>
      <w:tr>
        <w:trPr>
          <w:trHeight w:val="200"/>
        </w:trPr>
        <w:tc>
          <w:tcPr>
            <w:tcW w:w="5320" w:type="dxa"/>
            <w:vAlign w:val="bottom"/>
          </w:tcPr>
          <w:p>
            <w:pPr>
              <w:spacing w:after="0"/>
              <w:rPr>
                <w:sz w:val="20"/>
                <w:szCs w:val="20"/>
                <w:color w:val="auto"/>
              </w:rPr>
            </w:pPr>
            <w:r>
              <w:rPr>
                <w:rFonts w:ascii="Arial" w:cs="Arial" w:eastAsia="Arial" w:hAnsi="Arial"/>
                <w:sz w:val="16"/>
                <w:szCs w:val="16"/>
                <w:b w:val="1"/>
                <w:bCs w:val="1"/>
                <w:color w:val="auto"/>
              </w:rPr>
              <w:t>Other expense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Salaries and employee benefits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1,900,797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1,752,264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1,648,794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1,618,074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1,532,392</w:t>
            </w:r>
          </w:p>
        </w:tc>
        <w:tc>
          <w:tcPr>
            <w:tcW w:w="100" w:type="dxa"/>
            <w:vAlign w:val="bottom"/>
            <w:shd w:val="clear" w:color="auto" w:fill="CFF0FC"/>
          </w:tcPr>
          <w:p>
            <w:pPr>
              <w:spacing w:after="0"/>
              <w:rPr>
                <w:sz w:val="18"/>
                <w:szCs w:val="18"/>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Equipment and net occupancy</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324,079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298,828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295,084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295,141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272,539</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Outside data processing and software</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229,731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199,025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184,670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172,389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164,133</w:t>
            </w:r>
          </w:p>
        </w:tc>
        <w:tc>
          <w:tcPr>
            <w:tcW w:w="100" w:type="dxa"/>
            <w:vAlign w:val="bottom"/>
            <w:shd w:val="clear" w:color="auto" w:fill="CFF0FC"/>
          </w:tcPr>
          <w:p>
            <w:pPr>
              <w:spacing w:after="0"/>
              <w:rPr>
                <w:sz w:val="18"/>
                <w:szCs w:val="18"/>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FDIC assessments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41,535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68,256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101,871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105,045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52,113</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Advertising and marketing</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93,472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85,710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69,203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87,137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59,227</w:t>
            </w:r>
          </w:p>
        </w:tc>
        <w:tc>
          <w:tcPr>
            <w:tcW w:w="100" w:type="dxa"/>
            <w:vAlign w:val="bottom"/>
            <w:shd w:val="clear" w:color="auto" w:fill="CFF0FC"/>
          </w:tcPr>
          <w:p>
            <w:pPr>
              <w:spacing w:after="0"/>
              <w:rPr>
                <w:sz w:val="18"/>
                <w:szCs w:val="18"/>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Printing, postage and supplies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39,893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35,658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35,960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39,546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38,491</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core deposit and other intangible assets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19,490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24,522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31,366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42,613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26,424</w:t>
            </w:r>
          </w:p>
        </w:tc>
        <w:tc>
          <w:tcPr>
            <w:tcW w:w="100" w:type="dxa"/>
            <w:vAlign w:val="bottom"/>
            <w:shd w:val="clear" w:color="auto" w:fill="CFF0FC"/>
          </w:tcPr>
          <w:p>
            <w:pPr>
              <w:spacing w:after="0"/>
              <w:rPr>
                <w:sz w:val="18"/>
                <w:szCs w:val="18"/>
                <w:color w:val="auto"/>
              </w:rPr>
            </w:pPr>
          </w:p>
        </w:tc>
      </w:tr>
      <w:tr>
        <w:trPr>
          <w:trHeight w:val="207"/>
        </w:trPr>
        <w:tc>
          <w:tcPr>
            <w:tcW w:w="5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costs of operations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819,685</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823,529</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773,377</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687,540</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677,613</w:t>
            </w:r>
          </w:p>
        </w:tc>
        <w:tc>
          <w:tcPr>
            <w:tcW w:w="100" w:type="dxa"/>
            <w:vAlign w:val="bottom"/>
            <w:tcBorders>
              <w:bottom w:val="single" w:sz="8" w:color="CFF0FC"/>
            </w:tcBorders>
          </w:tcPr>
          <w:p>
            <w:pPr>
              <w:spacing w:after="0"/>
              <w:rPr>
                <w:sz w:val="17"/>
                <w:szCs w:val="17"/>
                <w:color w:val="auto"/>
              </w:rPr>
            </w:pPr>
          </w:p>
        </w:tc>
      </w:tr>
      <w:tr>
        <w:trPr>
          <w:trHeight w:val="207"/>
        </w:trPr>
        <w:tc>
          <w:tcPr>
            <w:tcW w:w="53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other expense</w:t>
            </w: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3,468,682</w:t>
            </w:r>
          </w:p>
        </w:tc>
        <w:tc>
          <w:tcPr>
            <w:tcW w:w="2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3,288,062</w:t>
            </w:r>
          </w:p>
        </w:tc>
        <w:tc>
          <w:tcPr>
            <w:tcW w:w="2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3,140,325</w:t>
            </w:r>
          </w:p>
        </w:tc>
        <w:tc>
          <w:tcPr>
            <w:tcW w:w="2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3,047,485</w:t>
            </w:r>
          </w:p>
        </w:tc>
        <w:tc>
          <w:tcPr>
            <w:tcW w:w="2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2,822,932</w:t>
            </w:r>
          </w:p>
        </w:tc>
        <w:tc>
          <w:tcPr>
            <w:tcW w:w="100" w:type="dxa"/>
            <w:vAlign w:val="bottom"/>
            <w:shd w:val="clear" w:color="auto" w:fill="CFF0FC"/>
          </w:tcPr>
          <w:p>
            <w:pPr>
              <w:spacing w:after="0"/>
              <w:rPr>
                <w:sz w:val="17"/>
                <w:szCs w:val="17"/>
                <w:color w:val="auto"/>
              </w:rPr>
            </w:pPr>
          </w:p>
        </w:tc>
      </w:tr>
      <w:tr>
        <w:trPr>
          <w:trHeight w:val="200"/>
        </w:trPr>
        <w:tc>
          <w:tcPr>
            <w:tcW w:w="532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2,547,261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2,508,240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2,323,862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2,058,398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1,674,692</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Income taxes</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618,112</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590,160</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915,556</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743,284</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595,025</w:t>
            </w:r>
          </w:p>
        </w:tc>
        <w:tc>
          <w:tcPr>
            <w:tcW w:w="100" w:type="dxa"/>
            <w:vAlign w:val="bottom"/>
            <w:shd w:val="clear" w:color="auto" w:fill="CFF0FC"/>
          </w:tcPr>
          <w:p>
            <w:pPr>
              <w:spacing w:after="0"/>
              <w:rPr>
                <w:sz w:val="18"/>
                <w:szCs w:val="18"/>
                <w:color w:val="auto"/>
              </w:rPr>
            </w:pPr>
          </w:p>
        </w:tc>
      </w:tr>
      <w:tr>
        <w:trPr>
          <w:trHeight w:val="240"/>
        </w:trPr>
        <w:tc>
          <w:tcPr>
            <w:tcW w:w="532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1,929,149</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1,918,080</w:t>
            </w:r>
          </w:p>
        </w:tc>
        <w:tc>
          <w:tcPr>
            <w:tcW w:w="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1,408,306</w:t>
            </w:r>
          </w:p>
        </w:tc>
        <w:tc>
          <w:tcPr>
            <w:tcW w:w="24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1,315,114</w:t>
            </w:r>
          </w:p>
        </w:tc>
        <w:tc>
          <w:tcPr>
            <w:tcW w:w="22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1,079,667</w:t>
            </w:r>
          </w:p>
        </w:tc>
        <w:tc>
          <w:tcPr>
            <w:tcW w:w="100" w:type="dxa"/>
            <w:vAlign w:val="bottom"/>
          </w:tcPr>
          <w:p>
            <w:pPr>
              <w:spacing w:after="0"/>
              <w:rPr>
                <w:sz w:val="20"/>
                <w:szCs w:val="20"/>
                <w:color w:val="auto"/>
              </w:rPr>
            </w:pPr>
          </w:p>
        </w:tc>
      </w:tr>
      <w:tr>
        <w:trPr>
          <w:trHeight w:val="19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Dividends declared</w:t>
            </w:r>
          </w:p>
        </w:tc>
        <w:tc>
          <w:tcPr>
            <w:tcW w:w="22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07"/>
        </w:trPr>
        <w:tc>
          <w:tcPr>
            <w:tcW w:w="5320" w:type="dxa"/>
            <w:vAlign w:val="bottom"/>
          </w:tcPr>
          <w:p>
            <w:pPr>
              <w:ind w:left="240"/>
              <w:spacing w:after="0"/>
              <w:rPr>
                <w:sz w:val="20"/>
                <w:szCs w:val="20"/>
                <w:color w:val="auto"/>
              </w:rPr>
            </w:pPr>
            <w:r>
              <w:rPr>
                <w:rFonts w:ascii="Arial" w:cs="Arial" w:eastAsia="Arial" w:hAnsi="Arial"/>
                <w:sz w:val="16"/>
                <w:szCs w:val="16"/>
                <w:color w:val="auto"/>
              </w:rPr>
              <w:t>Common</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552,216</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510,458</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457,200</w:t>
            </w:r>
          </w:p>
        </w:tc>
        <w:tc>
          <w:tcPr>
            <w:tcW w:w="24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441,765</w:t>
            </w:r>
          </w:p>
        </w:tc>
        <w:tc>
          <w:tcPr>
            <w:tcW w:w="22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374,912</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Preferred</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72,482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72,521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72,734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81,270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81,270</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Table 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COMMON SHAREHOLDER DATA</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20" w:type="dxa"/>
            <w:vAlign w:val="bottom"/>
            <w:tcBorders>
              <w:bottom w:val="single" w:sz="8" w:color="CFF0FC"/>
            </w:tcBorders>
          </w:tcPr>
          <w:p>
            <w:pPr>
              <w:spacing w:after="0"/>
              <w:rPr>
                <w:sz w:val="14"/>
                <w:szCs w:val="14"/>
                <w:color w:val="auto"/>
              </w:rPr>
            </w:pPr>
          </w:p>
        </w:tc>
        <w:tc>
          <w:tcPr>
            <w:tcW w:w="1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FF0FC"/>
            </w:tcBorders>
          </w:tcPr>
          <w:p>
            <w:pPr>
              <w:spacing w:after="0"/>
              <w:rPr>
                <w:sz w:val="14"/>
                <w:szCs w:val="14"/>
                <w:color w:val="auto"/>
              </w:rPr>
            </w:pPr>
          </w:p>
        </w:tc>
      </w:tr>
      <w:tr>
        <w:trPr>
          <w:trHeight w:val="217"/>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Per share</w:t>
            </w: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4"/>
        </w:trPr>
        <w:tc>
          <w:tcPr>
            <w:tcW w:w="4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w:t>
            </w: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60" w:type="dxa"/>
            <w:vAlign w:val="bottom"/>
            <w:shd w:val="clear" w:color="auto" w:fill="CFF0FC"/>
          </w:tcPr>
          <w:p>
            <w:pPr>
              <w:spacing w:after="0"/>
              <w:rPr>
                <w:sz w:val="19"/>
                <w:szCs w:val="19"/>
                <w:color w:val="auto"/>
              </w:rPr>
            </w:pPr>
          </w:p>
        </w:tc>
      </w:tr>
      <w:tr>
        <w:trPr>
          <w:trHeight w:val="223"/>
        </w:trPr>
        <w:tc>
          <w:tcPr>
            <w:tcW w:w="4520" w:type="dxa"/>
            <w:vAlign w:val="bottom"/>
          </w:tcPr>
          <w:p>
            <w:pPr>
              <w:ind w:left="480"/>
              <w:spacing w:after="0"/>
              <w:rPr>
                <w:sz w:val="20"/>
                <w:szCs w:val="20"/>
                <w:color w:val="auto"/>
              </w:rPr>
            </w:pPr>
            <w:r>
              <w:rPr>
                <w:rFonts w:ascii="Arial" w:cs="Arial" w:eastAsia="Arial" w:hAnsi="Arial"/>
                <w:sz w:val="18"/>
                <w:szCs w:val="18"/>
                <w:color w:val="auto"/>
              </w:rPr>
              <w:t>Diluted</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7.18</w:t>
            </w:r>
          </w:p>
        </w:tc>
        <w:tc>
          <w:tcPr>
            <w:tcW w:w="160" w:type="dxa"/>
            <w:vAlign w:val="bottom"/>
          </w:tcPr>
          <w:p>
            <w:pPr>
              <w:spacing w:after="0"/>
              <w:rPr>
                <w:sz w:val="19"/>
                <w:szCs w:val="19"/>
                <w:color w:val="auto"/>
              </w:rPr>
            </w:pPr>
          </w:p>
        </w:tc>
      </w:tr>
      <w:tr>
        <w:trPr>
          <w:trHeight w:val="224"/>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dividends declared</w:t>
            </w: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FF0FC"/>
          </w:tcPr>
          <w:p>
            <w:pPr>
              <w:spacing w:after="0"/>
              <w:rPr>
                <w:sz w:val="19"/>
                <w:szCs w:val="19"/>
                <w:color w:val="auto"/>
              </w:rPr>
            </w:pP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Common shareholders’ equity at year-end</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110.78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102.69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97.64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93.60</w:t>
            </w:r>
          </w:p>
        </w:tc>
        <w:tc>
          <w:tcPr>
            <w:tcW w:w="160" w:type="dxa"/>
            <w:vAlign w:val="bottom"/>
          </w:tcPr>
          <w:p>
            <w:pPr>
              <w:spacing w:after="0"/>
              <w:rPr>
                <w:sz w:val="19"/>
                <w:szCs w:val="19"/>
                <w:color w:val="auto"/>
              </w:rPr>
            </w:pPr>
          </w:p>
        </w:tc>
      </w:tr>
      <w:tr>
        <w:trPr>
          <w:trHeight w:val="211"/>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Tangible common shareholders’ equity at</w:t>
            </w: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23"/>
        </w:trPr>
        <w:tc>
          <w:tcPr>
            <w:tcW w:w="4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year-end</w:t>
            </w: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64.28</w:t>
            </w:r>
          </w:p>
        </w:tc>
        <w:tc>
          <w:tcPr>
            <w:tcW w:w="160" w:type="dxa"/>
            <w:vAlign w:val="bottom"/>
            <w:shd w:val="clear" w:color="auto" w:fill="CFF0FC"/>
          </w:tcPr>
          <w:p>
            <w:pPr>
              <w:spacing w:after="0"/>
              <w:rPr>
                <w:sz w:val="19"/>
                <w:szCs w:val="19"/>
                <w:color w:val="auto"/>
              </w:rPr>
            </w:pP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Dividend payout ratio</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29.70%</w:t>
            </w: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27.66%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35.81%</w:t>
            </w: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37.56%</w:t>
            </w:r>
          </w:p>
        </w:tc>
      </w:tr>
    </w:tbl>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CHANGES IN INTEREST INCOME AND EXPENSE(a)</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4"/>
                <w:szCs w:val="14"/>
                <w:b w:val="1"/>
                <w:bCs w:val="1"/>
                <w:color w:val="auto"/>
              </w:rPr>
              <w:t>2019 Compared with 2018</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2018 Compared with 2017</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1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20" w:type="dxa"/>
            <w:vAlign w:val="bottom"/>
            <w:gridSpan w:val="2"/>
          </w:tcPr>
          <w:p>
            <w:pPr>
              <w:jc w:val="right"/>
              <w:ind w:right="474"/>
              <w:spacing w:after="0" w:line="129" w:lineRule="exact"/>
              <w:rPr>
                <w:sz w:val="20"/>
                <w:szCs w:val="20"/>
                <w:color w:val="auto"/>
              </w:rPr>
            </w:pPr>
            <w:r>
              <w:rPr>
                <w:rFonts w:ascii="Arial" w:cs="Arial" w:eastAsia="Arial" w:hAnsi="Arial"/>
                <w:sz w:val="14"/>
                <w:szCs w:val="14"/>
                <w:b w:val="1"/>
                <w:bCs w:val="1"/>
                <w:color w:val="auto"/>
              </w:rPr>
              <w:t>Resulting from</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60" w:type="dxa"/>
            <w:vAlign w:val="bottom"/>
            <w:gridSpan w:val="2"/>
          </w:tcPr>
          <w:p>
            <w:pPr>
              <w:jc w:val="right"/>
              <w:ind w:right="494"/>
              <w:spacing w:after="0" w:line="129" w:lineRule="exact"/>
              <w:rPr>
                <w:sz w:val="20"/>
                <w:szCs w:val="20"/>
                <w:color w:val="auto"/>
              </w:rPr>
            </w:pPr>
            <w:r>
              <w:rPr>
                <w:rFonts w:ascii="Arial" w:cs="Arial" w:eastAsia="Arial" w:hAnsi="Arial"/>
                <w:sz w:val="14"/>
                <w:szCs w:val="14"/>
                <w:b w:val="1"/>
                <w:bCs w:val="1"/>
                <w:color w:val="auto"/>
              </w:rPr>
              <w:t>Resulting from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Changes in:</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Changes in:</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1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0" w:type="dxa"/>
            <w:vAlign w:val="bottom"/>
            <w:vMerge w:val="restart"/>
          </w:tcPr>
          <w:p>
            <w:pPr>
              <w:jc w:val="right"/>
              <w:ind w:right="637"/>
              <w:spacing w:after="0"/>
              <w:rPr>
                <w:sz w:val="20"/>
                <w:szCs w:val="20"/>
                <w:color w:val="auto"/>
              </w:rPr>
            </w:pPr>
            <w:r>
              <w:rPr>
                <w:rFonts w:ascii="Arial" w:cs="Arial" w:eastAsia="Arial" w:hAnsi="Arial"/>
                <w:sz w:val="14"/>
                <w:szCs w:val="14"/>
                <w:b w:val="1"/>
                <w:bCs w:val="1"/>
                <w:color w:val="auto"/>
              </w:rPr>
              <w:t>Volume</w:t>
            </w:r>
          </w:p>
        </w:tc>
        <w:tc>
          <w:tcPr>
            <w:tcW w:w="8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2"/>
              </w:rPr>
              <w:t>Rate</w:t>
            </w: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20" w:type="dxa"/>
            <w:vAlign w:val="bottom"/>
            <w:vMerge w:val="restart"/>
          </w:tcPr>
          <w:p>
            <w:pPr>
              <w:jc w:val="right"/>
              <w:ind w:right="656"/>
              <w:spacing w:after="0"/>
              <w:rPr>
                <w:sz w:val="20"/>
                <w:szCs w:val="20"/>
                <w:color w:val="auto"/>
              </w:rPr>
            </w:pPr>
            <w:r>
              <w:rPr>
                <w:rFonts w:ascii="Arial" w:cs="Arial" w:eastAsia="Arial" w:hAnsi="Arial"/>
                <w:sz w:val="14"/>
                <w:szCs w:val="14"/>
                <w:b w:val="1"/>
                <w:bCs w:val="1"/>
                <w:color w:val="auto"/>
              </w:rPr>
              <w:t>Volume</w:t>
            </w:r>
          </w:p>
        </w:tc>
        <w:tc>
          <w:tcPr>
            <w:tcW w:w="7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Change</w:t>
            </w:r>
          </w:p>
        </w:tc>
        <w:tc>
          <w:tcPr>
            <w:tcW w:w="14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Change</w:t>
            </w:r>
          </w:p>
        </w:tc>
        <w:tc>
          <w:tcPr>
            <w:tcW w:w="14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1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340" w:type="dxa"/>
            <w:vAlign w:val="bottom"/>
            <w:tcBorders>
              <w:top w:val="single" w:sz="8" w:color="auto"/>
            </w:tcBorders>
            <w:gridSpan w:val="6"/>
          </w:tcPr>
          <w:p>
            <w:pPr>
              <w:jc w:val="right"/>
              <w:ind w:right="200"/>
              <w:spacing w:after="0" w:line="151" w:lineRule="exact"/>
              <w:rPr>
                <w:sz w:val="20"/>
                <w:szCs w:val="20"/>
                <w:color w:val="auto"/>
              </w:rPr>
            </w:pPr>
            <w:r>
              <w:rPr>
                <w:rFonts w:ascii="Arial" w:cs="Arial" w:eastAsia="Arial" w:hAnsi="Arial"/>
                <w:sz w:val="14"/>
                <w:szCs w:val="14"/>
                <w:b w:val="1"/>
                <w:bCs w:val="1"/>
                <w:color w:val="auto"/>
              </w:rPr>
              <w:t>(Increase (decrease) in thousands)</w:t>
            </w:r>
          </w:p>
        </w:tc>
        <w:tc>
          <w:tcPr>
            <w:tcW w:w="14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Loans and leases, including fees</w:t>
            </w:r>
          </w:p>
        </w:tc>
        <w:tc>
          <w:tcPr>
            <w:tcW w:w="10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278,610</w:t>
            </w:r>
          </w:p>
        </w:tc>
        <w:tc>
          <w:tcPr>
            <w:tcW w:w="220" w:type="dxa"/>
            <w:vAlign w:val="bottom"/>
          </w:tcPr>
          <w:p>
            <w:pPr>
              <w:spacing w:after="0"/>
              <w:rPr>
                <w:sz w:val="19"/>
                <w:szCs w:val="19"/>
                <w:color w:val="auto"/>
              </w:rPr>
            </w:pPr>
          </w:p>
        </w:tc>
        <w:tc>
          <w:tcPr>
            <w:tcW w:w="1400" w:type="dxa"/>
            <w:vAlign w:val="bottom"/>
          </w:tcPr>
          <w:p>
            <w:pPr>
              <w:jc w:val="right"/>
              <w:ind w:right="417"/>
              <w:spacing w:after="0"/>
              <w:rPr>
                <w:sz w:val="20"/>
                <w:szCs w:val="20"/>
                <w:color w:val="auto"/>
              </w:rPr>
            </w:pPr>
            <w:r>
              <w:rPr>
                <w:rFonts w:ascii="Arial" w:cs="Arial" w:eastAsia="Arial" w:hAnsi="Arial"/>
                <w:sz w:val="18"/>
                <w:szCs w:val="18"/>
                <w:color w:val="auto"/>
              </w:rPr>
              <w:t>101,577</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177,033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410,537</w:t>
            </w:r>
          </w:p>
        </w:tc>
        <w:tc>
          <w:tcPr>
            <w:tcW w:w="200" w:type="dxa"/>
            <w:vAlign w:val="bottom"/>
          </w:tcPr>
          <w:p>
            <w:pPr>
              <w:spacing w:after="0"/>
              <w:rPr>
                <w:sz w:val="19"/>
                <w:szCs w:val="19"/>
                <w:color w:val="auto"/>
              </w:rPr>
            </w:pPr>
          </w:p>
        </w:tc>
        <w:tc>
          <w:tcPr>
            <w:tcW w:w="1420" w:type="dxa"/>
            <w:vAlign w:val="bottom"/>
          </w:tcPr>
          <w:p>
            <w:pPr>
              <w:jc w:val="right"/>
              <w:ind w:right="356"/>
              <w:spacing w:after="0"/>
              <w:rPr>
                <w:sz w:val="20"/>
                <w:szCs w:val="20"/>
                <w:color w:val="auto"/>
              </w:rPr>
            </w:pPr>
            <w:r>
              <w:rPr>
                <w:rFonts w:ascii="Arial" w:cs="Arial" w:eastAsia="Arial" w:hAnsi="Arial"/>
                <w:sz w:val="18"/>
                <w:szCs w:val="18"/>
                <w:color w:val="auto"/>
              </w:rPr>
              <w:t>(61,159)</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471,696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Deposits at banks</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33,215</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417"/>
              <w:spacing w:after="0"/>
              <w:rPr>
                <w:sz w:val="20"/>
                <w:szCs w:val="20"/>
                <w:color w:val="auto"/>
              </w:rPr>
            </w:pPr>
            <w:r>
              <w:rPr>
                <w:rFonts w:ascii="Arial" w:cs="Arial" w:eastAsia="Arial" w:hAnsi="Arial"/>
                <w:sz w:val="18"/>
                <w:szCs w:val="18"/>
                <w:color w:val="auto"/>
              </w:rPr>
              <w:t>24,193</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46,856</w:t>
            </w: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436"/>
              <w:spacing w:after="0"/>
              <w:rPr>
                <w:sz w:val="20"/>
                <w:szCs w:val="20"/>
                <w:color w:val="auto"/>
              </w:rPr>
            </w:pPr>
            <w:r>
              <w:rPr>
                <w:rFonts w:ascii="Arial" w:cs="Arial" w:eastAsia="Arial" w:hAnsi="Arial"/>
                <w:sz w:val="18"/>
                <w:szCs w:val="18"/>
                <w:color w:val="auto"/>
              </w:rPr>
              <w:t>398</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20" w:type="dxa"/>
            <w:vAlign w:val="bottom"/>
            <w:gridSpan w:val="2"/>
          </w:tcPr>
          <w:p>
            <w:pPr>
              <w:spacing w:after="0"/>
              <w:rPr>
                <w:sz w:val="20"/>
                <w:szCs w:val="20"/>
                <w:color w:val="auto"/>
              </w:rPr>
            </w:pPr>
            <w:r>
              <w:rPr>
                <w:rFonts w:ascii="Arial" w:cs="Arial" w:eastAsia="Arial" w:hAnsi="Arial"/>
                <w:sz w:val="18"/>
                <w:szCs w:val="18"/>
                <w:color w:val="auto"/>
              </w:rPr>
              <w:t>Federal funds sold and agreements to resell</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gridSpan w:val="2"/>
          </w:tcPr>
          <w:p>
            <w:pPr>
              <w:ind w:left="140"/>
              <w:spacing w:after="0"/>
              <w:rPr>
                <w:sz w:val="20"/>
                <w:szCs w:val="20"/>
                <w:color w:val="auto"/>
              </w:rPr>
            </w:pPr>
            <w:r>
              <w:rPr>
                <w:rFonts w:ascii="Arial" w:cs="Arial" w:eastAsia="Arial" w:hAnsi="Arial"/>
                <w:sz w:val="18"/>
                <w:szCs w:val="18"/>
                <w:color w:val="auto"/>
              </w:rPr>
              <w:t>securities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5,484</w:t>
            </w:r>
          </w:p>
        </w:tc>
        <w:tc>
          <w:tcPr>
            <w:tcW w:w="220" w:type="dxa"/>
            <w:vAlign w:val="bottom"/>
          </w:tcPr>
          <w:p>
            <w:pPr>
              <w:spacing w:after="0"/>
              <w:rPr>
                <w:sz w:val="19"/>
                <w:szCs w:val="19"/>
                <w:color w:val="auto"/>
              </w:rPr>
            </w:pPr>
          </w:p>
        </w:tc>
        <w:tc>
          <w:tcPr>
            <w:tcW w:w="1400" w:type="dxa"/>
            <w:vAlign w:val="bottom"/>
          </w:tcPr>
          <w:p>
            <w:pPr>
              <w:jc w:val="right"/>
              <w:ind w:right="417"/>
              <w:spacing w:after="0"/>
              <w:rPr>
                <w:sz w:val="20"/>
                <w:szCs w:val="20"/>
                <w:color w:val="auto"/>
              </w:rPr>
            </w:pPr>
            <w:r>
              <w:rPr>
                <w:rFonts w:ascii="Arial" w:cs="Arial" w:eastAsia="Arial" w:hAnsi="Arial"/>
                <w:sz w:val="18"/>
                <w:szCs w:val="18"/>
                <w:color w:val="auto"/>
              </w:rPr>
              <w:t>5,487</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1420" w:type="dxa"/>
            <w:vAlign w:val="bottom"/>
          </w:tcPr>
          <w:p>
            <w:pPr>
              <w:jc w:val="right"/>
              <w:ind w:right="436"/>
              <w:spacing w:after="0"/>
              <w:rPr>
                <w:sz w:val="20"/>
                <w:szCs w:val="20"/>
                <w:color w:val="auto"/>
              </w:rPr>
            </w:pPr>
            <w:r>
              <w:rPr>
                <w:rFonts w:ascii="Arial" w:cs="Arial" w:eastAsia="Arial" w:hAnsi="Arial"/>
                <w:sz w:val="18"/>
                <w:szCs w:val="18"/>
                <w:color w:val="auto"/>
              </w:rPr>
              <w:t>16</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Trading account</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417"/>
              <w:spacing w:after="0"/>
              <w:rPr>
                <w:sz w:val="20"/>
                <w:szCs w:val="20"/>
                <w:color w:val="auto"/>
              </w:rPr>
            </w:pPr>
            <w:r>
              <w:rPr>
                <w:rFonts w:ascii="Arial" w:cs="Arial" w:eastAsia="Arial" w:hAnsi="Arial"/>
                <w:sz w:val="18"/>
                <w:szCs w:val="18"/>
                <w:color w:val="auto"/>
              </w:rPr>
              <w:t>259</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56"/>
              <w:spacing w:after="0"/>
              <w:rPr>
                <w:sz w:val="20"/>
                <w:szCs w:val="20"/>
                <w:color w:val="auto"/>
              </w:rPr>
            </w:pPr>
            <w:r>
              <w:rPr>
                <w:rFonts w:ascii="Arial" w:cs="Arial" w:eastAsia="Arial" w:hAnsi="Arial"/>
                <w:sz w:val="18"/>
                <w:szCs w:val="18"/>
                <w:color w:val="auto"/>
              </w:rPr>
              <w:t>(246)</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U.S. Treasury and federal agencies</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(38,192)</w:t>
            </w:r>
          </w:p>
        </w:tc>
        <w:tc>
          <w:tcPr>
            <w:tcW w:w="1400" w:type="dxa"/>
            <w:vAlign w:val="bottom"/>
            <w:shd w:val="clear" w:color="auto" w:fill="CFF0FC"/>
          </w:tcPr>
          <w:p>
            <w:pPr>
              <w:jc w:val="right"/>
              <w:ind w:right="357"/>
              <w:spacing w:after="0"/>
              <w:rPr>
                <w:sz w:val="20"/>
                <w:szCs w:val="20"/>
                <w:color w:val="auto"/>
              </w:rPr>
            </w:pPr>
            <w:r>
              <w:rPr>
                <w:rFonts w:ascii="Arial" w:cs="Arial" w:eastAsia="Arial" w:hAnsi="Arial"/>
                <w:sz w:val="18"/>
                <w:szCs w:val="18"/>
                <w:color w:val="auto"/>
              </w:rPr>
              <w:t>(51,898)</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(36,903)</w:t>
            </w:r>
          </w:p>
        </w:tc>
        <w:tc>
          <w:tcPr>
            <w:tcW w:w="1420" w:type="dxa"/>
            <w:vAlign w:val="bottom"/>
            <w:shd w:val="clear" w:color="auto" w:fill="CFF0FC"/>
          </w:tcPr>
          <w:p>
            <w:pPr>
              <w:jc w:val="right"/>
              <w:ind w:right="356"/>
              <w:spacing w:after="0"/>
              <w:rPr>
                <w:sz w:val="20"/>
                <w:szCs w:val="20"/>
                <w:color w:val="auto"/>
              </w:rPr>
            </w:pPr>
            <w:r>
              <w:rPr>
                <w:rFonts w:ascii="Arial" w:cs="Arial" w:eastAsia="Arial" w:hAnsi="Arial"/>
                <w:sz w:val="18"/>
                <w:szCs w:val="18"/>
                <w:color w:val="auto"/>
              </w:rPr>
              <w:t>(41,271)</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20" w:type="dxa"/>
            <w:vAlign w:val="bottom"/>
            <w:gridSpan w:val="2"/>
          </w:tcPr>
          <w:p>
            <w:pPr>
              <w:ind w:left="240"/>
              <w:spacing w:after="0"/>
              <w:rPr>
                <w:sz w:val="20"/>
                <w:szCs w:val="20"/>
                <w:color w:val="auto"/>
              </w:rPr>
            </w:pPr>
            <w:r>
              <w:rPr>
                <w:rFonts w:ascii="Arial" w:cs="Arial" w:eastAsia="Arial" w:hAnsi="Arial"/>
                <w:sz w:val="18"/>
                <w:szCs w:val="18"/>
                <w:color w:val="auto"/>
              </w:rPr>
              <w:t>Obligations of states and political</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gridSpan w:val="2"/>
          </w:tcPr>
          <w:p>
            <w:pPr>
              <w:ind w:left="380"/>
              <w:spacing w:after="0"/>
              <w:rPr>
                <w:sz w:val="20"/>
                <w:szCs w:val="20"/>
                <w:color w:val="auto"/>
              </w:rPr>
            </w:pPr>
            <w:r>
              <w:rPr>
                <w:rFonts w:ascii="Arial" w:cs="Arial" w:eastAsia="Arial" w:hAnsi="Arial"/>
                <w:sz w:val="18"/>
                <w:szCs w:val="18"/>
                <w:color w:val="auto"/>
              </w:rPr>
              <w:t>subdivisions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1400" w:type="dxa"/>
            <w:vAlign w:val="bottom"/>
          </w:tcPr>
          <w:p>
            <w:pPr>
              <w:jc w:val="right"/>
              <w:ind w:right="357"/>
              <w:spacing w:after="0"/>
              <w:rPr>
                <w:sz w:val="20"/>
                <w:szCs w:val="20"/>
                <w:color w:val="auto"/>
              </w:rPr>
            </w:pPr>
            <w:r>
              <w:rPr>
                <w:rFonts w:ascii="Arial" w:cs="Arial" w:eastAsia="Arial" w:hAnsi="Arial"/>
                <w:sz w:val="18"/>
                <w:szCs w:val="18"/>
                <w:color w:val="auto"/>
              </w:rPr>
              <w:t>(433)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(1,204)</w:t>
            </w:r>
          </w:p>
        </w:tc>
        <w:tc>
          <w:tcPr>
            <w:tcW w:w="1420" w:type="dxa"/>
            <w:vAlign w:val="bottom"/>
          </w:tcPr>
          <w:p>
            <w:pPr>
              <w:jc w:val="right"/>
              <w:ind w:right="356"/>
              <w:spacing w:after="0"/>
              <w:rPr>
                <w:sz w:val="20"/>
                <w:szCs w:val="20"/>
                <w:color w:val="auto"/>
              </w:rPr>
            </w:pPr>
            <w:r>
              <w:rPr>
                <w:rFonts w:ascii="Arial" w:cs="Arial" w:eastAsia="Arial" w:hAnsi="Arial"/>
                <w:sz w:val="18"/>
                <w:szCs w:val="18"/>
                <w:color w:val="auto"/>
              </w:rPr>
              <w:t>(1,187)</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4"/>
        </w:trPr>
        <w:tc>
          <w:tcPr>
            <w:tcW w:w="3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2,818</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417"/>
              <w:spacing w:after="0"/>
              <w:rPr>
                <w:sz w:val="20"/>
                <w:szCs w:val="20"/>
                <w:color w:val="auto"/>
              </w:rPr>
            </w:pPr>
            <w:r>
              <w:rPr>
                <w:rFonts w:ascii="Arial" w:cs="Arial" w:eastAsia="Arial" w:hAnsi="Arial"/>
                <w:sz w:val="18"/>
                <w:szCs w:val="18"/>
                <w:color w:val="auto"/>
              </w:rPr>
              <w:t>855</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(1,337)</w:t>
            </w:r>
          </w:p>
        </w:tc>
        <w:tc>
          <w:tcPr>
            <w:tcW w:w="1420" w:type="dxa"/>
            <w:vAlign w:val="bottom"/>
            <w:shd w:val="clear" w:color="auto" w:fill="CFF0FC"/>
          </w:tcPr>
          <w:p>
            <w:pPr>
              <w:jc w:val="right"/>
              <w:ind w:right="356"/>
              <w:spacing w:after="0"/>
              <w:rPr>
                <w:sz w:val="20"/>
                <w:szCs w:val="20"/>
                <w:color w:val="auto"/>
              </w:rPr>
            </w:pPr>
            <w:r>
              <w:rPr>
                <w:rFonts w:ascii="Arial" w:cs="Arial" w:eastAsia="Arial" w:hAnsi="Arial"/>
                <w:sz w:val="18"/>
                <w:szCs w:val="18"/>
                <w:color w:val="auto"/>
              </w:rPr>
              <w:t>(1,021)</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56"/>
        </w:trPr>
        <w:tc>
          <w:tcPr>
            <w:tcW w:w="39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Total interest income</w:t>
            </w:r>
          </w:p>
        </w:tc>
        <w:tc>
          <w:tcPr>
            <w:tcW w:w="8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281,849</w:t>
            </w:r>
          </w:p>
        </w:tc>
        <w:tc>
          <w:tcPr>
            <w:tcW w:w="220" w:type="dxa"/>
            <w:vAlign w:val="bottom"/>
            <w:tcBorders>
              <w:bottom w:val="single" w:sz="8" w:color="CFF0FC"/>
            </w:tcBorders>
          </w:tcPr>
          <w:p>
            <w:pPr>
              <w:spacing w:after="0"/>
              <w:rPr>
                <w:sz w:val="22"/>
                <w:szCs w:val="22"/>
                <w:color w:val="auto"/>
              </w:rPr>
            </w:pPr>
          </w:p>
        </w:tc>
        <w:tc>
          <w:tcPr>
            <w:tcW w:w="1400" w:type="dxa"/>
            <w:vAlign w:val="bottom"/>
            <w:tcBorders>
              <w:bottom w:val="single" w:sz="8" w:color="CFF0FC"/>
            </w:tcBorders>
          </w:tcPr>
          <w:p>
            <w:pPr>
              <w:spacing w:after="0"/>
              <w:rPr>
                <w:sz w:val="22"/>
                <w:szCs w:val="22"/>
                <w:color w:val="auto"/>
              </w:rPr>
            </w:pPr>
          </w:p>
        </w:tc>
        <w:tc>
          <w:tcPr>
            <w:tcW w:w="62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418,243</w:t>
            </w:r>
          </w:p>
        </w:tc>
        <w:tc>
          <w:tcPr>
            <w:tcW w:w="200" w:type="dxa"/>
            <w:vAlign w:val="bottom"/>
            <w:tcBorders>
              <w:bottom w:val="single" w:sz="8" w:color="CFF0FC"/>
            </w:tcBorders>
          </w:tcPr>
          <w:p>
            <w:pPr>
              <w:spacing w:after="0"/>
              <w:rPr>
                <w:sz w:val="22"/>
                <w:szCs w:val="22"/>
                <w:color w:val="auto"/>
              </w:rPr>
            </w:pPr>
          </w:p>
        </w:tc>
        <w:tc>
          <w:tcPr>
            <w:tcW w:w="1420" w:type="dxa"/>
            <w:vAlign w:val="bottom"/>
            <w:tcBorders>
              <w:bottom w:val="single" w:sz="8" w:color="CFF0FC"/>
            </w:tcBorders>
          </w:tcPr>
          <w:p>
            <w:pPr>
              <w:spacing w:after="0"/>
              <w:rPr>
                <w:sz w:val="22"/>
                <w:szCs w:val="22"/>
                <w:color w:val="auto"/>
              </w:rPr>
            </w:pPr>
          </w:p>
        </w:tc>
        <w:tc>
          <w:tcPr>
            <w:tcW w:w="6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Interest-bearing deposits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Savings and interest-checking deposits</w:t>
            </w:r>
          </w:p>
        </w:tc>
        <w:tc>
          <w:tcPr>
            <w:tcW w:w="1040" w:type="dxa"/>
            <w:vAlign w:val="bottom"/>
            <w:gridSpan w:val="2"/>
            <w:shd w:val="clear" w:color="auto" w:fill="CFF0FC"/>
          </w:tcPr>
          <w:p>
            <w:pPr>
              <w:jc w:val="right"/>
              <w:ind w:right="3"/>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152,593</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417"/>
              <w:spacing w:after="0"/>
              <w:rPr>
                <w:sz w:val="20"/>
                <w:szCs w:val="20"/>
                <w:color w:val="auto"/>
              </w:rPr>
            </w:pPr>
            <w:r>
              <w:rPr>
                <w:rFonts w:ascii="Arial" w:cs="Arial" w:eastAsia="Arial" w:hAnsi="Arial"/>
                <w:sz w:val="18"/>
                <w:szCs w:val="18"/>
                <w:color w:val="auto"/>
              </w:rPr>
              <w:t>10,760</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141,833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82,234</w:t>
            </w: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56"/>
              <w:spacing w:after="0"/>
              <w:rPr>
                <w:sz w:val="20"/>
                <w:szCs w:val="20"/>
                <w:color w:val="auto"/>
              </w:rPr>
            </w:pPr>
            <w:r>
              <w:rPr>
                <w:rFonts w:ascii="Arial" w:cs="Arial" w:eastAsia="Arial" w:hAnsi="Arial"/>
                <w:sz w:val="18"/>
                <w:szCs w:val="18"/>
                <w:color w:val="auto"/>
              </w:rPr>
              <w:t>(3,240)</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ind w:left="240"/>
              <w:spacing w:after="0"/>
              <w:rPr>
                <w:sz w:val="20"/>
                <w:szCs w:val="20"/>
                <w:color w:val="auto"/>
              </w:rPr>
            </w:pPr>
            <w:r>
              <w:rPr>
                <w:rFonts w:ascii="Arial" w:cs="Arial" w:eastAsia="Arial" w:hAnsi="Arial"/>
                <w:sz w:val="18"/>
                <w:szCs w:val="18"/>
                <w:color w:val="auto"/>
              </w:rPr>
              <w:t>Time deposits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44,003</w:t>
            </w:r>
          </w:p>
        </w:tc>
        <w:tc>
          <w:tcPr>
            <w:tcW w:w="220" w:type="dxa"/>
            <w:vAlign w:val="bottom"/>
          </w:tcPr>
          <w:p>
            <w:pPr>
              <w:spacing w:after="0"/>
              <w:rPr>
                <w:sz w:val="19"/>
                <w:szCs w:val="19"/>
                <w:color w:val="auto"/>
              </w:rPr>
            </w:pPr>
          </w:p>
        </w:tc>
        <w:tc>
          <w:tcPr>
            <w:tcW w:w="1400" w:type="dxa"/>
            <w:vAlign w:val="bottom"/>
          </w:tcPr>
          <w:p>
            <w:pPr>
              <w:jc w:val="right"/>
              <w:ind w:right="417"/>
              <w:spacing w:after="0"/>
              <w:rPr>
                <w:sz w:val="20"/>
                <w:szCs w:val="20"/>
                <w:color w:val="auto"/>
              </w:rPr>
            </w:pPr>
            <w:r>
              <w:rPr>
                <w:rFonts w:ascii="Arial" w:cs="Arial" w:eastAsia="Arial" w:hAnsi="Arial"/>
                <w:sz w:val="18"/>
                <w:szCs w:val="18"/>
                <w:color w:val="auto"/>
              </w:rPr>
              <w:t>2,525</w:t>
            </w:r>
          </w:p>
        </w:tc>
        <w:tc>
          <w:tcPr>
            <w:tcW w:w="620" w:type="dxa"/>
            <w:vAlign w:val="bottom"/>
          </w:tcPr>
          <w:p>
            <w:pPr>
              <w:jc w:val="right"/>
              <w:spacing w:after="0"/>
              <w:rPr>
                <w:sz w:val="20"/>
                <w:szCs w:val="20"/>
                <w:color w:val="auto"/>
              </w:rPr>
            </w:pPr>
            <w:r>
              <w:rPr>
                <w:rFonts w:ascii="Arial" w:cs="Arial" w:eastAsia="Arial" w:hAnsi="Arial"/>
                <w:sz w:val="18"/>
                <w:szCs w:val="18"/>
                <w:color w:val="auto"/>
              </w:rPr>
              <w:t>41,478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(10,082)</w:t>
            </w:r>
          </w:p>
        </w:tc>
        <w:tc>
          <w:tcPr>
            <w:tcW w:w="1420" w:type="dxa"/>
            <w:vAlign w:val="bottom"/>
          </w:tcPr>
          <w:p>
            <w:pPr>
              <w:jc w:val="right"/>
              <w:ind w:right="356"/>
              <w:spacing w:after="0"/>
              <w:rPr>
                <w:sz w:val="20"/>
                <w:szCs w:val="20"/>
                <w:color w:val="auto"/>
              </w:rPr>
            </w:pPr>
            <w:r>
              <w:rPr>
                <w:rFonts w:ascii="Arial" w:cs="Arial" w:eastAsia="Arial" w:hAnsi="Arial"/>
                <w:sz w:val="18"/>
                <w:szCs w:val="18"/>
                <w:color w:val="auto"/>
              </w:rPr>
              <w:t>(17,490)</w:t>
            </w:r>
          </w:p>
        </w:tc>
        <w:tc>
          <w:tcPr>
            <w:tcW w:w="640" w:type="dxa"/>
            <w:vAlign w:val="bottom"/>
          </w:tcPr>
          <w:p>
            <w:pPr>
              <w:jc w:val="right"/>
              <w:spacing w:after="0"/>
              <w:rPr>
                <w:sz w:val="20"/>
                <w:szCs w:val="20"/>
                <w:color w:val="auto"/>
              </w:rPr>
            </w:pPr>
            <w:r>
              <w:rPr>
                <w:rFonts w:ascii="Arial" w:cs="Arial" w:eastAsia="Arial" w:hAnsi="Arial"/>
                <w:sz w:val="18"/>
                <w:szCs w:val="18"/>
                <w:color w:val="auto"/>
              </w:rPr>
              <w:t>7,408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Deposits at Cayman Islands office</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16,284</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417"/>
              <w:spacing w:after="0"/>
              <w:rPr>
                <w:sz w:val="20"/>
                <w:szCs w:val="20"/>
                <w:color w:val="auto"/>
              </w:rPr>
            </w:pPr>
            <w:r>
              <w:rPr>
                <w:rFonts w:ascii="Arial" w:cs="Arial" w:eastAsia="Arial" w:hAnsi="Arial"/>
                <w:sz w:val="18"/>
                <w:szCs w:val="18"/>
                <w:color w:val="auto"/>
              </w:rPr>
              <w:t>15,529</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4,447</w:t>
            </w: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436"/>
              <w:spacing w:after="0"/>
              <w:rPr>
                <w:sz w:val="20"/>
                <w:szCs w:val="20"/>
                <w:color w:val="auto"/>
              </w:rPr>
            </w:pPr>
            <w:r>
              <w:rPr>
                <w:rFonts w:ascii="Arial" w:cs="Arial" w:eastAsia="Arial" w:hAnsi="Arial"/>
                <w:sz w:val="18"/>
                <w:szCs w:val="18"/>
                <w:color w:val="auto"/>
              </w:rPr>
              <w:t>2,133</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Short-term borrowings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19,355</w:t>
            </w:r>
          </w:p>
        </w:tc>
        <w:tc>
          <w:tcPr>
            <w:tcW w:w="220" w:type="dxa"/>
            <w:vAlign w:val="bottom"/>
          </w:tcPr>
          <w:p>
            <w:pPr>
              <w:spacing w:after="0"/>
              <w:rPr>
                <w:sz w:val="19"/>
                <w:szCs w:val="19"/>
                <w:color w:val="auto"/>
              </w:rPr>
            </w:pPr>
          </w:p>
        </w:tc>
        <w:tc>
          <w:tcPr>
            <w:tcW w:w="1400" w:type="dxa"/>
            <w:vAlign w:val="bottom"/>
          </w:tcPr>
          <w:p>
            <w:pPr>
              <w:jc w:val="right"/>
              <w:ind w:right="417"/>
              <w:spacing w:after="0"/>
              <w:rPr>
                <w:sz w:val="20"/>
                <w:szCs w:val="20"/>
                <w:color w:val="auto"/>
              </w:rPr>
            </w:pPr>
            <w:r>
              <w:rPr>
                <w:rFonts w:ascii="Arial" w:cs="Arial" w:eastAsia="Arial" w:hAnsi="Arial"/>
                <w:sz w:val="18"/>
                <w:szCs w:val="18"/>
                <w:color w:val="auto"/>
              </w:rPr>
              <w:t>16,135</w:t>
            </w:r>
          </w:p>
        </w:tc>
        <w:tc>
          <w:tcPr>
            <w:tcW w:w="620" w:type="dxa"/>
            <w:vAlign w:val="bottom"/>
          </w:tcPr>
          <w:p>
            <w:pPr>
              <w:jc w:val="right"/>
              <w:spacing w:after="0"/>
              <w:rPr>
                <w:sz w:val="20"/>
                <w:szCs w:val="20"/>
                <w:color w:val="auto"/>
              </w:rPr>
            </w:pPr>
            <w:r>
              <w:rPr>
                <w:rFonts w:ascii="Arial" w:cs="Arial" w:eastAsia="Arial" w:hAnsi="Arial"/>
                <w:sz w:val="18"/>
                <w:szCs w:val="18"/>
                <w:color w:val="auto"/>
              </w:rPr>
              <w:t>3,220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3,875</w:t>
            </w:r>
          </w:p>
        </w:tc>
        <w:tc>
          <w:tcPr>
            <w:tcW w:w="200" w:type="dxa"/>
            <w:vAlign w:val="bottom"/>
          </w:tcPr>
          <w:p>
            <w:pPr>
              <w:spacing w:after="0"/>
              <w:rPr>
                <w:sz w:val="19"/>
                <w:szCs w:val="19"/>
                <w:color w:val="auto"/>
              </w:rPr>
            </w:pPr>
          </w:p>
        </w:tc>
        <w:tc>
          <w:tcPr>
            <w:tcW w:w="1420" w:type="dxa"/>
            <w:vAlign w:val="bottom"/>
          </w:tcPr>
          <w:p>
            <w:pPr>
              <w:jc w:val="right"/>
              <w:ind w:right="436"/>
              <w:spacing w:after="0"/>
              <w:rPr>
                <w:sz w:val="20"/>
                <w:szCs w:val="20"/>
                <w:color w:val="auto"/>
              </w:rPr>
            </w:pPr>
            <w:r>
              <w:rPr>
                <w:rFonts w:ascii="Arial" w:cs="Arial" w:eastAsia="Arial" w:hAnsi="Arial"/>
                <w:sz w:val="18"/>
                <w:szCs w:val="18"/>
                <w:color w:val="auto"/>
              </w:rPr>
              <w:t>1,314</w:t>
            </w:r>
          </w:p>
        </w:tc>
        <w:tc>
          <w:tcPr>
            <w:tcW w:w="640" w:type="dxa"/>
            <w:vAlign w:val="bottom"/>
          </w:tcPr>
          <w:p>
            <w:pPr>
              <w:jc w:val="right"/>
              <w:spacing w:after="0"/>
              <w:rPr>
                <w:sz w:val="20"/>
                <w:szCs w:val="20"/>
                <w:color w:val="auto"/>
              </w:rPr>
            </w:pPr>
            <w:r>
              <w:rPr>
                <w:rFonts w:ascii="Arial" w:cs="Arial" w:eastAsia="Arial" w:hAnsi="Arial"/>
                <w:sz w:val="18"/>
                <w:szCs w:val="18"/>
                <w:color w:val="auto"/>
              </w:rPr>
              <w:t>2,561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borrowings</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(9,314)</w:t>
            </w:r>
          </w:p>
        </w:tc>
        <w:tc>
          <w:tcPr>
            <w:tcW w:w="1400" w:type="dxa"/>
            <w:vAlign w:val="bottom"/>
            <w:shd w:val="clear" w:color="auto" w:fill="CFF0FC"/>
          </w:tcPr>
          <w:p>
            <w:pPr>
              <w:jc w:val="right"/>
              <w:ind w:right="357"/>
              <w:spacing w:after="0"/>
              <w:rPr>
                <w:sz w:val="20"/>
                <w:szCs w:val="20"/>
                <w:color w:val="auto"/>
              </w:rPr>
            </w:pPr>
            <w:r>
              <w:rPr>
                <w:rFonts w:ascii="Arial" w:cs="Arial" w:eastAsia="Arial" w:hAnsi="Arial"/>
                <w:sz w:val="18"/>
                <w:szCs w:val="18"/>
                <w:color w:val="auto"/>
              </w:rPr>
              <w:t>(34,168)</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24,854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59,184</w:t>
            </w: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436"/>
              <w:spacing w:after="0"/>
              <w:rPr>
                <w:sz w:val="20"/>
                <w:szCs w:val="20"/>
                <w:color w:val="auto"/>
              </w:rPr>
            </w:pPr>
            <w:r>
              <w:rPr>
                <w:rFonts w:ascii="Arial" w:cs="Arial" w:eastAsia="Arial" w:hAnsi="Arial"/>
                <w:sz w:val="18"/>
                <w:szCs w:val="18"/>
                <w:color w:val="auto"/>
              </w:rPr>
              <w:t>12,996</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240"/>
              <w:spacing w:after="0"/>
              <w:rPr>
                <w:sz w:val="20"/>
                <w:szCs w:val="20"/>
                <w:color w:val="auto"/>
              </w:rPr>
            </w:pPr>
            <w:r>
              <w:rPr>
                <w:rFonts w:ascii="Arial" w:cs="Arial" w:eastAsia="Arial" w:hAnsi="Arial"/>
                <w:sz w:val="18"/>
                <w:szCs w:val="18"/>
                <w:color w:val="auto"/>
              </w:rPr>
              <w:t>Total interest expense</w:t>
            </w:r>
          </w:p>
        </w:tc>
        <w:tc>
          <w:tcPr>
            <w:tcW w:w="8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222,921</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139,658</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14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600" w:right="320" w:hanging="595"/>
        <w:spacing w:after="0" w:line="261" w:lineRule="auto"/>
        <w:tabs>
          <w:tab w:leader="none" w:pos="6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Interest income data are on a taxable-equivalent basis. The apportionment of changes resulting from the combined effect of both volume and rate was based on the separately determined volume and rate changes.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5" w:name="page26"/>
    <w:bookmarkEnd w:id="25"/>
    <w:p>
      <w:pPr>
        <w:spacing w:after="0"/>
        <w:tabs>
          <w:tab w:leader="none" w:pos="116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7"/>
          <w:szCs w:val="17"/>
          <w:b w:val="1"/>
          <w:bCs w:val="1"/>
          <w:i w:val="1"/>
          <w:iCs w:val="1"/>
          <w:color w:val="auto"/>
        </w:rPr>
        <w:t>Risk Factors</w:t>
      </w:r>
      <w:r>
        <w:rPr>
          <w:rFonts w:ascii="Arial" w:cs="Arial" w:eastAsia="Arial" w:hAnsi="Arial"/>
          <w:sz w:val="17"/>
          <w:szCs w:val="17"/>
          <w:b w:val="1"/>
          <w:bCs w:val="1"/>
          <w:color w:val="auto"/>
        </w:rPr>
        <w:t>.</w:t>
      </w:r>
    </w:p>
    <w:p>
      <w:pPr>
        <w:spacing w:after="0" w:line="116"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M&amp;T and its subsidiaries could be adversely impacted by a number of risks and uncertainties that are difficult to predict. As a financial institution certain risk elements are inherent in the ordinary course of the Company’s business activities and adverse experience with those risks could have a material impact on the Company’s business, financial condition and results of operations, as well as on the values of the Company’s financial instruments and M&amp;T’s common stock. The Company has developed a risk management process to identify, understand, mitigate and balance its exposure to significant risks. The following risk factors set forth some of the risks that could materially and adversely impact the Company, although there may be additional risks that are not presently material or known that may adversely affect the Company.</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 Risk</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Weakness in the economy has adversely affected the Company in the past and may adversely affect the Company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color w:val="auto"/>
        </w:rPr>
        <w:t>Poor business and economic conditions in general or specifically in markets served by the Company could have adverse effects on the</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Company’s business including:</w:t>
      </w:r>
    </w:p>
    <w:p>
      <w:pPr>
        <w:spacing w:after="0" w:line="7" w:lineRule="exact"/>
        <w:rPr>
          <w:sz w:val="20"/>
          <w:szCs w:val="20"/>
          <w:color w:val="auto"/>
        </w:rPr>
      </w:pPr>
    </w:p>
    <w:p>
      <w:pPr>
        <w:ind w:left="1180" w:hanging="584"/>
        <w:spacing w:after="0"/>
        <w:tabs>
          <w:tab w:leader="none" w:pos="1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 decrease in the demand for loans and other products and services offered by the Company.</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 decrease in net interest income derived from the Company’s lending and deposit gathering activities.</w:t>
      </w:r>
    </w:p>
    <w:p>
      <w:pPr>
        <w:spacing w:after="0" w:line="6" w:lineRule="exact"/>
        <w:rPr>
          <w:rFonts w:ascii="Arial" w:cs="Arial" w:eastAsia="Arial" w:hAnsi="Arial"/>
          <w:sz w:val="20"/>
          <w:szCs w:val="20"/>
          <w:color w:val="auto"/>
        </w:rPr>
      </w:pPr>
    </w:p>
    <w:p>
      <w:pPr>
        <w:ind w:left="1180" w:right="280" w:hanging="584"/>
        <w:spacing w:after="0" w:line="246" w:lineRule="auto"/>
        <w:tabs>
          <w:tab w:leader="none" w:pos="1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 decrease in the value of the Company’s investment securities, loans held for sale or other assets secured by residential or commercial real estate.</w:t>
      </w:r>
    </w:p>
    <w:p>
      <w:pPr>
        <w:spacing w:after="0" w:line="1" w:lineRule="exact"/>
        <w:rPr>
          <w:rFonts w:ascii="Arial" w:cs="Arial" w:eastAsia="Arial" w:hAnsi="Arial"/>
          <w:sz w:val="20"/>
          <w:szCs w:val="20"/>
          <w:color w:val="auto"/>
        </w:rPr>
      </w:pPr>
    </w:p>
    <w:p>
      <w:pPr>
        <w:ind w:left="1180" w:right="840" w:hanging="584"/>
        <w:spacing w:after="0" w:line="246" w:lineRule="auto"/>
        <w:tabs>
          <w:tab w:leader="none" w:pos="1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Other-than-temporary impairment of investment securities in the Company’s investment securities portfolio or other investments.</w:t>
      </w:r>
    </w:p>
    <w:p>
      <w:pPr>
        <w:spacing w:after="0" w:line="1" w:lineRule="exact"/>
        <w:rPr>
          <w:rFonts w:ascii="Arial" w:cs="Arial" w:eastAsia="Arial" w:hAnsi="Arial"/>
          <w:sz w:val="20"/>
          <w:szCs w:val="20"/>
          <w:color w:val="auto"/>
        </w:rPr>
      </w:pPr>
    </w:p>
    <w:p>
      <w:pPr>
        <w:ind w:left="1180" w:right="380" w:hanging="584"/>
        <w:spacing w:after="0" w:line="246" w:lineRule="auto"/>
        <w:tabs>
          <w:tab w:leader="none" w:pos="1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 decrease in fees from the Company’s brokerage and trust businesses associated with declines or lack of growth in stock market prices.</w:t>
      </w:r>
    </w:p>
    <w:p>
      <w:pPr>
        <w:spacing w:after="0" w:line="1" w:lineRule="exact"/>
        <w:rPr>
          <w:rFonts w:ascii="Arial" w:cs="Arial" w:eastAsia="Arial" w:hAnsi="Arial"/>
          <w:sz w:val="20"/>
          <w:szCs w:val="20"/>
          <w:color w:val="auto"/>
        </w:rPr>
      </w:pPr>
    </w:p>
    <w:p>
      <w:pPr>
        <w:ind w:left="1180" w:hanging="584"/>
        <w:spacing w:after="0"/>
        <w:tabs>
          <w:tab w:leader="none" w:pos="1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Potential higher FDIC assessments due to the DIF falling below minimum required levels.</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 impairment of certain intangible assets, such as goodwill.</w:t>
      </w:r>
    </w:p>
    <w:p>
      <w:pPr>
        <w:spacing w:after="0" w:line="6" w:lineRule="exact"/>
        <w:rPr>
          <w:rFonts w:ascii="Arial" w:cs="Arial" w:eastAsia="Arial" w:hAnsi="Arial"/>
          <w:sz w:val="20"/>
          <w:szCs w:val="20"/>
          <w:color w:val="auto"/>
        </w:rPr>
      </w:pPr>
    </w:p>
    <w:p>
      <w:pPr>
        <w:ind w:left="1180" w:right="60" w:hanging="584"/>
        <w:spacing w:after="0" w:line="250" w:lineRule="auto"/>
        <w:tabs>
          <w:tab w:leader="none" w:pos="1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 increase in the number of customers and counterparties who become delinquent, file for protection under bankruptcy laws or default on their loans or other obligations to the Company. An increase in the number of delinquencies, bankruptcies or defaults could result in higher levels of nonperforming assets, net charge-offs, provision for credit losses and valuation adjustments on loans held for sale.</w:t>
      </w:r>
    </w:p>
    <w:p>
      <w:pPr>
        <w:spacing w:after="0" w:line="285" w:lineRule="exact"/>
        <w:rPr>
          <w:sz w:val="20"/>
          <w:szCs w:val="20"/>
          <w:color w:val="auto"/>
        </w:rPr>
      </w:pPr>
    </w:p>
    <w:p>
      <w:pPr>
        <w:ind w:right="280"/>
        <w:spacing w:after="0" w:line="256" w:lineRule="auto"/>
        <w:rPr>
          <w:sz w:val="20"/>
          <w:szCs w:val="20"/>
          <w:color w:val="auto"/>
        </w:rPr>
      </w:pPr>
      <w:r>
        <w:rPr>
          <w:rFonts w:ascii="Arial" w:cs="Arial" w:eastAsia="Arial" w:hAnsi="Arial"/>
          <w:sz w:val="20"/>
          <w:szCs w:val="20"/>
          <w:i w:val="1"/>
          <w:iCs w:val="1"/>
          <w:color w:val="auto"/>
        </w:rPr>
        <w:t>The Company’s business and financial performance is impacted significantly by market interest rates and movements in those rates. The monetary, tax and other policies of governmental agencies, including the Federal Reserve, have a significant impact on interest rates and overall financial market performance over which the Company has no control and which the Company may not be able to anticipate adequately.</w:t>
      </w:r>
    </w:p>
    <w:p>
      <w:pPr>
        <w:spacing w:after="0" w:line="70"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As a result of the high percentage of the Company’s assets and liabilities that are in the form of interest-bearing or interest-related instruments, changes in interest rates, in the shape of the yield curve or in spreads between different market interest rates, can have a material effect on the Company’s business and profitability and the value of the Company’s assets and liabilities. For example, changes in interest rates or interest rate spreads may:</w:t>
      </w:r>
    </w:p>
    <w:p>
      <w:pPr>
        <w:spacing w:after="0" w:line="2" w:lineRule="exact"/>
        <w:rPr>
          <w:sz w:val="20"/>
          <w:szCs w:val="20"/>
          <w:color w:val="auto"/>
        </w:rPr>
      </w:pPr>
    </w:p>
    <w:p>
      <w:pPr>
        <w:ind w:left="1180" w:hanging="584"/>
        <w:spacing w:after="0"/>
        <w:tabs>
          <w:tab w:leader="none" w:pos="11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Affect the difference between the interest that the Company earns on assets and the</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26" w:name="page27"/>
    <w:bookmarkEnd w:id="26"/>
    <w:p>
      <w:pPr>
        <w:ind w:left="1180"/>
        <w:spacing w:after="0"/>
        <w:rPr>
          <w:sz w:val="20"/>
          <w:szCs w:val="20"/>
          <w:color w:val="auto"/>
        </w:rPr>
      </w:pPr>
      <w:r>
        <w:rPr>
          <w:rFonts w:ascii="Arial" w:cs="Arial" w:eastAsia="Arial" w:hAnsi="Arial"/>
          <w:sz w:val="19"/>
          <w:szCs w:val="19"/>
          <w:color w:val="auto"/>
        </w:rPr>
        <w:t>interest that the Company pays on liabilities, which impacts the Company’s overall net interest income and profitability.</w:t>
      </w:r>
    </w:p>
    <w:p>
      <w:pPr>
        <w:spacing w:after="0" w:line="36" w:lineRule="exact"/>
        <w:rPr>
          <w:sz w:val="20"/>
          <w:szCs w:val="20"/>
          <w:color w:val="auto"/>
        </w:rPr>
      </w:pPr>
    </w:p>
    <w:p>
      <w:pPr>
        <w:ind w:left="1180" w:right="1040" w:hanging="584"/>
        <w:spacing w:after="0" w:line="246" w:lineRule="auto"/>
        <w:tabs>
          <w:tab w:leader="none" w:pos="11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Adversely affect the ability of borrowers to meet obligations under variable or adjustable rate loans and other debt instruments, which, in turn, affects the Company’s loss rates on those assets.</w:t>
      </w:r>
    </w:p>
    <w:p>
      <w:pPr>
        <w:spacing w:after="0" w:line="1" w:lineRule="exact"/>
        <w:rPr>
          <w:rFonts w:ascii="Arial" w:cs="Arial" w:eastAsia="Arial" w:hAnsi="Arial"/>
          <w:sz w:val="20"/>
          <w:szCs w:val="20"/>
          <w:color w:val="auto"/>
        </w:rPr>
      </w:pPr>
    </w:p>
    <w:p>
      <w:pPr>
        <w:ind w:left="1180" w:hanging="584"/>
        <w:spacing w:after="0"/>
        <w:tabs>
          <w:tab w:leader="none" w:pos="11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Decrease the demand for interest rate-based products and services, including loans and deposits.</w:t>
      </w:r>
    </w:p>
    <w:p>
      <w:pPr>
        <w:spacing w:after="0" w:line="6" w:lineRule="exact"/>
        <w:rPr>
          <w:rFonts w:ascii="Arial" w:cs="Arial" w:eastAsia="Arial" w:hAnsi="Arial"/>
          <w:sz w:val="20"/>
          <w:szCs w:val="20"/>
          <w:color w:val="auto"/>
        </w:rPr>
      </w:pPr>
    </w:p>
    <w:p>
      <w:pPr>
        <w:ind w:left="1180" w:right="460" w:hanging="584"/>
        <w:spacing w:after="0" w:line="246" w:lineRule="auto"/>
        <w:tabs>
          <w:tab w:leader="none" w:pos="11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Affect the Company’s ability to hedge various forms of market and interest rate risk and may decrease the profitability or protection or increase the risk or cost associated with such hedges.</w:t>
      </w:r>
    </w:p>
    <w:p>
      <w:pPr>
        <w:spacing w:after="0" w:line="1" w:lineRule="exact"/>
        <w:rPr>
          <w:rFonts w:ascii="Arial" w:cs="Arial" w:eastAsia="Arial" w:hAnsi="Arial"/>
          <w:sz w:val="20"/>
          <w:szCs w:val="20"/>
          <w:color w:val="auto"/>
        </w:rPr>
      </w:pPr>
    </w:p>
    <w:p>
      <w:pPr>
        <w:ind w:left="1180" w:right="300" w:hanging="584"/>
        <w:spacing w:after="0" w:line="251" w:lineRule="auto"/>
        <w:tabs>
          <w:tab w:leader="none" w:pos="11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Affect mortgage prepayment speeds and could result in the impairment of capitalized mortgage servicing assets, reduce the value of loans held for sale and increase the volatility of mortgage banking revenues, potentially adversely affecting the Company’s results of operations.</w:t>
      </w:r>
    </w:p>
    <w:p>
      <w:pPr>
        <w:spacing w:after="0" w:line="180" w:lineRule="exact"/>
        <w:rPr>
          <w:sz w:val="20"/>
          <w:szCs w:val="20"/>
          <w:color w:val="auto"/>
        </w:rPr>
      </w:pPr>
    </w:p>
    <w:p>
      <w:pPr>
        <w:ind w:right="60" w:firstLine="598"/>
        <w:spacing w:after="0" w:line="262" w:lineRule="auto"/>
        <w:rPr>
          <w:sz w:val="20"/>
          <w:szCs w:val="20"/>
          <w:color w:val="auto"/>
        </w:rPr>
      </w:pPr>
      <w:r>
        <w:rPr>
          <w:rFonts w:ascii="Arial" w:cs="Arial" w:eastAsia="Arial" w:hAnsi="Arial"/>
          <w:sz w:val="19"/>
          <w:szCs w:val="19"/>
          <w:color w:val="auto"/>
        </w:rPr>
        <w:t>The monetary, tax and other policies of the government and its agencies, including the Federal Reserve, have a significant impact on interest rates and overall financial market performance. These governmental policies can thus affect the activities and results of operations of banking organizations such as the Company. An important function of the Federal Reserve is to regulate the national supply of bank credit and certain interest rates. The actions of the Federal Reserve influence the rates of interest that the Company charges on loans and that the Company pays on borrowings and interest-bearing deposits and can also affect the value of the Company’s on-balance sheet and off-balance sheet financial instruments. Also, due to the impact on rates for short-term funding, the Federal Reserve’s policies influence, to a significant extent, the Company’s cost of such funding.</w:t>
      </w:r>
    </w:p>
    <w:p>
      <w:pPr>
        <w:spacing w:after="0" w:line="4" w:lineRule="exact"/>
        <w:rPr>
          <w:sz w:val="20"/>
          <w:szCs w:val="20"/>
          <w:color w:val="auto"/>
        </w:rPr>
      </w:pPr>
    </w:p>
    <w:p>
      <w:pPr>
        <w:ind w:right="120" w:firstLine="598"/>
        <w:spacing w:after="0" w:line="264" w:lineRule="auto"/>
        <w:rPr>
          <w:sz w:val="20"/>
          <w:szCs w:val="20"/>
          <w:color w:val="auto"/>
        </w:rPr>
      </w:pPr>
      <w:r>
        <w:rPr>
          <w:rFonts w:ascii="Arial" w:cs="Arial" w:eastAsia="Arial" w:hAnsi="Arial"/>
          <w:sz w:val="19"/>
          <w:szCs w:val="19"/>
          <w:color w:val="auto"/>
        </w:rPr>
        <w:t>In addition, the Company is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tax laws change or the tax authorities determine that management’s assumptions were inappropriate, the result and adjustments required could have a material effect on the Company’s results of operations. M&amp;T cannot predict the nature or timing of future changes in monetary, tax and other policies or the effect that they may have on the Company’s business activities, financial condition and results of operations.</w:t>
      </w:r>
    </w:p>
    <w:p>
      <w:pPr>
        <w:spacing w:after="0" w:line="169" w:lineRule="exact"/>
        <w:rPr>
          <w:sz w:val="20"/>
          <w:szCs w:val="20"/>
          <w:color w:val="auto"/>
        </w:rPr>
      </w:pPr>
    </w:p>
    <w:p>
      <w:pPr>
        <w:ind w:right="20"/>
        <w:spacing w:after="0" w:line="275" w:lineRule="auto"/>
        <w:rPr>
          <w:sz w:val="20"/>
          <w:szCs w:val="20"/>
          <w:color w:val="auto"/>
        </w:rPr>
      </w:pPr>
      <w:r>
        <w:rPr>
          <w:rFonts w:ascii="Arial" w:cs="Arial" w:eastAsia="Arial" w:hAnsi="Arial"/>
          <w:sz w:val="20"/>
          <w:szCs w:val="20"/>
          <w:i w:val="1"/>
          <w:iCs w:val="1"/>
          <w:color w:val="auto"/>
        </w:rPr>
        <w:t>The forecasted discontinuation of LIBOR and the emergence of one or more alternative benchmark indices to replace LIBOR could adversely impact the Company’s business and results of operations.</w:t>
      </w:r>
    </w:p>
    <w:p>
      <w:pPr>
        <w:spacing w:after="0" w:line="51"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The Company’s floating-rate funding, certain hedging transactions and certain of the Company’s products, such as floating-rate loans and mortgages, determine the applicable interest rate or payment amount by reference to a benchmark rate, such as the London Interbank Offered Rate (“LIBOR”), or to an index, currency, basket or other financial metric. LIBOR and certain other benchmark rates are the subject of recent national, international, and other regulatory guidance and proposals for reform. In July 2017, the Chief Executive of the Financial Conduct Authority (“FCA”) announced that the FCA intends to stop persuading or compelling its panel banks to submit rates for the calculation of LIBOR after 2021. Consequently, at this time, it is not possible to predict whether and to what extent panel banks will continue to provide submissions for the calculation of LIBOR, such that the continuation of LIBOR on the current basis cannot and will not be guaranteed after 2021. Similarly, it is not possible to predict whether and for how long LIBOR will continue to be viewed as an acceptable market benchmark, what new or existing benchmark rate or rates may become accepted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7" w:name="page28"/>
    <w:bookmarkEnd w:id="27"/>
    <w:p>
      <w:pPr>
        <w:ind w:right="360"/>
        <w:spacing w:after="0" w:line="256" w:lineRule="auto"/>
        <w:rPr>
          <w:sz w:val="20"/>
          <w:szCs w:val="20"/>
          <w:color w:val="auto"/>
        </w:rPr>
      </w:pPr>
      <w:r>
        <w:rPr>
          <w:rFonts w:ascii="Arial" w:cs="Arial" w:eastAsia="Arial" w:hAnsi="Arial"/>
          <w:sz w:val="20"/>
          <w:szCs w:val="20"/>
          <w:color w:val="auto"/>
        </w:rPr>
        <w:t>alternatives to LIBOR, or what the effect of any such changes in industry views or alternatives may be on the markets for LIBOR-linked financial instruments.</w:t>
      </w:r>
    </w:p>
    <w:p>
      <w:pPr>
        <w:ind w:firstLine="598"/>
        <w:spacing w:after="0" w:line="246" w:lineRule="auto"/>
        <w:rPr>
          <w:sz w:val="20"/>
          <w:szCs w:val="20"/>
          <w:color w:val="auto"/>
        </w:rPr>
      </w:pPr>
      <w:r>
        <w:rPr>
          <w:rFonts w:ascii="Arial" w:cs="Arial" w:eastAsia="Arial" w:hAnsi="Arial"/>
          <w:sz w:val="20"/>
          <w:szCs w:val="20"/>
          <w:color w:val="auto"/>
        </w:rPr>
        <w:t>Regulators and various financial industry groups have sponsored or formed committees (e.g., the Federal Reserve-sponsored Alternative Reference Rates Committee) to, among other things, facilitate the identification of an alternative benchmark index to replace LIBOR, and publish consultations on recommended practices for transitioning away from LIBOR, including (i) the utilization of recommended fallback language for LIBOR-linked financial instruments, and (ii) development of alternative pricing methodologies for recommended alternative benchmarks such as the Secured Overnight Financing Rate (“SOFR”). SOFR is a measure of the cost of borrowing cash overnight, collateralized by U.S. Treasury securities, and is based on directly observable U.S. Treasury-based repurchase transactions. At this time, it is still not possible to predict whether these recommendations and proposals will be broadly accepted in the market, whether they will continue to evolve, and what the effect of their implementation may be on the markets for floating-rate financial instruments.</w:t>
      </w:r>
    </w:p>
    <w:p>
      <w:pPr>
        <w:spacing w:after="0" w:line="7"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The discontinuation of LIBOR or changes in market perceptions of the acceptability of LIBOR as a benchmark could result in changes to the Company’s risk exposures (for example, if the anticipated discontinuation of LIBOR adversely affects the availability or cost of floating-rate funding and, therefore, the Company’s exposure to fluctuations in interest rates) or otherwise result in losses on a product or having to pay more or receive less on securities that the Company has issued or owns. A substantial portion of the Company’s on- and off-balance sheet financial instruments (many of which have terms that extend beyond 2021) are indexed to LIBOR, including interest rate swap agreements and other contracts used for hedging and trading account purposes, loans to commercial customers and consumers (including mortgage loans and other loans), and long-term borrowings. In addition, such uncertainty could result in pricing volatility and increased capital requirements, loss of market share in certain products, adverse tax or accounting impacts, and compliance, legal and operational costs and risks.</w:t>
      </w:r>
    </w:p>
    <w:p>
      <w:pPr>
        <w:spacing w:after="0" w:line="7" w:lineRule="exact"/>
        <w:rPr>
          <w:sz w:val="20"/>
          <w:szCs w:val="20"/>
          <w:color w:val="auto"/>
        </w:rPr>
      </w:pPr>
    </w:p>
    <w:p>
      <w:pPr>
        <w:ind w:right="160" w:firstLine="598"/>
        <w:spacing w:after="0" w:line="293" w:lineRule="auto"/>
        <w:rPr>
          <w:sz w:val="20"/>
          <w:szCs w:val="20"/>
          <w:color w:val="auto"/>
        </w:rPr>
      </w:pPr>
      <w:r>
        <w:rPr>
          <w:rFonts w:ascii="Arial" w:cs="Arial" w:eastAsia="Arial" w:hAnsi="Arial"/>
          <w:sz w:val="18"/>
          <w:szCs w:val="18"/>
          <w:color w:val="auto"/>
        </w:rPr>
        <w:t>The Company established an enterprise-wide LIBOR transition program in 2019. An impact assessment has been completed to identify on- and off-balance sheet exposures, systems, processes, models, customers, and employees affected by the discontinuation of LIBOR. The Company continues to develop and execute plans to transition products associated with LIBOR to alternative reference rates.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Company’s business and performance is vulnerable to the impact of volatility in debt and equity markets.</w:t>
      </w:r>
    </w:p>
    <w:p>
      <w:pPr>
        <w:spacing w:after="0" w:line="112" w:lineRule="exact"/>
        <w:rPr>
          <w:sz w:val="20"/>
          <w:szCs w:val="20"/>
          <w:color w:val="auto"/>
        </w:rPr>
      </w:pPr>
    </w:p>
    <w:p>
      <w:pPr>
        <w:ind w:right="220"/>
        <w:spacing w:after="0" w:line="251" w:lineRule="auto"/>
        <w:rPr>
          <w:sz w:val="20"/>
          <w:szCs w:val="20"/>
          <w:color w:val="auto"/>
        </w:rPr>
      </w:pPr>
      <w:r>
        <w:rPr>
          <w:rFonts w:ascii="Arial" w:cs="Arial" w:eastAsia="Arial" w:hAnsi="Arial"/>
          <w:sz w:val="20"/>
          <w:szCs w:val="20"/>
          <w:color w:val="auto"/>
        </w:rPr>
        <w:t>As most of the Company’s assets and liabilities are financial in nature, the Company’s performance is sensitive to the performance of the financial markets. Turmoil and volatility in U.S. and global financial markets can be a major contributory factor to overall weak economic conditions, leading to some of the risks discussed herein, including the impaired ability of borrowers and other counterparties to meet obligations to the Company. Financial market volatility may:</w:t>
      </w:r>
    </w:p>
    <w:p>
      <w:pPr>
        <w:spacing w:after="0" w:line="2" w:lineRule="exact"/>
        <w:rPr>
          <w:sz w:val="20"/>
          <w:szCs w:val="20"/>
          <w:color w:val="auto"/>
        </w:rPr>
      </w:pPr>
    </w:p>
    <w:p>
      <w:pPr>
        <w:ind w:left="1180" w:hanging="584"/>
        <w:spacing w:after="0"/>
        <w:tabs>
          <w:tab w:leader="none" w:pos="11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Affect the value or liquidity of the Company’s on-balance sheet and off-balance sheet financial instruments.</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Affect the value of capitalized servicing assets.</w:t>
      </w:r>
    </w:p>
    <w:p>
      <w:pPr>
        <w:spacing w:after="0" w:line="6" w:lineRule="exact"/>
        <w:rPr>
          <w:rFonts w:ascii="Arial" w:cs="Arial" w:eastAsia="Arial" w:hAnsi="Arial"/>
          <w:sz w:val="20"/>
          <w:szCs w:val="20"/>
          <w:color w:val="auto"/>
        </w:rPr>
      </w:pPr>
    </w:p>
    <w:p>
      <w:pPr>
        <w:ind w:left="1180" w:right="280" w:hanging="584"/>
        <w:spacing w:after="0" w:line="256" w:lineRule="auto"/>
        <w:tabs>
          <w:tab w:leader="none" w:pos="11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Affect M&amp;T’s ability to access capital markets to raise funds. Inability to access capital markets if needed, at cost effective rates, could adversely affect the Company’s liquidity and results of operations.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360"/>
          </w:cols>
          <w:pgMar w:left="240" w:top="231" w:right="299" w:bottom="1440" w:gutter="0" w:footer="0" w:header="0"/>
        </w:sectPr>
      </w:pPr>
    </w:p>
    <w:bookmarkStart w:id="28" w:name="page29"/>
    <w:bookmarkEnd w:id="28"/>
    <w:p>
      <w:pPr>
        <w:ind w:left="1180" w:right="200" w:hanging="584"/>
        <w:spacing w:after="0" w:line="253" w:lineRule="auto"/>
        <w:tabs>
          <w:tab w:leader="none" w:pos="11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Affect the value of the assets that the Company manages or otherwise administers or services for others. Although the Company is not directly impacted by changes in the value of such assets, decreases in the value of those assets would affect related fee income and could result in decreased demand for the Company’s services.</w:t>
      </w:r>
    </w:p>
    <w:p>
      <w:pPr>
        <w:ind w:left="1180" w:hanging="584"/>
        <w:spacing w:after="0"/>
        <w:tabs>
          <w:tab w:leader="none" w:pos="11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Impact the nature, profitability or risk profile of the financial transactions in which the Company engages.</w:t>
      </w:r>
    </w:p>
    <w:p>
      <w:pPr>
        <w:spacing w:after="0" w:line="199" w:lineRule="exact"/>
        <w:rPr>
          <w:sz w:val="20"/>
          <w:szCs w:val="20"/>
          <w:color w:val="auto"/>
        </w:rPr>
      </w:pPr>
    </w:p>
    <w:p>
      <w:pPr>
        <w:ind w:right="20" w:firstLine="598"/>
        <w:spacing w:after="0" w:line="274" w:lineRule="auto"/>
        <w:rPr>
          <w:sz w:val="20"/>
          <w:szCs w:val="20"/>
          <w:color w:val="auto"/>
        </w:rPr>
      </w:pPr>
      <w:r>
        <w:rPr>
          <w:rFonts w:ascii="Arial" w:cs="Arial" w:eastAsia="Arial" w:hAnsi="Arial"/>
          <w:sz w:val="19"/>
          <w:szCs w:val="19"/>
          <w:color w:val="auto"/>
        </w:rPr>
        <w:t>Volatility in the markets for real estate and other assets commonly securing financial products has been and may continue to be a significant contributor to overall volatility in financial markets. In addition, unfavorable or uncertain economic and market conditions can be caused by the imposition of tariffs or other limitations on international trade and travel, which can result in market volatility, negatively impact client activity, and adversely affect the Company’s financial condition and results of operations.</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Company’s regional concentrations expose it to adverse economic conditions in its primary retail banking office footprint.</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The Company’s core banking business is largely concentrated within the Company’s retail banking office network footprint, located principally in New York, Maryland, New Jersey, Pennsylvania, Delaware, Connecticut, Virginia, West Virginia and the District of Columbia. Therefore, the Company is, or in the future may be, particularly vulnerable to adverse changes in economic conditions in the Northeast and Mid-Atlantic regions.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Relating to Compliance and the Regulatory Environment</w:t>
      </w:r>
    </w:p>
    <w:p>
      <w:pPr>
        <w:spacing w:after="0" w:line="112" w:lineRule="exact"/>
        <w:rPr>
          <w:sz w:val="20"/>
          <w:szCs w:val="20"/>
          <w:color w:val="auto"/>
        </w:rPr>
      </w:pPr>
    </w:p>
    <w:p>
      <w:pPr>
        <w:ind w:right="880"/>
        <w:spacing w:after="0" w:line="275" w:lineRule="auto"/>
        <w:rPr>
          <w:sz w:val="20"/>
          <w:szCs w:val="20"/>
          <w:color w:val="auto"/>
        </w:rPr>
      </w:pPr>
      <w:r>
        <w:rPr>
          <w:rFonts w:ascii="Arial" w:cs="Arial" w:eastAsia="Arial" w:hAnsi="Arial"/>
          <w:sz w:val="20"/>
          <w:szCs w:val="20"/>
          <w:i w:val="1"/>
          <w:iCs w:val="1"/>
          <w:color w:val="auto"/>
        </w:rPr>
        <w:t>The Company is subject to extensive government regulation and supervision and this regulatory environment can be and has been significantly impacted by financial regulatory reform initiatives.</w:t>
      </w:r>
    </w:p>
    <w:p>
      <w:pPr>
        <w:spacing w:after="0" w:line="51"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The Company is subject to extensive federal and state regulation and supervision. Banking regulations are primarily intended to protect depositors’ funds, federal deposit insurance funds and the financial system as a whole, not stockholders. These regulations and supervisory guidance affect the Company’s lending practices, capital structure, amounts of capital, investment practices, dividend policy, growth and expansionary activity, among other things. Failure to comply with laws, regulations, policies or supervisory guidance could result in civil or criminal penalties, including monetary penalties, the loss of FDIC insurance, the revocation of a banking charter, other sanctions by regulatory agencies, and/or reputation damage, which could have a material adverse effect on the Company’s business, financial condition and results of operations. In this regard, government authorities, including the bank regulatory agencies, can pursue aggressive enforcement actions with respect to compliance and other legal matters involving financial activities, which heightens the risks associated with actual and perceived compliance failures and may also adversely affect the Company’s ability to enter into certain transactions or engage in certain activities, or obtain necessary regulatory approvals in connection therewith. In general, the amounts paid by financial institutions in settlement of proceedings or investigations have increased substantially and are likely to remain elevated. In some cases, governmental authorities have required criminal pleas or other extraordinary terms as part of such settlements, which could have significant collateral consequences for a financial institution, including loss of customers, restrictions on the ability to access the capital markets, and the inability to operate certain businesses or offer certain products for a period of time. In addition, enforcement matters could impact the Company’s supervisory and CRA ratings, which may in turn restrict or limit the Company’s activities.</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360"/>
          </w:cols>
          <w:pgMar w:left="240" w:top="126" w:right="299" w:bottom="1440" w:gutter="0" w:footer="0" w:header="0"/>
        </w:sectPr>
      </w:pPr>
    </w:p>
    <w:bookmarkStart w:id="29" w:name="page30"/>
    <w:bookmarkEnd w:id="29"/>
    <w:p>
      <w:pPr>
        <w:ind w:right="120" w:firstLine="598"/>
        <w:spacing w:after="0" w:line="278" w:lineRule="auto"/>
        <w:rPr>
          <w:sz w:val="20"/>
          <w:szCs w:val="20"/>
          <w:color w:val="auto"/>
        </w:rPr>
      </w:pPr>
      <w:r>
        <w:rPr>
          <w:rFonts w:ascii="Arial" w:cs="Arial" w:eastAsia="Arial" w:hAnsi="Arial"/>
          <w:sz w:val="18"/>
          <w:szCs w:val="18"/>
          <w:color w:val="auto"/>
        </w:rPr>
        <w:t>Any new regulatory requirements or changes to existing requirements could require changes to the Company’s businesses, result in increased compliance costs and affect the profitability of such businesses. Additionally, such activity could affect the behaviors of third parties with which the Company deals in the ordinary course of business, such as rating agencies, insurance companies and investors. Heightened regulatory practices, requirements or expectations could affect the Company in substantial and unpredictable ways, and, in turn, could have a material adverse effect on the Company’s business, financial condition and results of operations.</w:t>
      </w:r>
    </w:p>
    <w:p>
      <w:pPr>
        <w:spacing w:after="0" w:line="2" w:lineRule="exact"/>
        <w:rPr>
          <w:sz w:val="20"/>
          <w:szCs w:val="20"/>
          <w:color w:val="auto"/>
        </w:rPr>
      </w:pPr>
    </w:p>
    <w:p>
      <w:pPr>
        <w:ind w:right="140" w:firstLine="598"/>
        <w:spacing w:after="0" w:line="286" w:lineRule="auto"/>
        <w:rPr>
          <w:sz w:val="20"/>
          <w:szCs w:val="20"/>
          <w:color w:val="auto"/>
        </w:rPr>
      </w:pPr>
      <w:r>
        <w:rPr>
          <w:rFonts w:ascii="Arial" w:cs="Arial" w:eastAsia="Arial" w:hAnsi="Arial"/>
          <w:sz w:val="18"/>
          <w:szCs w:val="18"/>
          <w:color w:val="auto"/>
        </w:rPr>
        <w:t>There have been significant revisions to the laws and regulations applicable to the Company that have been enacted or proposed in recent months. These and other rules to implement the changes have yet to be finalized, and the final timing, scope and impact of these changes to the regulatory framework applicable to financial institutions remain uncertain. For more information on the regulations to which the Company is subject and recent initiatives to reform financial institution regulation, see Part I, Item 1 — Business in this report.</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M&amp;T may be subject to more stringent capital and liquidity requirements.</w:t>
      </w:r>
    </w:p>
    <w:p>
      <w:pPr>
        <w:spacing w:after="0" w:line="112" w:lineRule="exact"/>
        <w:rPr>
          <w:sz w:val="20"/>
          <w:szCs w:val="20"/>
          <w:color w:val="auto"/>
        </w:rPr>
      </w:pPr>
    </w:p>
    <w:p>
      <w:pPr>
        <w:ind w:right="420"/>
        <w:spacing w:after="0" w:line="253" w:lineRule="auto"/>
        <w:rPr>
          <w:sz w:val="20"/>
          <w:szCs w:val="20"/>
          <w:color w:val="auto"/>
        </w:rPr>
      </w:pPr>
      <w:r>
        <w:rPr>
          <w:rFonts w:ascii="Arial" w:cs="Arial" w:eastAsia="Arial" w:hAnsi="Arial"/>
          <w:sz w:val="20"/>
          <w:szCs w:val="20"/>
          <w:color w:val="auto"/>
        </w:rPr>
        <w:t>Bank holding companies, including M&amp;T, are subject to capital and liquidity standards imposed as a result of the Dodd-Frank Act (as amended by EGRRCPA) and the U.S. Basel III-based capital rules. For additional information, see “Capital Requirements” under Part I, Item 1 — Business.</w:t>
      </w:r>
    </w:p>
    <w:p>
      <w:pPr>
        <w:ind w:firstLine="598"/>
        <w:spacing w:after="0" w:line="259" w:lineRule="auto"/>
        <w:rPr>
          <w:sz w:val="20"/>
          <w:szCs w:val="20"/>
          <w:color w:val="auto"/>
        </w:rPr>
      </w:pPr>
      <w:r>
        <w:rPr>
          <w:rFonts w:ascii="Arial" w:cs="Arial" w:eastAsia="Arial" w:hAnsi="Arial"/>
          <w:sz w:val="19"/>
          <w:szCs w:val="19"/>
          <w:color w:val="auto"/>
        </w:rPr>
        <w:t>From time to time, regulators may implement changes to these regulatory capital adequacy and liquidity requirements. If the Company fails to meet these minimum capital adequacy and liquidity guidelines and other regulatory requirements, its business activities, including lending, and its ability to expand, either organically or through acquisitions, could be limited. It could also result in M&amp;T being required to take steps to increase its regulatory capital that may be dilutive to shareholders or limit its ability to pay dividends or otherwise return capital to shareholders, or sell or refrain from acquiring assets. In addition, the liquidity-related provisions of the Federal Reserve’s liquidity-related enhanced prudential supervision requirements may reduce the Company’s ability to invest in other longer-term assets even if deemed more desirable from a balance sheet management perspective.</w:t>
      </w:r>
    </w:p>
    <w:p>
      <w:pPr>
        <w:spacing w:after="0" w:line="5" w:lineRule="exact"/>
        <w:rPr>
          <w:sz w:val="20"/>
          <w:szCs w:val="20"/>
          <w:color w:val="auto"/>
        </w:rPr>
      </w:pPr>
    </w:p>
    <w:p>
      <w:pPr>
        <w:ind w:right="120" w:firstLine="598"/>
        <w:spacing w:after="0" w:line="250" w:lineRule="auto"/>
        <w:rPr>
          <w:sz w:val="20"/>
          <w:szCs w:val="20"/>
          <w:color w:val="auto"/>
        </w:rPr>
      </w:pPr>
      <w:r>
        <w:rPr>
          <w:rFonts w:ascii="Arial" w:cs="Arial" w:eastAsia="Arial" w:hAnsi="Arial"/>
          <w:sz w:val="20"/>
          <w:szCs w:val="20"/>
          <w:color w:val="auto"/>
        </w:rPr>
        <w:t>EGRRCPA, the Tailoring Rules and other recent rulemaking have in some cases reduced the capital or liquidity requirements applicable to M&amp;T (e.g., the Company is no longer subject to any LCR requirement, and the same is expected to be true for any finalized NSFR). However, Basel IV significantly revises the Basel capital framework, and the impact on the Company will depend on the manner in which the revisions are implemented in the U.S. with respect to firms such as M&amp;T.</w:t>
      </w:r>
    </w:p>
    <w:p>
      <w:pPr>
        <w:spacing w:after="0" w:line="285" w:lineRule="exact"/>
        <w:rPr>
          <w:sz w:val="20"/>
          <w:szCs w:val="20"/>
          <w:color w:val="auto"/>
        </w:rPr>
      </w:pPr>
    </w:p>
    <w:p>
      <w:pPr>
        <w:ind w:right="20"/>
        <w:spacing w:after="0" w:line="275" w:lineRule="auto"/>
        <w:rPr>
          <w:sz w:val="20"/>
          <w:szCs w:val="20"/>
          <w:color w:val="auto"/>
        </w:rPr>
      </w:pPr>
      <w:r>
        <w:rPr>
          <w:rFonts w:ascii="Arial" w:cs="Arial" w:eastAsia="Arial" w:hAnsi="Arial"/>
          <w:sz w:val="20"/>
          <w:szCs w:val="20"/>
          <w:i w:val="1"/>
          <w:iCs w:val="1"/>
          <w:color w:val="auto"/>
        </w:rPr>
        <w:t>M&amp;T’s ability to return capital to shareholders and to pay dividends on common stock may be adversely affected by market and other factors outside of its control and will depend, in part, on a review of its capital plan by the Federal Reserve.</w:t>
      </w:r>
    </w:p>
    <w:p>
      <w:pPr>
        <w:spacing w:after="0" w:line="51"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Any decision by M&amp;T to return capital to shareholders, whether through a common stock dividend or through a common stock share repurchase program, requires the approval of M&amp;T’s Board of Directors and depends in large part on receiving regulatory approval, including through the Federal Reserve’s CCAR process and the supervisory stress tests required under the Dodd-Frank Act whereby M&amp;T’s financial position is tested under assumed severely adverse economic conditions. Prior to the public disclosure of a BHC’s CCAR results, the Federal Reserve will provide the BHC with the results of its supervisory stress test and will offer a one-time opportunity for the BHC to reduce planned capital distributions through the submission of a revised capital plan. The Federal Reserve may object to any capital plan in which a BHC’s regulatory capital ratios inclusive of adjustments to planned capital distributions, if any, would not meet the minimum requirements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30" w:name="page31"/>
    <w:bookmarkEnd w:id="30"/>
    <w:p>
      <w:pPr>
        <w:ind w:right="60"/>
        <w:spacing w:after="0" w:line="251" w:lineRule="auto"/>
        <w:rPr>
          <w:sz w:val="20"/>
          <w:szCs w:val="20"/>
          <w:color w:val="auto"/>
        </w:rPr>
      </w:pPr>
      <w:r>
        <w:rPr>
          <w:rFonts w:ascii="Arial" w:cs="Arial" w:eastAsia="Arial" w:hAnsi="Arial"/>
          <w:sz w:val="20"/>
          <w:szCs w:val="20"/>
          <w:color w:val="auto"/>
        </w:rPr>
        <w:t>throughout a nine-quarter period under severely adverse stress conditions. If the Federal Reserve objects to M&amp;T’s capital plan, it could impose restrictions on M&amp;T’s ability to return capital to shareholders, including through paying dividends, entering into acquisitions or repurchasing its common stock, which in turn could negatively impact market and investor perceptions of M&amp;T. M&amp;T cannot be certain that the Federal Reserve will not object to future capital plans.</w:t>
      </w:r>
    </w:p>
    <w:p>
      <w:pPr>
        <w:spacing w:after="0" w:line="2" w:lineRule="exact"/>
        <w:rPr>
          <w:sz w:val="20"/>
          <w:szCs w:val="20"/>
          <w:color w:val="auto"/>
        </w:rPr>
      </w:pPr>
    </w:p>
    <w:p>
      <w:pPr>
        <w:ind w:right="20" w:firstLine="598"/>
        <w:spacing w:after="0" w:line="264" w:lineRule="auto"/>
        <w:rPr>
          <w:sz w:val="20"/>
          <w:szCs w:val="20"/>
          <w:color w:val="auto"/>
        </w:rPr>
      </w:pPr>
      <w:r>
        <w:rPr>
          <w:rFonts w:ascii="Arial" w:cs="Arial" w:eastAsia="Arial" w:hAnsi="Arial"/>
          <w:sz w:val="19"/>
          <w:szCs w:val="19"/>
          <w:color w:val="auto"/>
        </w:rPr>
        <w:t>In addition, Federal Reserve capital planning and stress testing rules generally limit a BHC’s ability to make quarterly capital distributions – dividends and common stock share repurchases – if the amount of actual cumulative quarterly capital issuances of instruments that qualify as regulatory capital are less than the BHC had indicated in its submitted capital plan as to which it received a non-objection from the Federal Reserve. As such, M&amp;T’s ability to declare and pay dividends on its common stock, as well as the amount of such dividends, will depend, in part, on its ability to issue stock in accordance with its capital plan or to otherwise remain in compliance with its capital plan, which may be adversely affected by market and other factors outside of M&amp;T’s control.</w:t>
      </w:r>
    </w:p>
    <w:p>
      <w:pPr>
        <w:spacing w:after="0" w:line="274" w:lineRule="exact"/>
        <w:rPr>
          <w:sz w:val="20"/>
          <w:szCs w:val="20"/>
          <w:color w:val="auto"/>
        </w:rPr>
      </w:pPr>
    </w:p>
    <w:p>
      <w:pPr>
        <w:ind w:right="240"/>
        <w:spacing w:after="0" w:line="275" w:lineRule="auto"/>
        <w:rPr>
          <w:sz w:val="20"/>
          <w:szCs w:val="20"/>
          <w:color w:val="auto"/>
        </w:rPr>
      </w:pPr>
      <w:r>
        <w:rPr>
          <w:rFonts w:ascii="Arial" w:cs="Arial" w:eastAsia="Arial" w:hAnsi="Arial"/>
          <w:sz w:val="20"/>
          <w:szCs w:val="20"/>
          <w:i w:val="1"/>
          <w:iCs w:val="1"/>
          <w:color w:val="auto"/>
        </w:rPr>
        <w:t>If an orderly liquidation of a systemically important BHC or non-bank financial company were triggered, M&amp;T could face assessments for the Orderly Liquidation Fund (“OLF”).</w:t>
      </w:r>
    </w:p>
    <w:p>
      <w:pPr>
        <w:spacing w:after="0" w:line="5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The Dodd-Frank Act created a mechanism, the OLF, for liquidation of systemically important bank holding companies and non-bank financial companies. The OLF is administered by the FDIC and is based on the FDIC’s bank resolution model. The Secretary of the U.S. Treasury may trigger a liquidation under this authority after consultation with the President of the U.S. and after receiving a recommendation from the boards of the FDIC and the Federal Reserve upon a two-thirds vote. Liquidation proceedings will be funded by the OLF, which will borrow from the U.S. Treasury and impose risk-based assessments on covered financial companies. Risk-based assessments would be first made on entities that received more in the resolution than they would have received in the liquidation to the extent of such excess, and second, if necessary, on, among others, bank holding companies with total consolidated assets of $50 billion or more, such as M&amp;T. Any such assessments may adversely affect the Company’s business, financial condition or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Risk</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Deteriorating credit quality could adversely impact the Company.</w:t>
      </w:r>
    </w:p>
    <w:p>
      <w:pPr>
        <w:spacing w:after="0" w:line="112"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color w:val="auto"/>
        </w:rPr>
        <w:t>As a lender, the Company is exposed to the risk that customers will be unable to repay their loans in accordance with the terms of the agreements, and that any collateral securing the loans may be insufficient to assure full repayment. Credit losses are inherent in the business of making loans.</w:t>
      </w:r>
    </w:p>
    <w:p>
      <w:pPr>
        <w:ind w:firstLine="598"/>
        <w:spacing w:after="0" w:line="262" w:lineRule="auto"/>
        <w:rPr>
          <w:sz w:val="20"/>
          <w:szCs w:val="20"/>
          <w:color w:val="auto"/>
        </w:rPr>
      </w:pPr>
      <w:r>
        <w:rPr>
          <w:rFonts w:ascii="Arial" w:cs="Arial" w:eastAsia="Arial" w:hAnsi="Arial"/>
          <w:sz w:val="19"/>
          <w:szCs w:val="19"/>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Factors that can influence the Company’s credit loss experience include: (i) the impact of residential real estate values on loans to residential real estate builders and developers and other loans secured by residential real estate; (ii) the concentrations of commercial real estate loans in the Company’s loan portfolio; (iii) the amount of commercial and industrial loans to businesses in areas of New York State outside of the New York City area and in central Pennsylvania that have historically experienced less economic growth and vitality than many other regions of the country; (iv) the repayment performance associated with first and second lien loans secured by residential real estate; and (v) the size of the Company’s portfolio of loans to individual consumers, which historically have experienced higher net charge-offs as a percentage of loans outstanding than loans to other types of borrowers.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31" w:name="page32"/>
    <w:bookmarkEnd w:id="31"/>
    <w:p>
      <w:pPr>
        <w:ind w:right="220" w:firstLine="598"/>
        <w:spacing w:after="0" w:line="263" w:lineRule="auto"/>
        <w:rPr>
          <w:sz w:val="20"/>
          <w:szCs w:val="20"/>
          <w:color w:val="auto"/>
        </w:rPr>
      </w:pPr>
      <w:r>
        <w:rPr>
          <w:rFonts w:ascii="Arial" w:cs="Arial" w:eastAsia="Arial" w:hAnsi="Arial"/>
          <w:sz w:val="19"/>
          <w:szCs w:val="19"/>
          <w:color w:val="auto"/>
        </w:rPr>
        <w:t>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governmental policy regarding housing and housing finance, and general economic conditions affecting consumers.</w:t>
      </w:r>
    </w:p>
    <w:p>
      <w:pPr>
        <w:spacing w:after="0" w:line="3" w:lineRule="exact"/>
        <w:rPr>
          <w:sz w:val="20"/>
          <w:szCs w:val="20"/>
          <w:color w:val="auto"/>
        </w:rPr>
      </w:pPr>
    </w:p>
    <w:p>
      <w:pPr>
        <w:ind w:right="20" w:firstLine="598"/>
        <w:spacing w:after="0" w:line="248" w:lineRule="auto"/>
        <w:rPr>
          <w:sz w:val="20"/>
          <w:szCs w:val="20"/>
          <w:color w:val="auto"/>
        </w:rPr>
      </w:pPr>
      <w:r>
        <w:rPr>
          <w:rFonts w:ascii="Arial" w:cs="Arial" w:eastAsia="Arial" w:hAnsi="Arial"/>
          <w:sz w:val="20"/>
          <w:szCs w:val="20"/>
          <w:color w:val="auto"/>
        </w:rPr>
        <w:t>The Company maintains an allowance for credit losses which represents, in management’s judgment, the amount of losses inherent in the loan and lease portfolio. The allowance is determined by management’s evaluation of the loan and lease portfolio based on such factors as the differing economic risks associated with each loan category, the current financial condition of specific borrowers, the economic environment in which borrowers operate, the level of delinquent loans, the value of any collateral and, where applicable, the existence of any guarantees or indemnifications. Management believes that the allowance for credit losses as of December 31, 2019 appropriately reflects incurred credit losses inherent in the loan and lease portfolio. However, there is no assurance that the allowance is sufficient to cover such credit losses.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Company may be adversely affected by the soundness of other financial institutions.</w:t>
      </w:r>
    </w:p>
    <w:p>
      <w:pPr>
        <w:spacing w:after="0" w:line="112"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color w:val="auto"/>
        </w:rPr>
        <w:t>Financial services institutions are interrelated as a result of trading, clearing, counterparty, or other relationships. The Company has exposure to many different industries and counterparties, and routinely executes transactions with counterparties in the financial services industry, including commercial banks, brokers and dealers, investment banks, and other institutional clients. Many of these transactions expose the Company to credit risk in the event of a default by a counterparty or client. In addition, the Company’s credit risk may be exacerbated when the collateral held by the Company cannot be realized or is liquidated at prices not sufficient to recover the full amount of the credit or derivative exposure due to the Company. Any resulting losses could have a material adverse effect on the Company’s financial condition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Liquidity Risk</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Company must maintain adequate sources of funding and liquidity.</w:t>
      </w:r>
    </w:p>
    <w:p>
      <w:pPr>
        <w:spacing w:after="0" w:line="112"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The Company must maintain adequate funding sources in the normal course of business to support its operations and fund outstanding liabilities, as well as meet regulatory expectations. The Company primarily relies on deposits to be a low cost and stable source of funding for the loans it makes and the operations of its business. Core customer deposits, which include noninterest-bearing deposits, interest-bearing transaction accounts, savings deposits and time deposits of $250,000 or less, have historically provided the Company with a sizeable source of relatively stable and low-cost funds. In addition to customer deposits, sources of liquidity include borrowings from third party banks, securities dealers, various Federal Home Loan Banks and the Federal Reserve Bank of New York.</w:t>
      </w:r>
    </w:p>
    <w:p>
      <w:pPr>
        <w:ind w:firstLine="598"/>
        <w:spacing w:after="0" w:line="248" w:lineRule="auto"/>
        <w:rPr>
          <w:sz w:val="20"/>
          <w:szCs w:val="20"/>
          <w:color w:val="auto"/>
        </w:rPr>
      </w:pPr>
      <w:r>
        <w:rPr>
          <w:rFonts w:ascii="Arial" w:cs="Arial" w:eastAsia="Arial" w:hAnsi="Arial"/>
          <w:sz w:val="20"/>
          <w:szCs w:val="20"/>
          <w:color w:val="auto"/>
        </w:rPr>
        <w:t>The Company’s liquidity and ability to fund and operate the business could be materially adversely affected by a variety of conditions and factors, including financial and credit market disruptions and volatility or a lack of market or customer confidence in financial markets in general, which may result in a loss of customer deposits or outflows of cash or collateral and/or ability to access capital markets on favorable terms. Negative news about the Company or the financial services industry generally may reduce market or customer confidence in the Company, which could in turn materially adversely affect the Company’s liquidity and funding. Such reputational damage may result in the loss of customer deposits, the inability to sell or securitize loans or other assets, and downgrades in one or more of the Company’s credit ratings, and may also negatively affect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32" w:name="page33"/>
    <w:bookmarkEnd w:id="32"/>
    <w:p>
      <w:pPr>
        <w:ind w:right="100"/>
        <w:spacing w:after="0" w:line="249" w:lineRule="auto"/>
        <w:rPr>
          <w:sz w:val="20"/>
          <w:szCs w:val="20"/>
          <w:color w:val="auto"/>
        </w:rPr>
      </w:pPr>
      <w:r>
        <w:rPr>
          <w:rFonts w:ascii="Arial" w:cs="Arial" w:eastAsia="Arial" w:hAnsi="Arial"/>
          <w:sz w:val="20"/>
          <w:szCs w:val="20"/>
          <w:color w:val="auto"/>
        </w:rPr>
        <w:t>Company’s ability to access the capital markets. A downgrade in the Company’s credit ratings, which could result from general industry-wide or regulatory factors not solely related to the Company, could adversely affect the Company’s ability to borrow funds, including by raising the cost of borrowings substantially, and could cause creditors and business counterparties to raise collateral requirements or take other actions that could adversely affect M&amp;T’s ability to raise capital. Many of the above conditions and factors may be caused by events over which M&amp;T has little or no control. There can be no assurance that significant disruption and volatility in the financial markets will not occur in the future.</w:t>
      </w:r>
    </w:p>
    <w:p>
      <w:pPr>
        <w:spacing w:after="0" w:line="5" w:lineRule="exact"/>
        <w:rPr>
          <w:sz w:val="20"/>
          <w:szCs w:val="20"/>
          <w:color w:val="auto"/>
        </w:rPr>
      </w:pPr>
    </w:p>
    <w:p>
      <w:pPr>
        <w:ind w:firstLine="598"/>
        <w:spacing w:after="0" w:line="251" w:lineRule="auto"/>
        <w:rPr>
          <w:sz w:val="20"/>
          <w:szCs w:val="20"/>
          <w:color w:val="auto"/>
        </w:rPr>
      </w:pPr>
      <w:r>
        <w:rPr>
          <w:rFonts w:ascii="Arial" w:cs="Arial" w:eastAsia="Arial" w:hAnsi="Arial"/>
          <w:sz w:val="20"/>
          <w:szCs w:val="20"/>
          <w:color w:val="auto"/>
        </w:rPr>
        <w:t>If the Company is unable to continue to fund assets through customer bank deposits or access funding sources on favorable terms or if the Company suffers an increase in borrowing costs or otherwise fails to manage liquidity effectively, the Company’s liquidity, operating margins, financial condition and results of operations may be materially adversely affected.</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M&amp;T relies on dividends from its subsidiaries for its liquidity.</w:t>
      </w:r>
    </w:p>
    <w:p>
      <w:pPr>
        <w:spacing w:after="0" w:line="112"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color w:val="auto"/>
        </w:rPr>
        <w:t>M&amp;T is a separate and distinct legal entity from its subsidiaries. M&amp;T typically receives substantially all of its revenue from subsidiary dividends. These dividends are M&amp;T’s principal source of funds to pay dividends on common and preferred stock, pay interest and principal on its debt, and fund purchases of its common stock. Various federal and/or state laws and regulations, as well as regulatory expectations, limit the amount of dividends that M&amp;T’s banking subsidiaries and certain non-bank subsidiaries may pay. Regulatory scrutiny of capital levels at bank holding companies and insured depository institution subsidiaries has increased in recent years and has resulted in increased regulatory focus on all aspects of capital planning, including dividends and other distributions to shareholders of banks, such as parent bank holding companies. See Item 1 — Business, Distributions” for a discussion of regulatory and other restrictions on dividend declarations. Also, M&amp;T’s right to participate in a distribution of assets upon a subsidiary’s liquidation or reorganization is subject to the prior claims of that subsidiary’s creditors. Limitations on M&amp;T’s ability to receive dividends from its subsidiaries could have a material adverse effect on its liquidity and ability to pay dividends on its stock or interest and principal on its debt, and ability to fund purchases of its common stock.</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Strategic Risk</w:t>
      </w:r>
    </w:p>
    <w:p>
      <w:pPr>
        <w:spacing w:after="0" w:line="125" w:lineRule="exact"/>
        <w:rPr>
          <w:sz w:val="20"/>
          <w:szCs w:val="20"/>
          <w:color w:val="auto"/>
        </w:rPr>
      </w:pPr>
    </w:p>
    <w:p>
      <w:pPr>
        <w:spacing w:after="0" w:line="275" w:lineRule="auto"/>
        <w:rPr>
          <w:sz w:val="20"/>
          <w:szCs w:val="20"/>
          <w:color w:val="auto"/>
        </w:rPr>
      </w:pPr>
      <w:r>
        <w:rPr>
          <w:rFonts w:ascii="Arial" w:cs="Arial" w:eastAsia="Arial" w:hAnsi="Arial"/>
          <w:sz w:val="20"/>
          <w:szCs w:val="20"/>
          <w:i w:val="1"/>
          <w:iCs w:val="1"/>
          <w:color w:val="auto"/>
        </w:rPr>
        <w:t>The financial services industry is highly competitive and creates competitive pressures that could adversely affect the Company’s revenue and profitability.</w:t>
      </w:r>
    </w:p>
    <w:p>
      <w:pPr>
        <w:spacing w:after="0" w:line="51"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The financial services industry in which the Company operates is highly competitive. The Company competes not only with commercial and other banks and thrifts, but also with insurance companies, mutual funds, hedge funds, securities brokerage firms and other companies offering financial services in the U.S., globally and over the Internet. Some of the Company’s non-bank competitors are not subject to the same extensive regulations the Company is, and may have greater flexibility in competing for business. In particular, the activity and prominence of so-called marketplace lenders and other technological financial services companies has grown significantly in recent years and is expected to continue growing. The Company competes on the basis of several factors, including capital, access to capital, revenue generation, products, services, transaction execution, innovation, reputation and price. Over time, certain sectors of the financial services industry have become more concentrated, as institutions involved in a broad range of financial services have been acquired by or merged into other firms. These developments could result in the Company’s competitors gaining greater capital and other resources, such as a broader range of products and services and geographic</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3" w:name="page34"/>
    <w:bookmarkEnd w:id="33"/>
    <w:p>
      <w:pPr>
        <w:ind w:right="180"/>
        <w:spacing w:after="0" w:line="256" w:lineRule="auto"/>
        <w:rPr>
          <w:sz w:val="20"/>
          <w:szCs w:val="20"/>
          <w:color w:val="auto"/>
        </w:rPr>
      </w:pPr>
      <w:r>
        <w:rPr>
          <w:rFonts w:ascii="Arial" w:cs="Arial" w:eastAsia="Arial" w:hAnsi="Arial"/>
          <w:sz w:val="20"/>
          <w:szCs w:val="20"/>
          <w:color w:val="auto"/>
        </w:rPr>
        <w:t>diversity. The Company may experience pricing pressures as a result of these factors and as some of its competitors seek to increase market share by reducing prices or paying higher rates of interest on deposits.</w:t>
      </w:r>
    </w:p>
    <w:p>
      <w:pPr>
        <w:ind w:firstLine="598"/>
        <w:spacing w:after="0" w:line="262" w:lineRule="auto"/>
        <w:rPr>
          <w:sz w:val="20"/>
          <w:szCs w:val="20"/>
          <w:color w:val="auto"/>
        </w:rPr>
      </w:pPr>
      <w:r>
        <w:rPr>
          <w:rFonts w:ascii="Arial" w:cs="Arial" w:eastAsia="Arial" w:hAnsi="Arial"/>
          <w:sz w:val="19"/>
          <w:szCs w:val="19"/>
          <w:color w:val="auto"/>
        </w:rPr>
        <w:t>Finally, technological change is influencing how individuals and firms conduct their financial affairs and is changing the delivery channels for financial services. Financial technology providers, who invest substantial resources in developing and designing new technology (in particular digital and mobile technology), are beginning to offer more traditional banking products (either directly or through bank partnerships) and may in the future be able to provide additional services by obtaining a bank-like charter, such as the OCC’s fintech charter. As a result, the Company may have to contend with a broader range of competitors including many that are not located within the geographic footprint of its banking office network. Further, along with other participants in the financial services industry, the Company frequently attempts to introduce new technology-driven products and services that are aimed at allowing the Company to better serve customers and to reduce costs. The Company may not be able to effectively implement new technology-driven products and services that allow it to remain competitive or be successful in marketing these products and services to its customers.</w:t>
      </w:r>
    </w:p>
    <w:p>
      <w:pPr>
        <w:spacing w:after="0" w:line="279" w:lineRule="exact"/>
        <w:rPr>
          <w:sz w:val="20"/>
          <w:szCs w:val="20"/>
          <w:color w:val="auto"/>
        </w:rPr>
      </w:pPr>
    </w:p>
    <w:p>
      <w:pPr>
        <w:ind w:right="600"/>
        <w:spacing w:after="0" w:line="275" w:lineRule="auto"/>
        <w:rPr>
          <w:sz w:val="20"/>
          <w:szCs w:val="20"/>
          <w:color w:val="auto"/>
        </w:rPr>
      </w:pPr>
      <w:r>
        <w:rPr>
          <w:rFonts w:ascii="Arial" w:cs="Arial" w:eastAsia="Arial" w:hAnsi="Arial"/>
          <w:sz w:val="20"/>
          <w:szCs w:val="20"/>
          <w:i w:val="1"/>
          <w:iCs w:val="1"/>
          <w:color w:val="auto"/>
        </w:rPr>
        <w:t>Difficulties in combining the operations of acquired entities with the Company’s own operations may prevent M&amp;T from achieving the expected benefits from its acquisitions.</w:t>
      </w:r>
    </w:p>
    <w:p>
      <w:pPr>
        <w:spacing w:after="0" w:line="51"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M&amp;T has expanded its business through past acquisitions and may do so in the future. Inherent uncertainties exist when integrating the operations of an acquired entity. Acquiring other entities involves potential risks that could have a material adverse impact on the Company’s business, financial condition and results of operations, including:</w:t>
      </w:r>
    </w:p>
    <w:p>
      <w:pPr>
        <w:ind w:left="1180" w:hanging="584"/>
        <w:spacing w:after="0"/>
        <w:tabs>
          <w:tab w:leader="none" w:pos="11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Inability to fully achieve the Company’s strategic objectives and planned operating efficiencies in an acquisition.</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Issues arising during transition and integration.</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Disruption of the Company’s business and diversion of management’s time and attention.</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Exposure to unknown or contingent liabilities of acquired institutions.</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Loss of key employees and customers of acquired institutions.</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Dilution in the ownership percentage of holders of M&amp;T common stock.</w:t>
      </w:r>
    </w:p>
    <w:p>
      <w:pPr>
        <w:spacing w:after="0" w:line="6" w:lineRule="exact"/>
        <w:rPr>
          <w:rFonts w:ascii="Arial" w:cs="Arial" w:eastAsia="Arial" w:hAnsi="Arial"/>
          <w:sz w:val="20"/>
          <w:szCs w:val="20"/>
          <w:color w:val="auto"/>
        </w:rPr>
      </w:pPr>
    </w:p>
    <w:p>
      <w:pPr>
        <w:ind w:left="1180" w:right="480" w:hanging="584"/>
        <w:spacing w:after="0" w:line="246" w:lineRule="auto"/>
        <w:tabs>
          <w:tab w:leader="none" w:pos="11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Payment of a premium over book and market values that may dilute the Company’s tangible book value and earnings per common share in the short and long-term.</w:t>
      </w:r>
    </w:p>
    <w:p>
      <w:pPr>
        <w:spacing w:after="0" w:line="1" w:lineRule="exact"/>
        <w:rPr>
          <w:rFonts w:ascii="Arial" w:cs="Arial" w:eastAsia="Arial" w:hAnsi="Arial"/>
          <w:sz w:val="20"/>
          <w:szCs w:val="20"/>
          <w:color w:val="auto"/>
        </w:rPr>
      </w:pPr>
    </w:p>
    <w:p>
      <w:pPr>
        <w:ind w:left="1180" w:right="200" w:hanging="584"/>
        <w:spacing w:after="0" w:line="246" w:lineRule="auto"/>
        <w:tabs>
          <w:tab w:leader="none" w:pos="11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Inability to realize the expected benefits of the acquisition due to lower financial results pertaining to the acquired entity (for example, the Company could experience higher credit losses, incur higher operating expenses or realize less revenue than originally anticipated related to an acquired entity).</w:t>
      </w:r>
    </w:p>
    <w:p>
      <w:pPr>
        <w:spacing w:after="0" w:line="2" w:lineRule="exact"/>
        <w:rPr>
          <w:rFonts w:ascii="Arial" w:cs="Arial" w:eastAsia="Arial" w:hAnsi="Arial"/>
          <w:sz w:val="20"/>
          <w:szCs w:val="20"/>
          <w:color w:val="auto"/>
        </w:rPr>
      </w:pPr>
    </w:p>
    <w:p>
      <w:pPr>
        <w:ind w:left="1180" w:right="240" w:hanging="584"/>
        <w:spacing w:after="0" w:line="256" w:lineRule="auto"/>
        <w:tabs>
          <w:tab w:leader="none" w:pos="11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Changes in banking or tax laws or regulations that could impair or eliminate the expected benefits of merger and acquisition activities.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i w:val="1"/>
          <w:iCs w:val="1"/>
          <w:color w:val="auto"/>
        </w:rPr>
        <w:t>Operational Risk</w:t>
      </w:r>
    </w:p>
    <w:p>
      <w:pPr>
        <w:spacing w:after="0" w:line="125" w:lineRule="exact"/>
        <w:rPr>
          <w:sz w:val="20"/>
          <w:szCs w:val="20"/>
          <w:color w:val="auto"/>
        </w:rPr>
      </w:pPr>
    </w:p>
    <w:p>
      <w:pPr>
        <w:ind w:right="300"/>
        <w:spacing w:after="0" w:line="275" w:lineRule="auto"/>
        <w:rPr>
          <w:sz w:val="20"/>
          <w:szCs w:val="20"/>
          <w:color w:val="auto"/>
        </w:rPr>
      </w:pPr>
      <w:r>
        <w:rPr>
          <w:rFonts w:ascii="Arial" w:cs="Arial" w:eastAsia="Arial" w:hAnsi="Arial"/>
          <w:sz w:val="20"/>
          <w:szCs w:val="20"/>
          <w:i w:val="1"/>
          <w:iCs w:val="1"/>
          <w:color w:val="auto"/>
        </w:rPr>
        <w:t>The Company is subject to operational risk which could adversely affect the Company’s business and reputation and create material legal and financial exposure.</w:t>
      </w:r>
    </w:p>
    <w:p>
      <w:pPr>
        <w:spacing w:after="0" w:line="51"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Like all businesses, the Company is subject to operational risk, which represents the risk of loss resulting from human error, inadequate or failed internal processes and systems, and external events. Operational risk also encompasses reputational risk and compliance and legal risk, which is the risk of loss from violations of, or noncompliance with, laws, rules, regulations, prescribed practices or ethical standards, as well as the risk of noncompliance with contractual and other obligations. The Company is also exposed to operational risk through outsourcing arrangements, and the effect that changes in circumstances or capabilities of its outsourcing vendors can have on the Company’s ability to continue to perform operational functions necessary to its business. Although the Company seeks to mitigate operational risk through a system of internal controls that are reviewed and updated, no system of controls, however well designed and maintained, is infallible. Control weaknesses or failures or other operational risks could result in charges, increased operational costs, harm to the Company’s reputation or foregone business opportunities.</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M&amp;T could suffer if it fails to attract and retain skilled personnel.</w:t>
      </w:r>
    </w:p>
    <w:p>
      <w:pPr>
        <w:spacing w:after="0" w:line="112" w:lineRule="exact"/>
        <w:rPr>
          <w:sz w:val="20"/>
          <w:szCs w:val="20"/>
          <w:color w:val="auto"/>
        </w:rPr>
      </w:pPr>
    </w:p>
    <w:p>
      <w:pPr>
        <w:ind w:right="120"/>
        <w:spacing w:after="0" w:line="262" w:lineRule="auto"/>
        <w:rPr>
          <w:sz w:val="20"/>
          <w:szCs w:val="20"/>
          <w:color w:val="auto"/>
        </w:rPr>
      </w:pPr>
      <w:r>
        <w:rPr>
          <w:rFonts w:ascii="Arial" w:cs="Arial" w:eastAsia="Arial" w:hAnsi="Arial"/>
          <w:sz w:val="19"/>
          <w:szCs w:val="19"/>
          <w:color w:val="auto"/>
        </w:rPr>
        <w:t>M&amp;T’s success depends, in large part, on its ability to attract and retain key individuals and to have a diverse workforce. Competition for qualified and diverse candidates in the activities in which the Company engages and markets that the Company serves is significant, and the Company may not be able to hire candidates and retain them. Growth in the Company’s business, including through acquisitions, may increase its need for additional qualified personnel. The Company is increasingly competing for personnel with financial technology providers and other less regulated entities who may not have the same limitations on compensation as the Company does. If the Company is not able to hire or retain highly skilled and qualified individuals, it may be unable to execute its business strategies and may suffer adverse consequences to its business, financial condition and results of operations.</w:t>
      </w:r>
    </w:p>
    <w:p>
      <w:pPr>
        <w:spacing w:after="0" w:line="4" w:lineRule="exact"/>
        <w:rPr>
          <w:sz w:val="20"/>
          <w:szCs w:val="20"/>
          <w:color w:val="auto"/>
        </w:rPr>
      </w:pPr>
    </w:p>
    <w:p>
      <w:pPr>
        <w:ind w:right="120" w:firstLine="598"/>
        <w:spacing w:after="0" w:line="248" w:lineRule="auto"/>
        <w:rPr>
          <w:sz w:val="20"/>
          <w:szCs w:val="20"/>
          <w:color w:val="auto"/>
        </w:rPr>
      </w:pPr>
      <w:r>
        <w:rPr>
          <w:rFonts w:ascii="Arial" w:cs="Arial" w:eastAsia="Arial" w:hAnsi="Arial"/>
          <w:sz w:val="20"/>
          <w:szCs w:val="20"/>
          <w:color w:val="auto"/>
        </w:rPr>
        <w:t>The Company’s compensation practices are subject to review and oversight by the Federal Reserve, the OCC, the FDIC and other regulators. The federal banking agencies have issued joint guidance on executive compensation designed to help ensure that a banking organization’s incentive compensation policies do not encourage imprudent risk taking and are consistent with the safety and soundness of the organization. In addition, the Dodd-Frank Act required those agencies, along with the SEC, to adopt rules to require reporting of incentive compensation and to prohibit certain compensation arrangements. If as a result of complying with such rules the Company is unable to attract and retain qualified employees, or do so at rates necessary to maintain its competitive position, or if the compensation costs required to attract and retain employees become more significant, the Company’s performance, including its competitive position, could be materially adversely affected.</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Company’s information systems may experience interruptions or breaches in security.</w:t>
      </w:r>
    </w:p>
    <w:p>
      <w:pPr>
        <w:spacing w:after="0" w:line="112" w:lineRule="exact"/>
        <w:rPr>
          <w:sz w:val="20"/>
          <w:szCs w:val="20"/>
          <w:color w:val="auto"/>
        </w:rPr>
      </w:pPr>
    </w:p>
    <w:p>
      <w:pPr>
        <w:ind w:right="80"/>
        <w:spacing w:after="0" w:line="253" w:lineRule="auto"/>
        <w:rPr>
          <w:sz w:val="20"/>
          <w:szCs w:val="20"/>
          <w:color w:val="auto"/>
        </w:rPr>
      </w:pPr>
      <w:r>
        <w:rPr>
          <w:rFonts w:ascii="Arial" w:cs="Arial" w:eastAsia="Arial" w:hAnsi="Arial"/>
          <w:sz w:val="20"/>
          <w:szCs w:val="20"/>
          <w:color w:val="auto"/>
        </w:rPr>
        <w:t>The Company relies heavily on communications and information systems, including those of third-party service providers, to conduct its business. Any failure, interruption or breach in security of these systems could result in disruptions to its accounting, deposit, loan and other systems, and adversely affect the Company’s customer relationships. While the Company has policies and procedures designed to prevent or limit the effect of these possible events, there can be no assurance that any such failure, interruption or security breach will not occur or, if any does occur, that it can be sufficiently or timely remediated.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35" w:name="page36"/>
    <w:bookmarkEnd w:id="35"/>
    <w:p>
      <w:pPr>
        <w:ind w:right="60" w:firstLine="598"/>
        <w:spacing w:after="0" w:line="249" w:lineRule="auto"/>
        <w:rPr>
          <w:sz w:val="20"/>
          <w:szCs w:val="20"/>
          <w:color w:val="auto"/>
        </w:rPr>
      </w:pPr>
      <w:r>
        <w:rPr>
          <w:rFonts w:ascii="Arial" w:cs="Arial" w:eastAsia="Arial" w:hAnsi="Arial"/>
          <w:sz w:val="20"/>
          <w:szCs w:val="20"/>
          <w:color w:val="auto"/>
        </w:rPr>
        <w:t>Information security risks for large financial institutions such as M&amp;T have increased significantly in recent years in part because of the proliferation of new technologies, such as Internet and mobile banking to conduct financial transactions, and the increased sophistication and activities of organized crime, hackers, terrorists, nation-states, activists and other external parties. There have been increasing efforts on the part of third parties, including through cyber attacks, to breach data security at financial institutions or with respect to financial transactions. There have been several instances involving financial services and consumer-based companies reporting unauthorized access to and disclosure of client or customer information or the destruction or theft of corporate data, including by executive impersonation and third party vendors. There have also been several highly publicized cases where hackers have requested “ransom” payments in exchange for not disclosing customer information.</w:t>
      </w:r>
    </w:p>
    <w:p>
      <w:pPr>
        <w:spacing w:after="0" w:line="1" w:lineRule="exact"/>
        <w:rPr>
          <w:sz w:val="20"/>
          <w:szCs w:val="20"/>
          <w:color w:val="auto"/>
        </w:rPr>
      </w:pPr>
    </w:p>
    <w:p>
      <w:pPr>
        <w:ind w:right="20" w:firstLine="598"/>
        <w:spacing w:after="0" w:line="246" w:lineRule="auto"/>
        <w:rPr>
          <w:sz w:val="20"/>
          <w:szCs w:val="20"/>
          <w:color w:val="auto"/>
        </w:rPr>
      </w:pPr>
      <w:r>
        <w:rPr>
          <w:rFonts w:ascii="Arial" w:cs="Arial" w:eastAsia="Arial" w:hAnsi="Arial"/>
          <w:sz w:val="20"/>
          <w:szCs w:val="20"/>
          <w:color w:val="auto"/>
        </w:rPr>
        <w:t>As cyber threats continue to evolve, the Company may be required to expend significant additional resources to continue to modify or enhance its layers of defense or to investigate and remediate any information security vulnerabilities. The techniques used by cyber criminals change frequently, may not be recognized until launched and can be initiated by a variety of actors, including terrorist organizations and hostile foreign governments. These techniques may include attempts to fraudulently induce employees, customers or others to disclose sensitive information in order to gain access to data or systems. These risks may increase as the use of mobile payment and other Internet-based applications expands.</w:t>
      </w:r>
    </w:p>
    <w:p>
      <w:pPr>
        <w:spacing w:after="0" w:line="5"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Further, third parties with which the Company does business, as well as vendors and other third parties with which the Company’s customers do business, can also be sources of information security risk to the Company, particularly where activities of customers are beyond the Company’s security and control systems, such as through the use of the Internet, personal computers, tablets, smart phones and other mobile services. Security breaches affecting the Company’s customers, or systems breakdowns or failures, security breaches or employee misconduct affecting such other third parties, may require the Company to take steps to protect the integrity of its own systems or to safeguard confidential information of the Company or its customers, thereby increasing the Company’s operational costs and adversely affecting its business.</w:t>
      </w:r>
    </w:p>
    <w:p>
      <w:pPr>
        <w:spacing w:after="0" w:line="5" w:lineRule="exact"/>
        <w:rPr>
          <w:sz w:val="20"/>
          <w:szCs w:val="20"/>
          <w:color w:val="auto"/>
        </w:rPr>
      </w:pPr>
    </w:p>
    <w:p>
      <w:pPr>
        <w:ind w:right="20" w:firstLine="598"/>
        <w:spacing w:after="0" w:line="246" w:lineRule="auto"/>
        <w:rPr>
          <w:sz w:val="20"/>
          <w:szCs w:val="20"/>
          <w:color w:val="auto"/>
        </w:rPr>
      </w:pPr>
      <w:r>
        <w:rPr>
          <w:rFonts w:ascii="Arial" w:cs="Arial" w:eastAsia="Arial" w:hAnsi="Arial"/>
          <w:sz w:val="20"/>
          <w:szCs w:val="20"/>
          <w:color w:val="auto"/>
        </w:rPr>
        <w:t>The occurrence of any failure, interruption or security breach of the Company’s systems or those of third-party service providers (or, in turn, providers to such third-party providers), particularly if widespread or resulting in financial losses to customers, could damage the Company’s reputation, result in a loss of customer business, subject the Company to additional regulatory scrutiny and potential sanctions, or expose it to civil litigation and financial liability.</w:t>
      </w:r>
    </w:p>
    <w:p>
      <w:pPr>
        <w:spacing w:after="0" w:line="3" w:lineRule="exact"/>
        <w:rPr>
          <w:sz w:val="20"/>
          <w:szCs w:val="20"/>
          <w:color w:val="auto"/>
        </w:rPr>
      </w:pPr>
    </w:p>
    <w:p>
      <w:pPr>
        <w:ind w:right="80" w:firstLine="598"/>
        <w:spacing w:after="0" w:line="279" w:lineRule="auto"/>
        <w:rPr>
          <w:sz w:val="20"/>
          <w:szCs w:val="20"/>
          <w:color w:val="auto"/>
        </w:rPr>
      </w:pPr>
      <w:r>
        <w:rPr>
          <w:rFonts w:ascii="Arial" w:cs="Arial" w:eastAsia="Arial" w:hAnsi="Arial"/>
          <w:sz w:val="18"/>
          <w:szCs w:val="18"/>
          <w:color w:val="auto"/>
        </w:rPr>
        <w:t>The Company is also subject to laws and regulations relating to the privacy of the information of clients, employees or others, and any failure to comply with these laws and regulations could expose the Company to liability and/or reputational damage. As new privacy-related laws and regulations, such as the cybersecurity regulation of the NYSDFS, are implemented, the time and resources needed for the Company to comply with such laws and regulations, as well as its potential liability for non-compliance and reporting obligations in the case of data breaches, may significantly increase. In addition, the Company is increasingly subject to laws and regulations relating to privacy, surveillance, encryption and data use in the jurisdictions in which it operates. Compliance with these laws and regulations may require changes to policies, procedures and technology for information security and segregation of data, which could, among other things, make the Company more vulnerable to operational failures, and to monetary penalties for breach of such laws and regulations.</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M&amp;T relies on other companies to provide key components of the Company’s business infrastructure.</w:t>
      </w:r>
    </w:p>
    <w:p>
      <w:pPr>
        <w:spacing w:after="0" w:line="112" w:lineRule="exact"/>
        <w:rPr>
          <w:sz w:val="20"/>
          <w:szCs w:val="20"/>
          <w:color w:val="auto"/>
        </w:rPr>
      </w:pPr>
    </w:p>
    <w:p>
      <w:pPr>
        <w:ind w:right="60"/>
        <w:spacing w:after="0" w:line="261" w:lineRule="auto"/>
        <w:rPr>
          <w:sz w:val="20"/>
          <w:szCs w:val="20"/>
          <w:color w:val="auto"/>
        </w:rPr>
      </w:pPr>
      <w:r>
        <w:rPr>
          <w:rFonts w:ascii="Arial" w:cs="Arial" w:eastAsia="Arial" w:hAnsi="Arial"/>
          <w:sz w:val="20"/>
          <w:szCs w:val="20"/>
          <w:color w:val="auto"/>
        </w:rPr>
        <w:t>Third parties provide key components of the Company’s business infrastructure such as banking services, processing, and Internet connections and network access. Any disruption in such services provided by these third parties or any failure of these third parties to handle current or higher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6" w:name="page37"/>
    <w:bookmarkEnd w:id="36"/>
    <w:p>
      <w:pPr>
        <w:ind w:right="120"/>
        <w:spacing w:after="0" w:line="278" w:lineRule="auto"/>
        <w:rPr>
          <w:sz w:val="20"/>
          <w:szCs w:val="20"/>
          <w:color w:val="auto"/>
        </w:rPr>
      </w:pPr>
      <w:r>
        <w:rPr>
          <w:rFonts w:ascii="Arial" w:cs="Arial" w:eastAsia="Arial" w:hAnsi="Arial"/>
          <w:sz w:val="18"/>
          <w:szCs w:val="18"/>
          <w:color w:val="auto"/>
        </w:rPr>
        <w:t>volumes of use could adversely affect the Company’s ability to deliver products and services to clients and otherwise to conduct business. Technological or financial difficulties of a third party service provider could adversely affect the Company’s business to the extent those difficulties result in the interruption or discontinuation of services provided by that party. The Company may not be insured against all types of losses as a result of third party failures and insurance coverage may be inadequate to cover all losses resulting from system failures or other disruptions. Failures in the Company’s business infrastructure could interrupt the operations or increase the costs of doing business.</w:t>
      </w:r>
    </w:p>
    <w:p>
      <w:pPr>
        <w:spacing w:after="0" w:line="2" w:lineRule="exact"/>
        <w:rPr>
          <w:sz w:val="20"/>
          <w:szCs w:val="20"/>
          <w:color w:val="auto"/>
        </w:rPr>
      </w:pPr>
    </w:p>
    <w:p>
      <w:pPr>
        <w:jc w:val="both"/>
        <w:ind w:right="440" w:firstLine="549"/>
        <w:spacing w:after="0" w:line="293" w:lineRule="auto"/>
        <w:rPr>
          <w:sz w:val="20"/>
          <w:szCs w:val="20"/>
          <w:color w:val="auto"/>
        </w:rPr>
      </w:pPr>
      <w:r>
        <w:rPr>
          <w:rFonts w:ascii="Arial" w:cs="Arial" w:eastAsia="Arial" w:hAnsi="Arial"/>
          <w:sz w:val="18"/>
          <w:szCs w:val="18"/>
          <w:color w:val="auto"/>
        </w:rPr>
        <w:t>Additionally, the Company is exposed to the risk that a service disruption at a common service provider to our third-party service providers could impede their ability to provide services to the Company. Notwithstanding any attempts to diversify its reliance on third parties, the Company may not be able to effectively mitigate operational risks relating to its vendors’ use of common service providers.</w:t>
      </w:r>
    </w:p>
    <w:p>
      <w:pPr>
        <w:spacing w:after="0" w:line="249" w:lineRule="exact"/>
        <w:rPr>
          <w:sz w:val="20"/>
          <w:szCs w:val="20"/>
          <w:color w:val="auto"/>
        </w:rPr>
      </w:pPr>
    </w:p>
    <w:p>
      <w:pPr>
        <w:ind w:right="320"/>
        <w:spacing w:after="0" w:line="275" w:lineRule="auto"/>
        <w:rPr>
          <w:sz w:val="20"/>
          <w:szCs w:val="20"/>
          <w:color w:val="auto"/>
        </w:rPr>
      </w:pPr>
      <w:r>
        <w:rPr>
          <w:rFonts w:ascii="Arial" w:cs="Arial" w:eastAsia="Arial" w:hAnsi="Arial"/>
          <w:sz w:val="20"/>
          <w:szCs w:val="20"/>
          <w:i w:val="1"/>
          <w:iCs w:val="1"/>
          <w:color w:val="auto"/>
        </w:rPr>
        <w:t>The Company is or may become involved from time to time in suits, legal proceedings, information-gathering requests, investigations and proceedings by governmental and self-regulatory agencies that may lead to adverse consequences.</w:t>
      </w:r>
    </w:p>
    <w:p>
      <w:pPr>
        <w:spacing w:after="0" w:line="51"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Many aspects of the Company’s business and operations involve substantial risk of legal liability. M&amp;T and/or its subsidiaries have been named or threatened to be named as defendants in various lawsuits arising from its or its subsidiaries’ business activities (and in some cases from the activities of companies M&amp;T has acquired). In addition, from time to time, M&amp;T is, or may become, the subject of governmental and self-regulatory agency information-gathering requests, reviews, investigations and proceedings and other forms of regulatory inquiry, including by bank and other regulatory agencies, the SEC and law enforcement authorities. The SEC has announced a policy of seeking admissions of liability in certain settled cases, which could adversely impact the defense of private litigation. M&amp;T is also at risk when it has agreed to indemnify others for losses related to legal proceedings, including for litigation and governmental investigations and inquiries, such as in connection with the purchase or sale of a business or assets. The results of such proceedings could lead to significant civil or criminal penalties, including monetary penalties, damages, adverse judgments, settlements, fines, injunctions, restrictions on the way in which the Company conducts its business, or reputational harm.</w:t>
      </w:r>
    </w:p>
    <w:p>
      <w:pPr>
        <w:spacing w:after="0" w:line="7" w:lineRule="exact"/>
        <w:rPr>
          <w:sz w:val="20"/>
          <w:szCs w:val="20"/>
          <w:color w:val="auto"/>
        </w:rPr>
      </w:pPr>
    </w:p>
    <w:p>
      <w:pPr>
        <w:ind w:right="260" w:firstLine="549"/>
        <w:spacing w:after="0" w:line="281" w:lineRule="auto"/>
        <w:rPr>
          <w:sz w:val="20"/>
          <w:szCs w:val="20"/>
          <w:color w:val="auto"/>
        </w:rPr>
      </w:pPr>
      <w:r>
        <w:rPr>
          <w:rFonts w:ascii="Arial" w:cs="Arial" w:eastAsia="Arial" w:hAnsi="Arial"/>
          <w:sz w:val="18"/>
          <w:szCs w:val="18"/>
          <w:color w:val="auto"/>
        </w:rPr>
        <w:t>Although the Company establishes accruals for legal proceedings when information related to the loss contingencies represented by those matters indicates both that a loss is probable and that the amount of loss can be reasonably estimated, the Company does not have accruals for all legal proceedings where it faces a risk of loss. In addition, due to the inherent subjectivity of the assessments and unpredictability of the outcome of legal proceedings, amounts accrued may not represent the ultimate loss to the Company from the legal proceedings in question. Thus, the Company’s ultimate losses may be higher, and possibly significantly so, than the amounts accrued for legal loss contingencies, which could adversely affect the Company’s financial condition and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Business Risk</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in accounting standards could impact the Company’s financial condition and results of operations.</w:t>
      </w:r>
    </w:p>
    <w:p>
      <w:pPr>
        <w:spacing w:after="0" w:line="112" w:lineRule="exact"/>
        <w:rPr>
          <w:sz w:val="20"/>
          <w:szCs w:val="20"/>
          <w:color w:val="auto"/>
        </w:rPr>
      </w:pPr>
    </w:p>
    <w:p>
      <w:pPr>
        <w:ind w:right="600"/>
        <w:spacing w:after="0" w:line="275" w:lineRule="auto"/>
        <w:rPr>
          <w:sz w:val="20"/>
          <w:szCs w:val="20"/>
          <w:color w:val="auto"/>
        </w:rPr>
      </w:pPr>
      <w:r>
        <w:rPr>
          <w:rFonts w:ascii="Arial" w:cs="Arial" w:eastAsia="Arial" w:hAnsi="Arial"/>
          <w:sz w:val="20"/>
          <w:szCs w:val="20"/>
          <w:color w:val="auto"/>
        </w:rPr>
        <w:t>The accounting standard setters, including the Financial Accounting Standards Board (“FASB”), the SEC and other regulatory bodies, periodically change the financial accounting and reporting</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37" w:name="page38"/>
    <w:bookmarkEnd w:id="37"/>
    <w:p>
      <w:pPr>
        <w:ind w:right="40"/>
        <w:spacing w:after="0" w:line="265" w:lineRule="auto"/>
        <w:rPr>
          <w:sz w:val="20"/>
          <w:szCs w:val="20"/>
          <w:color w:val="auto"/>
        </w:rPr>
      </w:pPr>
      <w:r>
        <w:rPr>
          <w:rFonts w:ascii="Arial" w:cs="Arial" w:eastAsia="Arial" w:hAnsi="Arial"/>
          <w:sz w:val="19"/>
          <w:szCs w:val="19"/>
          <w:color w:val="auto"/>
        </w:rPr>
        <w:t xml:space="preserve">standards that govern the preparation of the Company’s consolidated financial statements. These changes can be difficult to predict and can materially impact how the Company records and reports its financial condition and results of operations. For example, Accounting Standards Update 2016-13, </w:t>
      </w:r>
      <w:r>
        <w:rPr>
          <w:rFonts w:ascii="Arial" w:cs="Arial" w:eastAsia="Arial" w:hAnsi="Arial"/>
          <w:sz w:val="19"/>
          <w:szCs w:val="19"/>
          <w:i w:val="1"/>
          <w:iCs w:val="1"/>
          <w:color w:val="auto"/>
        </w:rPr>
        <w:t>Measurement of Credit Losses on Financial Instruments</w:t>
      </w:r>
      <w:r>
        <w:rPr>
          <w:rFonts w:ascii="Arial" w:cs="Arial" w:eastAsia="Arial" w:hAnsi="Arial"/>
          <w:sz w:val="19"/>
          <w:szCs w:val="19"/>
          <w:color w:val="auto"/>
        </w:rPr>
        <w:t>, became effective January 1, 2020, and substantially changes the accounting for credit losses on loans and other financial assets. The adoption of the standard has resulted in an increase in the allowance for credit losses of approximately $132 million. In some cases, the Company could be required to apply a new or revised standard retroactively, which would result in the restating of the Company’s prior period financial statements. Information about recently adopted and not as yet adopted accounting standards is included in note 26 of Notes to Financial Statements included in Part II, Item 8 — Financial Statements and Supplemental Data of this Form 10-K.</w:t>
      </w:r>
    </w:p>
    <w:p>
      <w:pPr>
        <w:spacing w:after="0" w:line="277" w:lineRule="exact"/>
        <w:rPr>
          <w:sz w:val="20"/>
          <w:szCs w:val="20"/>
          <w:color w:val="auto"/>
        </w:rPr>
      </w:pPr>
    </w:p>
    <w:p>
      <w:pPr>
        <w:ind w:right="100"/>
        <w:spacing w:after="0" w:line="275" w:lineRule="auto"/>
        <w:rPr>
          <w:sz w:val="20"/>
          <w:szCs w:val="20"/>
          <w:color w:val="auto"/>
        </w:rPr>
      </w:pPr>
      <w:r>
        <w:rPr>
          <w:rFonts w:ascii="Arial" w:cs="Arial" w:eastAsia="Arial" w:hAnsi="Arial"/>
          <w:sz w:val="20"/>
          <w:szCs w:val="20"/>
          <w:i w:val="1"/>
          <w:iCs w:val="1"/>
          <w:color w:val="auto"/>
        </w:rPr>
        <w:t>The Company’s reported financial condition and results of operations depend on management’s selection of accounting methods and require management to make estimates about matters that are uncertain.</w:t>
      </w:r>
    </w:p>
    <w:p>
      <w:pPr>
        <w:spacing w:after="0" w:line="51"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color w:val="auto"/>
        </w:rPr>
        <w:t>Accounting policies and processes are fundamental to the Company’s reported financial condition and results of operations. Some of these policies require use of estimates and assumptions that may affect the reported amounts of assets or liabilities and financial results. Several of M&amp;T’s accounting policies are critical because they require management to make difficult, subjective and complex judgments about matters that are inherently uncertain and because it is likely that materially different amounts would be reported under different conditions or using different assumptions. Pursuant to generally accepted accounting principles, management is required to make certain assumptions and estimates in preparing the Company’s financial statements. If assumptions or estimates underlying the Company’s financial statements are incorrect, the Company may experience material losses.</w:t>
      </w:r>
    </w:p>
    <w:p>
      <w:pPr>
        <w:spacing w:after="0" w:line="4" w:lineRule="exact"/>
        <w:rPr>
          <w:sz w:val="20"/>
          <w:szCs w:val="20"/>
          <w:color w:val="auto"/>
        </w:rPr>
      </w:pPr>
    </w:p>
    <w:p>
      <w:pPr>
        <w:ind w:right="40" w:firstLine="598"/>
        <w:spacing w:after="0" w:line="262" w:lineRule="auto"/>
        <w:rPr>
          <w:sz w:val="20"/>
          <w:szCs w:val="20"/>
          <w:color w:val="auto"/>
        </w:rPr>
      </w:pPr>
      <w:r>
        <w:rPr>
          <w:rFonts w:ascii="Arial" w:cs="Arial" w:eastAsia="Arial" w:hAnsi="Arial"/>
          <w:sz w:val="19"/>
          <w:szCs w:val="19"/>
          <w:color w:val="auto"/>
        </w:rPr>
        <w:t>Management has identified certain accounting policies as being critical because they require management’s judgment to ascertain the valuations of assets, liabilities, commitments and contingencies. A variety of factors could affect the ultimate value that is obtained either when earning income, recognizing an expense, recovering an asset, valuing an asset or liability, or recognizing or reducing a liability. M&amp;T has established detailed policies and control procedures that are intended to ensure these critical accounting estimates and judgments are well controlled and applied consistently. In addition, the policies and procedures are intended to ensure that the process for changing methodologies occurs in an appropriate manner. Because of the uncertainty surrounding judgments and the estimates pertaining to these matters, M&amp;T could be required to adjust accounting policies or restate prior period financial statements if those judgments and estimates prove to be incorrect. For additional information, see Part II, Item 7 — Management’s Discussion and Analysis of Financial Condition and Results of Operations, “Critical Accounting Estimates” and Note 1, “Significant Accounting Policies,” of Notes to Financial Statements in Part II, Item 8.</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Company’s models used for business planning purposes could perform poorly or provide inadequate information.</w:t>
      </w:r>
    </w:p>
    <w:p>
      <w:pPr>
        <w:spacing w:after="0" w:line="112" w:lineRule="exact"/>
        <w:rPr>
          <w:sz w:val="20"/>
          <w:szCs w:val="20"/>
          <w:color w:val="auto"/>
        </w:rPr>
      </w:pPr>
    </w:p>
    <w:p>
      <w:pPr>
        <w:spacing w:after="0" w:line="288" w:lineRule="auto"/>
        <w:rPr>
          <w:sz w:val="20"/>
          <w:szCs w:val="20"/>
          <w:color w:val="auto"/>
        </w:rPr>
      </w:pPr>
      <w:r>
        <w:rPr>
          <w:rFonts w:ascii="Arial" w:cs="Arial" w:eastAsia="Arial" w:hAnsi="Arial"/>
          <w:sz w:val="18"/>
          <w:szCs w:val="18"/>
          <w:color w:val="auto"/>
        </w:rPr>
        <w:t>The Company uses quantitative models to assist in measuring risks and estimating or predicting certain financial values. The models used may not accurately account for all variables and may fail to predict outcomes accurately and/or may overstate or understate certain effects. Poorly designed, implemented, or managed models present the risk that the Company’s business decisions that consider information based on such models will be adversely affected due to inadequate or inaccurate information, which may damage the Company’s reputation and adversely affect its reported financial condition and results of operations. As a result, the Company may not adequately prepare for future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38" w:name="page39"/>
    <w:bookmarkEnd w:id="38"/>
    <w:p>
      <w:pPr>
        <w:ind w:right="20"/>
        <w:spacing w:after="0" w:line="256" w:lineRule="auto"/>
        <w:rPr>
          <w:sz w:val="20"/>
          <w:szCs w:val="20"/>
          <w:color w:val="auto"/>
        </w:rPr>
      </w:pPr>
      <w:r>
        <w:rPr>
          <w:rFonts w:ascii="Arial" w:cs="Arial" w:eastAsia="Arial" w:hAnsi="Arial"/>
          <w:sz w:val="20"/>
          <w:szCs w:val="20"/>
          <w:color w:val="auto"/>
        </w:rPr>
        <w:t>events and may suffer losses due to these failures. Also, information the Company provides to the public or to its regulators based on poorly designed, implemented, or managed models could be inaccurate or misleading. Decisions that regulators make, including those related to capital distributions to stockholders, could be affected adversely due to the perception that the quality of the models used to generate the relevant information is insufficient.</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Company is exposed to reputational risk</w:t>
      </w:r>
      <w:r>
        <w:rPr>
          <w:rFonts w:ascii="Arial" w:cs="Arial" w:eastAsia="Arial" w:hAnsi="Arial"/>
          <w:sz w:val="20"/>
          <w:szCs w:val="20"/>
          <w:color w:val="auto"/>
        </w:rPr>
        <w:t>.</w:t>
      </w:r>
    </w:p>
    <w:p>
      <w:pPr>
        <w:spacing w:after="0" w:line="11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negative public opinion of the Company and its business can result from any number of activities, including the Company’s lending practices, corporate governance and regulatory compliance, acquisitions and actions taken by regulators or by community organizations in response to these activities. Significant harm to the Company’s reputation could also arise as a result of regulatory or governmental actions, litigation, employee misconduct or the activities of customers, other participants in the financial services industry or the Company’s contractual counterparties, such as service providers and vendors. In particular, a cyber security event impacting the Company’s or its customers’ data could have a negative impact on the Company’s reputation and customer confidence in the Company and its cyber security. Damage to the Company’s reputation could also adversely affect its credit ratings and access to the capital markets.</w:t>
      </w:r>
    </w:p>
    <w:p>
      <w:pPr>
        <w:spacing w:after="0" w:line="1" w:lineRule="exact"/>
        <w:rPr>
          <w:sz w:val="20"/>
          <w:szCs w:val="20"/>
          <w:color w:val="auto"/>
        </w:rPr>
      </w:pPr>
    </w:p>
    <w:p>
      <w:pPr>
        <w:ind w:right="160" w:firstLine="659"/>
        <w:spacing w:after="0" w:line="251" w:lineRule="auto"/>
        <w:rPr>
          <w:sz w:val="20"/>
          <w:szCs w:val="20"/>
          <w:color w:val="auto"/>
        </w:rPr>
      </w:pPr>
      <w:r>
        <w:rPr>
          <w:rFonts w:ascii="Arial" w:cs="Arial" w:eastAsia="Arial" w:hAnsi="Arial"/>
          <w:sz w:val="20"/>
          <w:szCs w:val="20"/>
          <w:color w:val="auto"/>
        </w:rPr>
        <w:t>Additionally, whereas negative public opinion once was primarily driven by adverse news coverage in traditional media, the increased use of social media platforms facilitates the rapid dissemination of information or misinformation, which magnifies the potential harm to the Company’s reputation.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Severe weather, natural disasters, acts of war or terrorism and other external events could significantly impact the Company’s business.</w:t>
      </w:r>
    </w:p>
    <w:p>
      <w:pPr>
        <w:spacing w:after="0" w:line="135"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Severe weather, natural disasters, acts of war or terrorism and other adverse external events could have a significant impact on the Company’s ability to conduct business. Such events could affect the stability of the Company’s deposit base, impair the ability of borrowers to repay outstanding loans, impair the value of collateral securing loans, cause significant property damage, result in loss of revenue and/or cause the Company to incur additional expenses. Although the Company has established disaster recovery plans and procedures, and monitors for significant environmental effects on its properties or its investments, the occurrence of any such event could have a material adverse effect on the Company.</w:t>
      </w:r>
    </w:p>
    <w:p>
      <w:pPr>
        <w:spacing w:after="0" w:line="5" w:lineRule="exact"/>
        <w:rPr>
          <w:sz w:val="20"/>
          <w:szCs w:val="20"/>
          <w:color w:val="auto"/>
        </w:rPr>
      </w:pPr>
    </w:p>
    <w:p>
      <w:pPr>
        <w:ind w:firstLine="598"/>
        <w:spacing w:after="0" w:line="248" w:lineRule="auto"/>
        <w:rPr>
          <w:sz w:val="20"/>
          <w:szCs w:val="20"/>
          <w:color w:val="auto"/>
        </w:rPr>
      </w:pPr>
      <w:r>
        <w:rPr>
          <w:rFonts w:ascii="Arial" w:cs="Arial" w:eastAsia="Arial" w:hAnsi="Arial"/>
          <w:sz w:val="20"/>
          <w:szCs w:val="20"/>
          <w:color w:val="auto"/>
        </w:rPr>
        <w:t>Discussions of the specific risks outlined above and other risks facing the Company are included within this Annual Report on Form 10-K in Part I, Item 1 “Business,” and Part II, Item 7 “Management’s Discussion and Analysis of Financial Condition and Results of Operations.” Furthermore, in Part II, Item 7 under the heading “Forward-Looking Statements” is included a description of certain risks, uncertainties and assumptions identified by management that are difficult to predict and that could materially affect the Company’s financial condition and results of operations, as well as the value of the Company’s financial instruments in general, and M&amp;T common stock, in particular.</w:t>
      </w:r>
    </w:p>
    <w:p>
      <w:pPr>
        <w:spacing w:after="0" w:line="185"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auto"/>
        </w:rPr>
        <w:t>In addition, the market price of M&amp;T common stock may fluctuate significantly in response to a number of other factors, including changes in securities analysts’ estimates of financial performance, volatility of stock market prices and volumes, rumors or erroneous information, changes in market valuations of similar companies and changes in accounting policies or procedures as may be required by the FASB or other regulatory agencies.</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320"/>
          </w:cols>
          <w:pgMar w:left="240" w:top="231" w:right="339" w:bottom="1440" w:gutter="0" w:footer="0" w:header="0"/>
        </w:sectPr>
      </w:pPr>
    </w:p>
    <w:bookmarkStart w:id="39" w:name="page40"/>
    <w:bookmarkEnd w:id="39"/>
    <w:p>
      <w:pPr>
        <w:spacing w:after="0"/>
        <w:tabs>
          <w:tab w:leader="none" w:pos="158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r>
        <w:rPr>
          <w:rFonts w:ascii="Arial" w:cs="Arial" w:eastAsia="Arial" w:hAnsi="Arial"/>
          <w:sz w:val="17"/>
          <w:szCs w:val="17"/>
          <w:b w:val="1"/>
          <w:bCs w:val="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13"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r>
        <w:rPr>
          <w:rFonts w:ascii="Arial" w:cs="Arial" w:eastAsia="Arial" w:hAnsi="Arial"/>
          <w:sz w:val="17"/>
          <w:szCs w:val="17"/>
          <w:b w:val="1"/>
          <w:bCs w:val="1"/>
          <w:color w:val="auto"/>
        </w:rPr>
        <w:t>.</w:t>
      </w:r>
    </w:p>
    <w:p>
      <w:pPr>
        <w:spacing w:after="0" w:line="116"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Both M&amp;T and M&amp;T Bank maintain their executive offices at One M&amp;T Plaza in Buffalo, New York. This twenty-one story headquarters building, containing approximately 300,000 rentable square feet of space, is owned in fee by M&amp;T Bank and was completed in 1967. M&amp;T, M&amp;T Bank and their subsidiaries occupy approximately 98% of the building and the remainder is leased to non-affiliated tenants. At December 31, 2019, the cost of this property (including improvements subsequent to the initial construction), net of accumulated depreciation, was $11.0 million.</w:t>
      </w:r>
    </w:p>
    <w:p>
      <w:pPr>
        <w:spacing w:after="0" w:line="3" w:lineRule="exact"/>
        <w:rPr>
          <w:sz w:val="20"/>
          <w:szCs w:val="20"/>
          <w:color w:val="auto"/>
        </w:rPr>
      </w:pPr>
    </w:p>
    <w:p>
      <w:pPr>
        <w:jc w:val="both"/>
        <w:ind w:right="320" w:firstLine="598"/>
        <w:spacing w:after="0" w:line="246" w:lineRule="auto"/>
        <w:rPr>
          <w:sz w:val="20"/>
          <w:szCs w:val="20"/>
          <w:color w:val="auto"/>
        </w:rPr>
      </w:pPr>
      <w:r>
        <w:rPr>
          <w:rFonts w:ascii="Arial" w:cs="Arial" w:eastAsia="Arial" w:hAnsi="Arial"/>
          <w:sz w:val="20"/>
          <w:szCs w:val="20"/>
          <w:color w:val="auto"/>
        </w:rPr>
        <w:t>M&amp;T Bank owns and occupies an additional facility in Buffalo, New York (known as M&amp;T Center) with approximately 395,000 rentable square feet of space. At December 31, 2019, the cost of this building (including improvements subsequent to acquisition), net of accumulated depreciation, was $14.0 million.</w:t>
      </w:r>
    </w:p>
    <w:p>
      <w:pPr>
        <w:spacing w:after="0" w:line="2" w:lineRule="exact"/>
        <w:rPr>
          <w:sz w:val="20"/>
          <w:szCs w:val="20"/>
          <w:color w:val="auto"/>
        </w:rPr>
      </w:pPr>
    </w:p>
    <w:p>
      <w:pPr>
        <w:ind w:right="200" w:firstLine="598"/>
        <w:spacing w:after="0" w:line="274" w:lineRule="auto"/>
        <w:rPr>
          <w:sz w:val="20"/>
          <w:szCs w:val="20"/>
          <w:color w:val="auto"/>
        </w:rPr>
      </w:pPr>
      <w:r>
        <w:rPr>
          <w:rFonts w:ascii="Arial" w:cs="Arial" w:eastAsia="Arial" w:hAnsi="Arial"/>
          <w:sz w:val="18"/>
          <w:szCs w:val="18"/>
          <w:color w:val="auto"/>
        </w:rPr>
        <w:t>M&amp;T Bank also owns and occupies three separate facilities in the Buffalo area which support certain back-office and operations functions of the Company. The total square footage of these facilities approximates 290,000 square feet and their combined cost (including improvements subsequent to acquisition), net of accumulated depreciation, was $27.3 million at December 31, 2019.</w:t>
      </w:r>
    </w:p>
    <w:p>
      <w:pPr>
        <w:spacing w:after="0" w:line="1" w:lineRule="exact"/>
        <w:rPr>
          <w:sz w:val="20"/>
          <w:szCs w:val="20"/>
          <w:color w:val="auto"/>
        </w:rPr>
      </w:pPr>
    </w:p>
    <w:p>
      <w:pPr>
        <w:ind w:right="40" w:firstLine="598"/>
        <w:spacing w:after="0" w:line="246" w:lineRule="auto"/>
        <w:rPr>
          <w:sz w:val="20"/>
          <w:szCs w:val="20"/>
          <w:color w:val="auto"/>
        </w:rPr>
      </w:pPr>
      <w:r>
        <w:rPr>
          <w:rFonts w:ascii="Arial" w:cs="Arial" w:eastAsia="Arial" w:hAnsi="Arial"/>
          <w:sz w:val="20"/>
          <w:szCs w:val="20"/>
          <w:color w:val="auto"/>
        </w:rPr>
        <w:t>M&amp;T Bank owns a facility in Syracuse, New York with approximately 160,000 rentable square feet of space. Approximately 39% of that facility is occupied by M&amp;T Bank. At December 31, 2019, the cost of that building (including improvements subsequent to acquisition), net of accumulated depreciation, was less than $1 million. In January 2020, M&amp;T Bank agreed to sell this facility with an expected closing date in the second quarter of 2020.</w:t>
      </w:r>
    </w:p>
    <w:p>
      <w:pPr>
        <w:spacing w:after="0" w:line="3"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M&amp;T Bank owns facilities in Wilmington, Delaware, with approximately 340,000 (known as Wilmington Center) and 295,000 (known as Wilmington Plaza) rentable square feet of space, respectively. M&amp;T Bank occupies approximately 88% of Wilmington Center and 8% of Wilmington Plaza. At December 31, 2019, the cost of these buildings (including improvements subsequent to acquisition), net of accumulated depreciation, was $39.7 million and $12.3 million, respectively.</w:t>
      </w:r>
    </w:p>
    <w:p>
      <w:pPr>
        <w:spacing w:after="0" w:line="3" w:lineRule="exact"/>
        <w:rPr>
          <w:sz w:val="20"/>
          <w:szCs w:val="20"/>
          <w:color w:val="auto"/>
        </w:rPr>
      </w:pPr>
    </w:p>
    <w:p>
      <w:pPr>
        <w:ind w:right="280" w:firstLine="598"/>
        <w:spacing w:after="0" w:line="246" w:lineRule="auto"/>
        <w:rPr>
          <w:sz w:val="20"/>
          <w:szCs w:val="20"/>
          <w:color w:val="auto"/>
        </w:rPr>
      </w:pPr>
      <w:r>
        <w:rPr>
          <w:rFonts w:ascii="Arial" w:cs="Arial" w:eastAsia="Arial" w:hAnsi="Arial"/>
          <w:sz w:val="20"/>
          <w:szCs w:val="20"/>
          <w:color w:val="auto"/>
        </w:rPr>
        <w:t>M&amp;T Bank also owns facilities in Harrisburg, Pennsylvania and Millsboro, Delaware with approximately 220,000 and 325,000 rentable square feet of space, respectively. M&amp;T Bank occupies approximately 29% and 95% of those facilities, respectively. At December 31, 2019, the cost of those buildings (including improvements subsequent to acquisition), net of accumulated depreciation, was $9.0 million and $11.8 million, respectively.</w:t>
      </w:r>
    </w:p>
    <w:p>
      <w:pPr>
        <w:spacing w:after="0" w:line="3" w:lineRule="exact"/>
        <w:rPr>
          <w:sz w:val="20"/>
          <w:szCs w:val="20"/>
          <w:color w:val="auto"/>
        </w:rPr>
      </w:pPr>
    </w:p>
    <w:p>
      <w:pPr>
        <w:ind w:right="180" w:firstLine="598"/>
        <w:spacing w:after="0" w:line="246" w:lineRule="auto"/>
        <w:rPr>
          <w:sz w:val="20"/>
          <w:szCs w:val="20"/>
          <w:color w:val="auto"/>
        </w:rPr>
      </w:pPr>
      <w:r>
        <w:rPr>
          <w:rFonts w:ascii="Arial" w:cs="Arial" w:eastAsia="Arial" w:hAnsi="Arial"/>
          <w:sz w:val="20"/>
          <w:szCs w:val="20"/>
          <w:color w:val="auto"/>
        </w:rPr>
        <w:t>No other properties owned by M&amp;T Bank have more than 100,000 square feet of space. The cost and accumulated depreciation and amortization of the Company’s premises and equipment is detailed in note 5 of Notes to Financial Statements filed herewith in Part II, Item 8, “Financial Statements and Supplementary Data.”</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Of the 733 domestic banking offices of M&amp;T’s subsidiary banks at December 31, 2019, 289 are owned in fee and 444 are leased.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00"/>
          </w:cols>
          <w:pgMar w:left="240" w:top="332" w:right="259" w:bottom="1440" w:gutter="0" w:footer="0" w:header="0"/>
        </w:sectPr>
      </w:pPr>
    </w:p>
    <w:bookmarkStart w:id="40" w:name="page41"/>
    <w:bookmarkEnd w:id="40"/>
    <w:p>
      <w:pPr>
        <w:spacing w:after="0"/>
        <w:tabs>
          <w:tab w:leader="none" w:pos="116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r>
        <w:rPr>
          <w:rFonts w:ascii="Arial" w:cs="Arial" w:eastAsia="Arial" w:hAnsi="Arial"/>
          <w:sz w:val="17"/>
          <w:szCs w:val="17"/>
          <w:b w:val="1"/>
          <w:bCs w:val="1"/>
          <w:color w:val="auto"/>
        </w:rPr>
        <w:t>.</w:t>
      </w:r>
    </w:p>
    <w:p>
      <w:pPr>
        <w:spacing w:after="0" w:line="116" w:lineRule="exact"/>
        <w:rPr>
          <w:sz w:val="20"/>
          <w:szCs w:val="20"/>
          <w:color w:val="auto"/>
        </w:rPr>
      </w:pPr>
    </w:p>
    <w:p>
      <w:pPr>
        <w:ind w:right="80"/>
        <w:spacing w:after="0" w:line="281" w:lineRule="auto"/>
        <w:rPr>
          <w:sz w:val="20"/>
          <w:szCs w:val="20"/>
          <w:color w:val="auto"/>
        </w:rPr>
      </w:pPr>
      <w:r>
        <w:rPr>
          <w:rFonts w:ascii="Arial" w:cs="Arial" w:eastAsia="Arial" w:hAnsi="Arial"/>
          <w:sz w:val="18"/>
          <w:szCs w:val="18"/>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$50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5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i w:val="1"/>
          <w:iCs w:val="1"/>
          <w:color w:val="auto"/>
        </w:rPr>
        <w:t>ESOP Matters</w:t>
      </w:r>
      <w:r>
        <w:rPr>
          <w:rFonts w:ascii="Arial" w:cs="Arial" w:eastAsia="Arial" w:hAnsi="Arial"/>
          <w:sz w:val="18"/>
          <w:szCs w:val="18"/>
          <w:color w:val="auto"/>
        </w:rPr>
        <w:t>: Wilmington Trust, N.A. provides retirement services, including serving in certain trustee roles relating to Employee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Plans (“ESOPs”). Beginning in 2010, the U.S. Department of Labor (“DOL”) announced that it would increase its focus on ESOP transactions, particularly with regard to valuation issues relating to ESOP transactions. Beginning in late 2013, Wilmington Trust, N.A. began receiving requests for information and subpoenas relating to certain ESOP transactions for which it acted as trustee. In June 2016, Wilmington Trust, N.A. received a DOL subpoena seeking information on its global ESOP trustee business. In addition to these investigations, the DOL has commenced three lawsuits against Wilmington Trust, N.A. relating to its role as trustee of three ESOP transactions. In July 2019, Wilmington Trust, N.A. reached a settlement in principle with the DOL to resolve certain pending DOL ESOP matters. Although a formal settlement agreement has yet to be finalized and executed, the Company does not expect that the agreed-upon settlement will have a material incremental impact on the Company’s consolidated financial position or results of operations. Wilmington Trust, N.A. is also currently a defendant in five pending private party lawsuits relating to its role as trustee for five ESOP transactions. Under applicable transaction documents, Wilmington Trust, N.A. may be entitled to indemnification by the ESOP plan sponsors. These matters could result in damages, settlements, penalties, restitution, reputational damage or additional costs and expenses.</w:t>
      </w:r>
    </w:p>
    <w:p>
      <w:pPr>
        <w:spacing w:after="0" w:line="10" w:lineRule="exact"/>
        <w:rPr>
          <w:sz w:val="20"/>
          <w:szCs w:val="20"/>
          <w:color w:val="auto"/>
        </w:rPr>
      </w:pPr>
    </w:p>
    <w:p>
      <w:pPr>
        <w:ind w:right="120" w:firstLine="598"/>
        <w:spacing w:after="0" w:line="286" w:lineRule="auto"/>
        <w:rPr>
          <w:sz w:val="20"/>
          <w:szCs w:val="20"/>
          <w:color w:val="auto"/>
        </w:rPr>
      </w:pPr>
      <w:r>
        <w:rPr>
          <w:rFonts w:ascii="Arial" w:cs="Arial" w:eastAsia="Arial" w:hAnsi="Arial"/>
          <w:sz w:val="18"/>
          <w:szCs w:val="18"/>
          <w:color w:val="auto"/>
        </w:rPr>
        <w:t>Due to their complex nature, it is difficult to estimate when litigation and investigatory matters such as these may be resolved. As set forth in the introductory paragraph to this Item 3 — Legal Proceedings, losses from current litigation and regulatory matters which the Company is subject to that are not currently considered probable are within a range of reasonably possible losses for such matters in the aggregate, beyond the existing recorded liability, and are included in the range of reasonably possible losses set forth above.</w:t>
      </w:r>
    </w:p>
    <w:p>
      <w:pPr>
        <w:spacing w:after="0" w:line="148"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r>
        <w:rPr>
          <w:rFonts w:ascii="Arial" w:cs="Arial" w:eastAsia="Arial" w:hAnsi="Arial"/>
          <w:sz w:val="17"/>
          <w:szCs w:val="17"/>
          <w:b w:val="1"/>
          <w:bCs w:val="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sz w:val="20"/>
          <w:szCs w:val="20"/>
          <w:color w:val="auto"/>
        </w:rPr>
      </w:pPr>
      <w:r>
        <w:rPr>
          <w:rFonts w:ascii="Arial" w:cs="Arial" w:eastAsia="Arial" w:hAnsi="Arial"/>
          <w:sz w:val="20"/>
          <w:szCs w:val="20"/>
          <w:b w:val="1"/>
          <w:bCs w:val="1"/>
          <w:color w:val="auto"/>
        </w:rPr>
        <w:t>Executive Officers of the Registrant</w:t>
      </w:r>
    </w:p>
    <w:p>
      <w:pPr>
        <w:spacing w:after="0" w:line="29"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Information concerning M&amp;T’s executive officers is presented below as of February 19, 2020. The year the officer was first appointed to the indicated position with M&amp;T or its subsidiaries is shown parenthetically. In the case of each entity noted below, officers’ terms run until the first meeting of the board of directors after such entity’s annual meeting, which in the case of M&amp;T takes place immediately following the Annual Meeting of Shareholders, and until their successors are elected and qualified.</w:t>
      </w:r>
    </w:p>
    <w:p>
      <w:pPr>
        <w:spacing w:after="0" w:line="3" w:lineRule="exact"/>
        <w:rPr>
          <w:sz w:val="20"/>
          <w:szCs w:val="20"/>
          <w:color w:val="auto"/>
        </w:rPr>
      </w:pPr>
    </w:p>
    <w:p>
      <w:pPr>
        <w:ind w:right="40" w:firstLine="598"/>
        <w:spacing w:after="0" w:line="274" w:lineRule="auto"/>
        <w:rPr>
          <w:sz w:val="20"/>
          <w:szCs w:val="20"/>
          <w:color w:val="auto"/>
        </w:rPr>
      </w:pPr>
      <w:r>
        <w:rPr>
          <w:rFonts w:ascii="Arial" w:cs="Arial" w:eastAsia="Arial" w:hAnsi="Arial"/>
          <w:sz w:val="18"/>
          <w:szCs w:val="18"/>
          <w:color w:val="auto"/>
        </w:rPr>
        <w:t>René F. Jones, age 55, is chief executive officer, chairman of the board and a director of M&amp;T and M&amp;T Bank (2017). Previously, he was an executive vice president (2006) of M&amp;T and a vice chairman (2014) of M&amp;T Bank with responsibility for the Company’s Wealth and Institutional Services Division, Treasury Division, and Mortgage and Consumer Lending Divisions. Mr. Jones is chairman of the board and a director (2014) of Wilmington Trust Investment Advisors, and is a director (2007) of M&amp;T Insurance Agency. Mr. Jones is chairman of the board and a director (2014) of Wilmington Trust Company. Previously, Mr. Jones served as chief financial officer (2005) of M&amp;T, M&amp;T Bank and Wilmington Trust, N.A. and had held a number of management positions within M&amp;T Bank’s Finance Division since 1992.</w:t>
      </w:r>
    </w:p>
    <w:p>
      <w:pPr>
        <w:spacing w:after="0" w:line="1" w:lineRule="exact"/>
        <w:rPr>
          <w:sz w:val="20"/>
          <w:szCs w:val="20"/>
          <w:color w:val="auto"/>
        </w:rPr>
      </w:pPr>
    </w:p>
    <w:p>
      <w:pPr>
        <w:ind w:right="180" w:firstLine="598"/>
        <w:spacing w:after="0" w:line="246" w:lineRule="auto"/>
        <w:rPr>
          <w:sz w:val="20"/>
          <w:szCs w:val="20"/>
          <w:color w:val="auto"/>
        </w:rPr>
      </w:pPr>
      <w:r>
        <w:rPr>
          <w:rFonts w:ascii="Arial" w:cs="Arial" w:eastAsia="Arial" w:hAnsi="Arial"/>
          <w:sz w:val="20"/>
          <w:szCs w:val="20"/>
          <w:color w:val="auto"/>
        </w:rPr>
        <w:t>Richard S. Gold, age 59, is president, chief operating officer and a director of M&amp;T and M&amp;T Bank (2017). Mr. Gold oversees the Consumer Banking, Business Banking, Legal, Human Resources and Enterprise Transformation Divisions. Previously, he was an executive vice president (2006) and chief risk officer (2014) of M&amp;T and was a vice chairman and chief risk officer (2014) of M&amp;T Bank. Mr. Gold had been responsible for overseeing the Company’s governance and strategy for risk management, as well as relationships with key regulators and supervisory agencies. He served as a senior vice president of M&amp;T Bank from 2000 to 2006 and has held a number of management positions since he began his career with M&amp;T Bank in 1989. Mr. Gold is chairman, president and chief executive officer (2018) and a director (2017) of Wilmington Trust, N.A.</w:t>
      </w:r>
    </w:p>
    <w:p>
      <w:pPr>
        <w:spacing w:after="0" w:line="5" w:lineRule="exact"/>
        <w:rPr>
          <w:sz w:val="20"/>
          <w:szCs w:val="20"/>
          <w:color w:val="auto"/>
        </w:rPr>
      </w:pPr>
    </w:p>
    <w:p>
      <w:pPr>
        <w:ind w:right="20" w:firstLine="598"/>
        <w:spacing w:after="0" w:line="246" w:lineRule="auto"/>
        <w:rPr>
          <w:sz w:val="20"/>
          <w:szCs w:val="20"/>
          <w:color w:val="auto"/>
        </w:rPr>
      </w:pPr>
      <w:r>
        <w:rPr>
          <w:rFonts w:ascii="Arial" w:cs="Arial" w:eastAsia="Arial" w:hAnsi="Arial"/>
          <w:sz w:val="20"/>
          <w:szCs w:val="20"/>
          <w:color w:val="auto"/>
        </w:rPr>
        <w:t>Kevin J. Pearson, age 58, is a vice chairman (2020) and a director (2018) of M&amp;T and is a vice chairman (2014) and a director (2018) of M&amp;T Bank. He is a member of the Directors Advisory Council (2006) of the New York City/Long Island Division of M&amp;T Bank. Mr. Pearson has oversight of the Commercial Banking, Credit, Technology and Banking Operations, and Wealth and Institutional Services Divisions. Previously, Mr. Pearson served as an executive vice president of M&amp;T and M&amp;T Bank, and has held a number of management positions since he began his career with M&amp;T Bank in 1989. He is chairman of the board and a director (2018) of Wilmington Trust Company, an executive vice president and a director of Wilmington Trust, N.A. (2014), and a director (2018) of Wilmington Trust Investment Advisors.</w:t>
      </w:r>
    </w:p>
    <w:p>
      <w:pPr>
        <w:spacing w:after="0" w:line="5"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Robert J. Bojdak, age 64, is an executive vice president and chief credit officer (2004) of M&amp;T and M&amp;T Bank, and is responsible for the Company’s Credit Division, including the Credit Risk Management Division. From April 2002 to April 2004, Mr. Bojdak served as senior vice president and credit deputy for M&amp;T Bank. He is an executive vice president and a director (2004) of Wilmington Trust, N.A.</w:t>
      </w:r>
    </w:p>
    <w:p>
      <w:pPr>
        <w:spacing w:after="0" w:line="2" w:lineRule="exact"/>
        <w:rPr>
          <w:sz w:val="20"/>
          <w:szCs w:val="20"/>
          <w:color w:val="auto"/>
        </w:rPr>
      </w:pPr>
    </w:p>
    <w:p>
      <w:pPr>
        <w:jc w:val="both"/>
        <w:ind w:right="20" w:firstLine="598"/>
        <w:spacing w:after="0" w:line="251" w:lineRule="auto"/>
        <w:rPr>
          <w:sz w:val="20"/>
          <w:szCs w:val="20"/>
          <w:color w:val="auto"/>
        </w:rPr>
      </w:pPr>
      <w:r>
        <w:rPr>
          <w:rFonts w:ascii="Arial" w:cs="Arial" w:eastAsia="Arial" w:hAnsi="Arial"/>
          <w:sz w:val="20"/>
          <w:szCs w:val="20"/>
          <w:color w:val="auto"/>
        </w:rPr>
        <w:t>Janet M. Coletti, age 56, is an executive vice president (2015) of M&amp;T and M&amp;T Bank, overseeing the Company’s Human Resources Division. Ms. Coletti previously served as senior vice president of M&amp;T Bank, most recently responsible for the Business Banking Division, and has held a number of management positions within M&amp;T Bank since 1985.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ind w:right="80" w:firstLine="598"/>
        <w:spacing w:after="0" w:line="263" w:lineRule="auto"/>
        <w:rPr>
          <w:sz w:val="20"/>
          <w:szCs w:val="20"/>
          <w:color w:val="auto"/>
        </w:rPr>
      </w:pPr>
      <w:r>
        <w:rPr>
          <w:rFonts w:ascii="Arial" w:cs="Arial" w:eastAsia="Arial" w:hAnsi="Arial"/>
          <w:sz w:val="19"/>
          <w:szCs w:val="19"/>
          <w:color w:val="auto"/>
        </w:rPr>
        <w:t>John L. D’Angelo, age 57, is an executive vice president and chief risk officer (2017) of M&amp;T and M&amp;T Bank. Mr. D’Angelo is responsible for overseeing the Company’s governance and strategy for risk management, as well as relationships with key regulators and supervisory agencies. Mr. D’Angelo is an executive vice president and chief risk officer (2018) of Wilmington Trust, N.A. and an executive vice president and a director (2017) of Wilmington Trust Company. He served as a senior vice president and general auditor of M&amp;T Bank from 2005 to 2017 and has held a number of positions since he began his career with M&amp;T Bank in 1987.</w:t>
      </w:r>
    </w:p>
    <w:p>
      <w:pPr>
        <w:spacing w:after="0" w:line="3"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William J. Farrell II, age 62, is an executive vice president (2011) of M&amp;T and M&amp;T Bank, and is responsible for managing administrative and business development functions of the Company’s Wealth and Institutional Services Division, which includes Institutional Client Services and M&amp;T Insurance Agency. Mr. Farrell joined M&amp;T through the Wilmington Trust Corporation acquisition. He joined Wilmington Trust Corporation in 1976, and held a number of senior management positions, most recently as executive vice president and head of the Corporate Client Services business. Mr. Farrell is president, chief executive officer and a director (2012) of Wilmington Trust Company, an executive vice president and a director (2013) of Wilmington Trust, N.A. and a director (2016) of Wilmington Trust Investment Advisors.</w:t>
      </w:r>
    </w:p>
    <w:p>
      <w:pPr>
        <w:spacing w:after="0" w:line="5" w:lineRule="exact"/>
        <w:rPr>
          <w:sz w:val="20"/>
          <w:szCs w:val="20"/>
          <w:color w:val="auto"/>
        </w:rPr>
      </w:pPr>
    </w:p>
    <w:p>
      <w:pPr>
        <w:ind w:right="260" w:firstLine="598"/>
        <w:spacing w:after="0" w:line="246" w:lineRule="auto"/>
        <w:rPr>
          <w:sz w:val="20"/>
          <w:szCs w:val="20"/>
          <w:color w:val="auto"/>
        </w:rPr>
      </w:pPr>
      <w:r>
        <w:rPr>
          <w:rFonts w:ascii="Arial" w:cs="Arial" w:eastAsia="Arial" w:hAnsi="Arial"/>
          <w:sz w:val="20"/>
          <w:szCs w:val="20"/>
          <w:color w:val="auto"/>
        </w:rPr>
        <w:t>Christopher E. Kay, age 54, is an executive vice president (2018) of M&amp;T and M&amp;T Bank, and is responsible for all aspects of Consumer Banking, including the Mortgage, Consumer Lending and Retail businesses, and Business Banking and Marketing. Prior to joining M&amp;T in 2018, Mr. Kay served as chief innovation officer at Humana from 2014 to 2018 and as managing director of Citi Ventures from 2007 to 2013.</w:t>
      </w:r>
    </w:p>
    <w:p>
      <w:pPr>
        <w:spacing w:after="0" w:line="3"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Darren J. King, age 50, is an executive vice president (2010) and chief financial officer (2016) of M&amp;T and executive vice president (2009) and chief financial officer (2016) of M&amp;T Bank. Mr. King has responsibility for the overall financial management of the Company and oversees the Finance and Treasury Divisions. Prior to his current role, Mr. King was the Retail Banking executive with responsibility for overseeing Business Banking, Consumer Deposits, Consumer Lending and M&amp;T Bank’s Marketing and Communications team. Mr. King previously served as senior vice president of M&amp;T Bank and has held a number of management positions within M&amp;T Bank since 2000. Mr. King is an executive vice president (2009) and chief financial officer (2016) of Wilmington Trust, N.A. and a director of M&amp;T Insurance Agency (2018).</w:t>
      </w:r>
    </w:p>
    <w:p>
      <w:pPr>
        <w:spacing w:after="0" w:line="5" w:lineRule="exact"/>
        <w:rPr>
          <w:sz w:val="20"/>
          <w:szCs w:val="20"/>
          <w:color w:val="auto"/>
        </w:rPr>
      </w:pPr>
    </w:p>
    <w:p>
      <w:pPr>
        <w:ind w:firstLine="598"/>
        <w:spacing w:after="0" w:line="263" w:lineRule="auto"/>
        <w:rPr>
          <w:sz w:val="20"/>
          <w:szCs w:val="20"/>
          <w:color w:val="auto"/>
        </w:rPr>
      </w:pPr>
      <w:r>
        <w:rPr>
          <w:rFonts w:ascii="Arial" w:cs="Arial" w:eastAsia="Arial" w:hAnsi="Arial"/>
          <w:sz w:val="19"/>
          <w:szCs w:val="19"/>
          <w:color w:val="auto"/>
        </w:rPr>
        <w:t>Gino A. Martocci, age 54, is an executive vice president (2014) of M&amp;T and M&amp;T Bank, and is responsible for managing M&amp;T Bank’s commercial banking lines of business. Mr. Martocci is responsible for directing strategic growth and business line development activities across the Company’s footprint for commercial customers. Previously, Mr. Martocci co-managed the Bank’s commercial banking lines of business. He is also responsible for M&amp;T Realty Capital. Mr. Martocci was a senior vice president of M&amp;T Bank from 2002 to 2013, serving in a number of management positions. He is chairman of the board (2018) and a director (2009) of M&amp;T Realty Capital, and a member of the New York City Mortgage Investment Committee. Mr. Martocci is also a member of the Directors Advisory Council of the New York City/Long Island (2013) and the New Jersey (2015) Divisions of M&amp;T Bank.</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43" w:name="page44"/>
    <w:bookmarkEnd w:id="43"/>
    <w:p>
      <w:pPr>
        <w:ind w:right="20" w:firstLine="598"/>
        <w:spacing w:after="0" w:line="277" w:lineRule="auto"/>
        <w:rPr>
          <w:sz w:val="20"/>
          <w:szCs w:val="20"/>
          <w:color w:val="auto"/>
        </w:rPr>
      </w:pPr>
      <w:r>
        <w:rPr>
          <w:rFonts w:ascii="Arial" w:cs="Arial" w:eastAsia="Arial" w:hAnsi="Arial"/>
          <w:sz w:val="18"/>
          <w:szCs w:val="18"/>
          <w:color w:val="auto"/>
        </w:rPr>
        <w:t>Doris P. Meister, age 64, is an executive vice president (2016) of M&amp;T and M&amp;T Bank, and is responsible for overseeing the Company’s wealth management business, including Wilmington Trust Wealth Management, M&amp;T Securities and Wilmington Trust Investment Advisors. Ms. Meister is an executive vice president and a director (2016) of Wilmington Trust, N.A., an executive vice president and director of Wilmington Trust Company (2016) and chairman of the board, chief executive officer and a director (2017) of Wilmington Trust Investment Advisors. Prior to joining M&amp;T in 2016, Ms. Meister served as President of U.S. Markets for BNY Mellon Wealth Management from 2009 to 2016 and prior to that was a Managing Director of the New York office of Bernstein Global Wealth Management.</w:t>
      </w:r>
    </w:p>
    <w:p>
      <w:pPr>
        <w:spacing w:after="0" w:line="4" w:lineRule="exact"/>
        <w:rPr>
          <w:sz w:val="20"/>
          <w:szCs w:val="20"/>
          <w:color w:val="auto"/>
        </w:rPr>
      </w:pPr>
    </w:p>
    <w:p>
      <w:pPr>
        <w:ind w:right="260" w:firstLine="598"/>
        <w:spacing w:after="0" w:line="274" w:lineRule="auto"/>
        <w:rPr>
          <w:sz w:val="20"/>
          <w:szCs w:val="20"/>
          <w:color w:val="auto"/>
        </w:rPr>
      </w:pPr>
      <w:r>
        <w:rPr>
          <w:rFonts w:ascii="Arial" w:cs="Arial" w:eastAsia="Arial" w:hAnsi="Arial"/>
          <w:sz w:val="18"/>
          <w:szCs w:val="18"/>
          <w:color w:val="auto"/>
        </w:rPr>
        <w:t>Michael J. Todaro, age 58, is an executive vice president (2015) of M&amp;T and M&amp;T Bank, and is responsible for Enterprise Transformation, a division of the Company dedicated to improving business processes, removing impediments to progress and evaluating/integrating external opportunities. Previously, Mr. Todaro was responsible for the Mortgage, Consumer Lending and Customer Asset Management Divisions. Mr. Todaro previously served as senior vice president of M&amp;T Bank and has held a number of management positions within M&amp;T Bank’s Mortgage Division since 1995. He is an executive vice president (2015) of Wilmington Trust, N.A.</w:t>
      </w:r>
    </w:p>
    <w:p>
      <w:pPr>
        <w:spacing w:after="0" w:line="1"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Michele D. Trolli, age 58, is an executive vice president (2005) and chief technology and operations officer (2018) of M&amp;T and M&amp;T Bank. Previously, she was chief information officer (2005) of M&amp;T and M&amp;T Bank. Ms. Trolli leads a wide range of the Company’s Technology and Banking Operations, which includes banking services, corporate services, digital and telephone banking, the enterprise data office, enterprise and cyber security, and enterprise technology.</w:t>
      </w:r>
    </w:p>
    <w:p>
      <w:pPr>
        <w:spacing w:after="0" w:line="3" w:lineRule="exact"/>
        <w:rPr>
          <w:sz w:val="20"/>
          <w:szCs w:val="20"/>
          <w:color w:val="auto"/>
        </w:rPr>
      </w:pPr>
    </w:p>
    <w:p>
      <w:pPr>
        <w:ind w:right="140" w:firstLine="598"/>
        <w:spacing w:after="0" w:line="265" w:lineRule="auto"/>
        <w:rPr>
          <w:sz w:val="20"/>
          <w:szCs w:val="20"/>
          <w:color w:val="auto"/>
        </w:rPr>
      </w:pPr>
      <w:r>
        <w:rPr>
          <w:rFonts w:ascii="Arial" w:cs="Arial" w:eastAsia="Arial" w:hAnsi="Arial"/>
          <w:sz w:val="19"/>
          <w:szCs w:val="19"/>
          <w:color w:val="auto"/>
        </w:rPr>
        <w:t>D. Scott N. Warman, age 54, is an executive vice president (2009) and treasurer (2008) of M&amp;T and M&amp;T Bank. He is responsible for managing the Company’s Treasury Division, including asset/liability management, funding, investment and derivative portfolio management, capital markets foreign exchange trading and sales. Mr. Warman previously served as senior vice president of M&amp;T Bank and has held a number of management positions within M&amp;T Bank since 1995. He is an executive vice president and treasurer of Wilmington Trust, N.A. (2008) and is an executive vice president and treasurer of Wilmington Trust Company (2012).</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20"/>
          <w:szCs w:val="20"/>
          <w:b w:val="1"/>
          <w:bCs w:val="1"/>
          <w:color w:val="auto"/>
        </w:rPr>
        <w:t>PART II</w:t>
      </w:r>
    </w:p>
    <w:p>
      <w:pPr>
        <w:spacing w:after="0" w:line="217"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116" w:lineRule="exact"/>
        <w:rPr>
          <w:sz w:val="20"/>
          <w:szCs w:val="20"/>
          <w:color w:val="auto"/>
        </w:rPr>
      </w:pPr>
    </w:p>
    <w:p>
      <w:pPr>
        <w:ind w:right="280"/>
        <w:spacing w:after="0" w:line="281" w:lineRule="auto"/>
        <w:rPr>
          <w:sz w:val="20"/>
          <w:szCs w:val="20"/>
          <w:color w:val="auto"/>
        </w:rPr>
      </w:pPr>
      <w:r>
        <w:rPr>
          <w:rFonts w:ascii="Arial" w:cs="Arial" w:eastAsia="Arial" w:hAnsi="Arial"/>
          <w:sz w:val="18"/>
          <w:szCs w:val="18"/>
          <w:color w:val="auto"/>
        </w:rPr>
        <w:t>M&amp;T’s common stock is traded under the symbol MTB on the New York Stock Exchange. See cross-reference sheet for disclosures incorporated elsewhere in this Annual Report on Form 10-K for market prices of M&amp;T’s common stock, approximate number of common shareholders at year-end, frequency and amounts of dividends on common stock and restrictions on the payment of dividends.</w:t>
      </w:r>
    </w:p>
    <w:p>
      <w:pPr>
        <w:ind w:right="300" w:firstLine="598"/>
        <w:spacing w:after="0" w:line="256" w:lineRule="auto"/>
        <w:rPr>
          <w:sz w:val="20"/>
          <w:szCs w:val="20"/>
          <w:color w:val="auto"/>
        </w:rPr>
      </w:pPr>
      <w:r>
        <w:rPr>
          <w:rFonts w:ascii="Arial" w:cs="Arial" w:eastAsia="Arial" w:hAnsi="Arial"/>
          <w:sz w:val="20"/>
          <w:szCs w:val="20"/>
          <w:color w:val="auto"/>
        </w:rPr>
        <w:t>During the fourth quarter of 2019, M&amp;T did not issue any shares of its common stock that were not registered under the Securities Act of 1933.</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 Plan Information</w:t>
      </w:r>
    </w:p>
    <w:p>
      <w:pPr>
        <w:spacing w:after="0" w:line="29"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The following table provides information as of December 31, 2019 with respect to shares of common stock that may be issued under M&amp;T’s existing equity compensation plans. M&amp;T’s existing equity compensation plans include the M&amp;T Bank Corporation 2019 Equity Incentive Compensation Plan, which has been previously approved by shareholders, and the M&amp;T Bank Corporation 2008 Directors’ Stock Plan and the M&amp;T Bank Corporation Deferred Bonus Plan, each of which did not require shareholder approval.</w:t>
      </w:r>
    </w:p>
    <w:p>
      <w:pPr>
        <w:spacing w:after="0" w:line="3" w:lineRule="exact"/>
        <w:rPr>
          <w:sz w:val="20"/>
          <w:szCs w:val="20"/>
          <w:color w:val="auto"/>
        </w:rPr>
      </w:pPr>
    </w:p>
    <w:p>
      <w:pPr>
        <w:ind w:right="80" w:firstLine="598"/>
        <w:spacing w:after="0" w:line="250" w:lineRule="auto"/>
        <w:rPr>
          <w:sz w:val="20"/>
          <w:szCs w:val="20"/>
          <w:color w:val="auto"/>
        </w:rPr>
      </w:pPr>
      <w:r>
        <w:rPr>
          <w:rFonts w:ascii="Arial" w:cs="Arial" w:eastAsia="Arial" w:hAnsi="Arial"/>
          <w:sz w:val="20"/>
          <w:szCs w:val="20"/>
          <w:color w:val="auto"/>
        </w:rPr>
        <w:t>The table does not include information with respect to shares of common stock subject to outstanding options and rights assumed by M&amp;T in connection with mergers and acquisitions of the companies that originally granted those options and rights. Footnote (1) to the table sets forth the total number of shares of common stock issuable upon the exercise of such assumed options and rights as of December 31, 2019, and their weighted-average exercise price.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Number of</w:t>
            </w: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5"/>
        </w:trPr>
        <w:tc>
          <w:tcPr>
            <w:tcW w:w="8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Remaining Available</w:t>
            </w:r>
          </w:p>
        </w:tc>
        <w:tc>
          <w:tcPr>
            <w:tcW w:w="0" w:type="dxa"/>
            <w:vAlign w:val="bottom"/>
          </w:tcPr>
          <w:p>
            <w:pPr>
              <w:spacing w:after="0"/>
              <w:rPr>
                <w:sz w:val="1"/>
                <w:szCs w:val="1"/>
                <w:color w:val="auto"/>
              </w:rPr>
            </w:pPr>
          </w:p>
        </w:tc>
      </w:tr>
      <w:tr>
        <w:trPr>
          <w:trHeight w:val="145"/>
        </w:trPr>
        <w:tc>
          <w:tcPr>
            <w:tcW w:w="8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3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6"/>
              </w:rPr>
              <w:t>Securities</w:t>
            </w:r>
          </w:p>
        </w:tc>
        <w:tc>
          <w:tcPr>
            <w:tcW w:w="280" w:type="dxa"/>
            <w:vAlign w:val="bottom"/>
          </w:tcPr>
          <w:p>
            <w:pPr>
              <w:spacing w:after="0"/>
              <w:rPr>
                <w:sz w:val="12"/>
                <w:szCs w:val="12"/>
                <w:color w:val="auto"/>
              </w:rPr>
            </w:pPr>
          </w:p>
        </w:tc>
        <w:tc>
          <w:tcPr>
            <w:tcW w:w="20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9"/>
              </w:rPr>
              <w:t>Weighted-Average</w:t>
            </w:r>
          </w:p>
        </w:tc>
        <w:tc>
          <w:tcPr>
            <w:tcW w:w="22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for Future Issuance</w:t>
            </w:r>
          </w:p>
        </w:tc>
        <w:tc>
          <w:tcPr>
            <w:tcW w:w="0" w:type="dxa"/>
            <w:vAlign w:val="bottom"/>
          </w:tcPr>
          <w:p>
            <w:pPr>
              <w:spacing w:after="0"/>
              <w:rPr>
                <w:sz w:val="1"/>
                <w:szCs w:val="1"/>
                <w:color w:val="auto"/>
              </w:rPr>
            </w:pPr>
          </w:p>
        </w:tc>
      </w:tr>
      <w:tr>
        <w:trPr>
          <w:trHeight w:val="145"/>
        </w:trPr>
        <w:tc>
          <w:tcPr>
            <w:tcW w:w="8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3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8"/>
              </w:rPr>
              <w:t>to be Issued Upon</w:t>
            </w:r>
          </w:p>
        </w:tc>
        <w:tc>
          <w:tcPr>
            <w:tcW w:w="28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2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5"/>
        </w:trPr>
        <w:tc>
          <w:tcPr>
            <w:tcW w:w="8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3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8"/>
              </w:rPr>
              <w:t>Exercise of</w:t>
            </w:r>
          </w:p>
        </w:tc>
        <w:tc>
          <w:tcPr>
            <w:tcW w:w="280" w:type="dxa"/>
            <w:vAlign w:val="bottom"/>
          </w:tcPr>
          <w:p>
            <w:pPr>
              <w:spacing w:after="0"/>
              <w:rPr>
                <w:sz w:val="12"/>
                <w:szCs w:val="12"/>
                <w:color w:val="auto"/>
              </w:rPr>
            </w:pPr>
          </w:p>
        </w:tc>
        <w:tc>
          <w:tcPr>
            <w:tcW w:w="2060" w:type="dxa"/>
            <w:vAlign w:val="bottom"/>
            <w:gridSpan w:val="2"/>
          </w:tcPr>
          <w:p>
            <w:pPr>
              <w:jc w:val="center"/>
              <w:ind w:right="580"/>
              <w:spacing w:after="0" w:line="145" w:lineRule="exact"/>
              <w:rPr>
                <w:sz w:val="20"/>
                <w:szCs w:val="20"/>
                <w:color w:val="auto"/>
              </w:rPr>
            </w:pPr>
            <w:r>
              <w:rPr>
                <w:rFonts w:ascii="Arial" w:cs="Arial" w:eastAsia="Arial" w:hAnsi="Arial"/>
                <w:sz w:val="14"/>
                <w:szCs w:val="14"/>
                <w:b w:val="1"/>
                <w:bCs w:val="1"/>
                <w:color w:val="auto"/>
                <w:w w:val="88"/>
              </w:rPr>
              <w:t>Exercise Price of</w:t>
            </w:r>
          </w:p>
        </w:tc>
        <w:tc>
          <w:tcPr>
            <w:tcW w:w="22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Compensation Plans</w:t>
            </w:r>
          </w:p>
        </w:tc>
        <w:tc>
          <w:tcPr>
            <w:tcW w:w="0" w:type="dxa"/>
            <w:vAlign w:val="bottom"/>
          </w:tcPr>
          <w:p>
            <w:pPr>
              <w:spacing w:after="0"/>
              <w:rPr>
                <w:sz w:val="1"/>
                <w:szCs w:val="1"/>
                <w:color w:val="auto"/>
              </w:rPr>
            </w:pPr>
          </w:p>
        </w:tc>
      </w:tr>
      <w:tr>
        <w:trPr>
          <w:trHeight w:val="145"/>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3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2"/>
                <w:szCs w:val="12"/>
                <w:color w:val="auto"/>
              </w:rPr>
            </w:pPr>
          </w:p>
        </w:tc>
        <w:tc>
          <w:tcPr>
            <w:tcW w:w="2060" w:type="dxa"/>
            <w:vAlign w:val="bottom"/>
            <w:gridSpan w:val="2"/>
          </w:tcPr>
          <w:p>
            <w:pPr>
              <w:jc w:val="center"/>
              <w:ind w:right="560"/>
              <w:spacing w:after="0" w:line="145" w:lineRule="exact"/>
              <w:rPr>
                <w:sz w:val="20"/>
                <w:szCs w:val="20"/>
                <w:color w:val="auto"/>
              </w:rPr>
            </w:pPr>
            <w:r>
              <w:rPr>
                <w:rFonts w:ascii="Arial" w:cs="Arial" w:eastAsia="Arial" w:hAnsi="Arial"/>
                <w:sz w:val="14"/>
                <w:szCs w:val="14"/>
                <w:b w:val="1"/>
                <w:bCs w:val="1"/>
                <w:color w:val="auto"/>
                <w:w w:val="89"/>
              </w:rPr>
              <w:t>Outstanding</w:t>
            </w:r>
          </w:p>
        </w:tc>
        <w:tc>
          <w:tcPr>
            <w:tcW w:w="22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60"/>
        </w:trPr>
        <w:tc>
          <w:tcPr>
            <w:tcW w:w="4520" w:type="dxa"/>
            <w:vAlign w:val="bottom"/>
            <w:gridSpan w:val="2"/>
            <w:vMerge w:val="continue"/>
          </w:tcPr>
          <w:p>
            <w:pPr>
              <w:spacing w:after="0"/>
              <w:rPr>
                <w:sz w:val="13"/>
                <w:szCs w:val="13"/>
                <w:color w:val="auto"/>
              </w:rPr>
            </w:pPr>
          </w:p>
        </w:tc>
        <w:tc>
          <w:tcPr>
            <w:tcW w:w="2360" w:type="dxa"/>
            <w:vAlign w:val="bottom"/>
            <w:gridSpan w:val="2"/>
          </w:tcPr>
          <w:p>
            <w:pPr>
              <w:jc w:val="center"/>
              <w:ind w:right="300"/>
              <w:spacing w:after="0" w:line="154" w:lineRule="exact"/>
              <w:rPr>
                <w:sz w:val="20"/>
                <w:szCs w:val="20"/>
                <w:color w:val="auto"/>
              </w:rPr>
            </w:pPr>
            <w:r>
              <w:rPr>
                <w:rFonts w:ascii="Arial" w:cs="Arial" w:eastAsia="Arial" w:hAnsi="Arial"/>
                <w:sz w:val="14"/>
                <w:szCs w:val="14"/>
                <w:b w:val="1"/>
                <w:bCs w:val="1"/>
                <w:color w:val="auto"/>
                <w:w w:val="89"/>
              </w:rPr>
              <w:t>Options or Rights</w:t>
            </w:r>
          </w:p>
        </w:tc>
        <w:tc>
          <w:tcPr>
            <w:tcW w:w="280" w:type="dxa"/>
            <w:vAlign w:val="bottom"/>
          </w:tcPr>
          <w:p>
            <w:pPr>
              <w:spacing w:after="0"/>
              <w:rPr>
                <w:sz w:val="13"/>
                <w:szCs w:val="13"/>
                <w:color w:val="auto"/>
              </w:rPr>
            </w:pPr>
          </w:p>
        </w:tc>
        <w:tc>
          <w:tcPr>
            <w:tcW w:w="2060" w:type="dxa"/>
            <w:vAlign w:val="bottom"/>
            <w:gridSpan w:val="2"/>
          </w:tcPr>
          <w:p>
            <w:pPr>
              <w:jc w:val="center"/>
              <w:ind w:right="560"/>
              <w:spacing w:after="0" w:line="154" w:lineRule="exact"/>
              <w:rPr>
                <w:sz w:val="20"/>
                <w:szCs w:val="20"/>
                <w:color w:val="auto"/>
              </w:rPr>
            </w:pPr>
            <w:r>
              <w:rPr>
                <w:rFonts w:ascii="Arial" w:cs="Arial" w:eastAsia="Arial" w:hAnsi="Arial"/>
                <w:sz w:val="14"/>
                <w:szCs w:val="14"/>
                <w:b w:val="1"/>
                <w:bCs w:val="1"/>
                <w:color w:val="auto"/>
                <w:w w:val="89"/>
              </w:rPr>
              <w:t>Options or Rights</w:t>
            </w:r>
          </w:p>
        </w:tc>
        <w:tc>
          <w:tcPr>
            <w:tcW w:w="2200" w:type="dxa"/>
            <w:vAlign w:val="bottom"/>
            <w:gridSpan w:val="2"/>
          </w:tcPr>
          <w:p>
            <w:pPr>
              <w:jc w:val="center"/>
              <w:ind w:right="120"/>
              <w:spacing w:after="0" w:line="154" w:lineRule="exact"/>
              <w:rPr>
                <w:sz w:val="20"/>
                <w:szCs w:val="20"/>
                <w:color w:val="auto"/>
              </w:rPr>
            </w:pPr>
            <w:r>
              <w:rPr>
                <w:rFonts w:ascii="Arial" w:cs="Arial" w:eastAsia="Arial" w:hAnsi="Arial"/>
                <w:sz w:val="14"/>
                <w:szCs w:val="14"/>
                <w:b w:val="1"/>
                <w:bCs w:val="1"/>
                <w:color w:val="auto"/>
                <w:w w:val="90"/>
              </w:rPr>
              <w:t>Reflected in Column A)</w:t>
            </w:r>
          </w:p>
        </w:tc>
        <w:tc>
          <w:tcPr>
            <w:tcW w:w="0" w:type="dxa"/>
            <w:vAlign w:val="bottom"/>
          </w:tcPr>
          <w:p>
            <w:pPr>
              <w:spacing w:after="0"/>
              <w:rPr>
                <w:sz w:val="1"/>
                <w:szCs w:val="1"/>
                <w:color w:val="auto"/>
              </w:rPr>
            </w:pPr>
          </w:p>
        </w:tc>
      </w:tr>
      <w:tr>
        <w:trPr>
          <w:trHeight w:val="158"/>
        </w:trPr>
        <w:tc>
          <w:tcPr>
            <w:tcW w:w="860" w:type="dxa"/>
            <w:vAlign w:val="bottom"/>
            <w:tcBorders>
              <w:top w:val="single" w:sz="8" w:color="auto"/>
            </w:tcBorders>
          </w:tcPr>
          <w:p>
            <w:pPr>
              <w:spacing w:after="0"/>
              <w:rPr>
                <w:sz w:val="13"/>
                <w:szCs w:val="13"/>
                <w:color w:val="auto"/>
              </w:rPr>
            </w:pPr>
          </w:p>
        </w:tc>
        <w:tc>
          <w:tcPr>
            <w:tcW w:w="3660" w:type="dxa"/>
            <w:vAlign w:val="bottom"/>
          </w:tcPr>
          <w:p>
            <w:pPr>
              <w:spacing w:after="0"/>
              <w:rPr>
                <w:sz w:val="13"/>
                <w:szCs w:val="13"/>
                <w:color w:val="auto"/>
              </w:rPr>
            </w:pPr>
          </w:p>
        </w:tc>
        <w:tc>
          <w:tcPr>
            <w:tcW w:w="20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(A)</w:t>
            </w:r>
          </w:p>
        </w:tc>
        <w:tc>
          <w:tcPr>
            <w:tcW w:w="2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jc w:val="center"/>
              <w:ind w:right="223"/>
              <w:spacing w:after="0" w:line="158" w:lineRule="exact"/>
              <w:rPr>
                <w:sz w:val="20"/>
                <w:szCs w:val="20"/>
                <w:color w:val="auto"/>
              </w:rPr>
            </w:pPr>
            <w:r>
              <w:rPr>
                <w:rFonts w:ascii="Arial" w:cs="Arial" w:eastAsia="Arial" w:hAnsi="Arial"/>
                <w:sz w:val="14"/>
                <w:szCs w:val="14"/>
                <w:b w:val="1"/>
                <w:bCs w:val="1"/>
                <w:color w:val="auto"/>
                <w:w w:val="92"/>
              </w:rPr>
              <w:t>(B)</w:t>
            </w:r>
          </w:p>
        </w:tc>
        <w:tc>
          <w:tcPr>
            <w:tcW w:w="260" w:type="dxa"/>
            <w:vAlign w:val="bottom"/>
          </w:tcPr>
          <w:p>
            <w:pPr>
              <w:spacing w:after="0"/>
              <w:rPr>
                <w:sz w:val="13"/>
                <w:szCs w:val="13"/>
                <w:color w:val="auto"/>
              </w:rPr>
            </w:pPr>
          </w:p>
        </w:tc>
        <w:tc>
          <w:tcPr>
            <w:tcW w:w="20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(C)</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compensation plans approved</w:t>
            </w:r>
          </w:p>
        </w:tc>
        <w:tc>
          <w:tcPr>
            <w:tcW w:w="2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by security holders</w:t>
            </w: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280,740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174.37</w:t>
            </w:r>
          </w:p>
        </w:tc>
        <w:tc>
          <w:tcPr>
            <w:tcW w:w="26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3,742,478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5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by security holders</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19,426</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88.70</w:t>
            </w:r>
          </w:p>
        </w:tc>
        <w:tc>
          <w:tcPr>
            <w:tcW w:w="260" w:type="dxa"/>
            <w:vAlign w:val="bottom"/>
            <w:tcBorders>
              <w:bottom w:val="single" w:sz="8" w:color="CFF0FC"/>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20" w:type="dxa"/>
            <w:vAlign w:val="bottom"/>
            <w:tcBorders>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300,166</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168.83</w:t>
            </w:r>
          </w:p>
        </w:tc>
        <w:tc>
          <w:tcPr>
            <w:tcW w:w="260" w:type="dxa"/>
            <w:vAlign w:val="bottom"/>
            <w:tcBorders>
              <w:bottom w:val="single" w:sz="8" w:color="CFF0FC"/>
            </w:tcBorders>
            <w:shd w:val="clear" w:color="auto" w:fill="CFF0FC"/>
          </w:tcPr>
          <w:p>
            <w:pPr>
              <w:spacing w:after="0"/>
              <w:rPr>
                <w:sz w:val="18"/>
                <w:szCs w:val="18"/>
                <w:color w:val="auto"/>
              </w:rPr>
            </w:pPr>
          </w:p>
        </w:tc>
        <w:tc>
          <w:tcPr>
            <w:tcW w:w="2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3,756,948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right="120" w:hanging="595"/>
        <w:spacing w:after="0" w:line="252" w:lineRule="auto"/>
        <w:tabs>
          <w:tab w:leader="none" w:pos="60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As of December 31, 2019, a total of 29,755 shares of M&amp;T common stock were issuable upon exercise of outstanding options or rights assumed by M&amp;T in connection with merger and acquisition transactions. The weighted-average exercise price of those outstanding options or rights is $112.79 per common share.</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Equity compensation plans adopted without the approval of shareholders are described below:</w:t>
      </w:r>
    </w:p>
    <w:p>
      <w:pPr>
        <w:spacing w:after="0" w:line="213" w:lineRule="exact"/>
        <w:rPr>
          <w:sz w:val="20"/>
          <w:szCs w:val="20"/>
          <w:color w:val="auto"/>
        </w:rPr>
      </w:pPr>
    </w:p>
    <w:p>
      <w:pPr>
        <w:jc w:val="both"/>
        <w:ind w:right="80" w:firstLine="598"/>
        <w:spacing w:after="0" w:line="283" w:lineRule="auto"/>
        <w:rPr>
          <w:sz w:val="20"/>
          <w:szCs w:val="20"/>
          <w:color w:val="auto"/>
        </w:rPr>
      </w:pPr>
      <w:r>
        <w:rPr>
          <w:rFonts w:ascii="Arial" w:cs="Arial" w:eastAsia="Arial" w:hAnsi="Arial"/>
          <w:sz w:val="19"/>
          <w:szCs w:val="19"/>
          <w:b w:val="1"/>
          <w:bCs w:val="1"/>
          <w:u w:val="single" w:color="auto"/>
          <w:color w:val="auto"/>
        </w:rPr>
        <w:t>2008 Directors’ Stock Plan</w:t>
      </w:r>
      <w:r>
        <w:rPr>
          <w:rFonts w:ascii="Arial" w:cs="Arial" w:eastAsia="Arial" w:hAnsi="Arial"/>
          <w:sz w:val="19"/>
          <w:szCs w:val="19"/>
          <w:b w:val="1"/>
          <w:bCs w:val="1"/>
          <w:color w:val="auto"/>
        </w:rPr>
        <w:t xml:space="preserve">. </w:t>
      </w:r>
      <w:r>
        <w:rPr>
          <w:rFonts w:ascii="Arial" w:cs="Arial" w:eastAsia="Arial" w:hAnsi="Arial"/>
          <w:sz w:val="19"/>
          <w:szCs w:val="19"/>
          <w:color w:val="auto"/>
        </w:rPr>
        <w:t>M&amp;T maintains a plan for non-employee members of the Board of Directors of M&amp;T and the members</w:t>
      </w:r>
      <w:r>
        <w:rPr>
          <w:rFonts w:ascii="Arial" w:cs="Arial" w:eastAsia="Arial" w:hAnsi="Arial"/>
          <w:sz w:val="19"/>
          <w:szCs w:val="19"/>
          <w:b w:val="1"/>
          <w:bCs w:val="1"/>
          <w:color w:val="auto"/>
        </w:rPr>
        <w:t xml:space="preserve"> </w:t>
      </w:r>
      <w:r>
        <w:rPr>
          <w:rFonts w:ascii="Arial" w:cs="Arial" w:eastAsia="Arial" w:hAnsi="Arial"/>
          <w:sz w:val="19"/>
          <w:szCs w:val="19"/>
          <w:color w:val="auto"/>
        </w:rPr>
        <w:t>of its Directors Advisory Council, and the non-employee members of the Board of Directors of M&amp;T Bank, which allows such directors and advisory directors to receive all or a portion of their directorial compensation in shares of M&amp;T common stock.</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5" w:name="page46"/>
    <w:bookmarkEnd w:id="45"/>
    <w:p>
      <w:pPr>
        <w:ind w:right="40" w:firstLine="598"/>
        <w:spacing w:after="0" w:line="290" w:lineRule="auto"/>
        <w:rPr>
          <w:sz w:val="20"/>
          <w:szCs w:val="20"/>
          <w:color w:val="auto"/>
        </w:rPr>
      </w:pPr>
      <w:r>
        <w:rPr>
          <w:rFonts w:ascii="Arial" w:cs="Arial" w:eastAsia="Arial" w:hAnsi="Arial"/>
          <w:sz w:val="18"/>
          <w:szCs w:val="18"/>
          <w:b w:val="1"/>
          <w:bCs w:val="1"/>
          <w:u w:val="single" w:color="auto"/>
          <w:color w:val="auto"/>
        </w:rPr>
        <w:t>Deferred Bonus Plan</w:t>
      </w:r>
      <w:r>
        <w:rPr>
          <w:rFonts w:ascii="Arial" w:cs="Arial" w:eastAsia="Arial" w:hAnsi="Arial"/>
          <w:sz w:val="18"/>
          <w:szCs w:val="18"/>
          <w:b w:val="1"/>
          <w:bCs w:val="1"/>
          <w:color w:val="auto"/>
        </w:rPr>
        <w:t xml:space="preserve">. </w:t>
      </w:r>
      <w:r>
        <w:rPr>
          <w:rFonts w:ascii="Arial" w:cs="Arial" w:eastAsia="Arial" w:hAnsi="Arial"/>
          <w:sz w:val="18"/>
          <w:szCs w:val="18"/>
          <w:color w:val="auto"/>
        </w:rPr>
        <w:t>M&amp;T maintains a deferred bonus plan which was frozen effective January 1, 2010 and did not allow any</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deferrals after that date. Prior to January 1, 2010, the plan allowed eligible officers of M&amp;T and its subsidiaries to elect to defer all or a portion of their annual incentive compensation awards and allocate such awards to several investment options, including M&amp;T common stock. At the time of the deferral election, participants also elected the timing of distributions from the plan. Such distributions are payable in cash, with the exception of balances allocated to M&amp;T common stock which are distributable in the form of shares of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29"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The following graph contains a comparison of the cumulative shareholder return on M&amp;T common stock against the cumulative total returns of the KBW Nasdaq Bank Index, compiled by Keefe, Bruyette &amp; Woods, Inc., and the S&amp;P 500 Index, compiled by Standard &amp; Poor’s Corporation, for the five-year period beginning on December 31, 2014 and ending on December 31, 2019. The KBW Nasdaq Bank Index is a modified market capitalization weighted index consisting of 24 banking stocks representing leading large U.S. national money centers, regional banks and thrift institutions.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Comparison of Five-Year Cumulative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1388110</wp:posOffset>
            </wp:positionH>
            <wp:positionV relativeFrom="paragraph">
              <wp:posOffset>15240</wp:posOffset>
            </wp:positionV>
            <wp:extent cx="4488815" cy="24949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488815" cy="249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Shareholder Value at Year End*</w:t>
      </w:r>
    </w:p>
    <w:p>
      <w:pPr>
        <w:spacing w:after="0" w:line="214" w:lineRule="exact"/>
        <w:rPr>
          <w:sz w:val="20"/>
          <w:szCs w:val="20"/>
          <w:color w:val="auto"/>
        </w:rPr>
      </w:pPr>
    </w:p>
    <w:tbl>
      <w:tblPr>
        <w:tblLayout w:type="fixed"/>
        <w:tblInd w:w="590" w:type="dxa"/>
        <w:tblCellMar>
          <w:top w:w="0" w:type="dxa"/>
          <w:left w:w="0" w:type="dxa"/>
          <w:bottom w:w="0" w:type="dxa"/>
          <w:right w:w="0" w:type="dxa"/>
        </w:tblCellMar>
      </w:tblPr>
      <w:tr>
        <w:trPr>
          <w:trHeight w:val="237"/>
        </w:trPr>
        <w:tc>
          <w:tcPr>
            <w:tcW w:w="436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auto"/>
              <w:right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right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right w:val="single" w:sz="8" w:color="auto"/>
            </w:tcBorders>
          </w:tcPr>
          <w:p>
            <w:pPr>
              <w:spacing w:after="0"/>
              <w:rPr>
                <w:sz w:val="20"/>
                <w:szCs w:val="20"/>
                <w:color w:val="auto"/>
              </w:rPr>
            </w:pPr>
          </w:p>
        </w:tc>
        <w:tc>
          <w:tcPr>
            <w:tcW w:w="980" w:type="dxa"/>
            <w:vAlign w:val="bottom"/>
            <w:tcBorders>
              <w:top w:val="single" w:sz="8" w:color="auto"/>
              <w:bottom w:val="single" w:sz="8" w:color="auto"/>
              <w:right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000" w:type="dxa"/>
            <w:vAlign w:val="bottom"/>
            <w:tcBorders>
              <w:top w:val="single" w:sz="8" w:color="auto"/>
              <w:bottom w:val="single" w:sz="8" w:color="auto"/>
              <w:right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top w:val="single" w:sz="8" w:color="auto"/>
              <w:bottom w:val="single" w:sz="8" w:color="auto"/>
              <w:right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r>
      <w:tr>
        <w:trPr>
          <w:trHeight w:val="216"/>
        </w:trPr>
        <w:tc>
          <w:tcPr>
            <w:tcW w:w="436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M&amp;T Bank Corporation</w:t>
            </w:r>
          </w:p>
        </w:tc>
        <w:tc>
          <w:tcPr>
            <w:tcW w:w="5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right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w w:val="86"/>
              </w:rPr>
              <w:t>100</w:t>
            </w:r>
          </w:p>
        </w:tc>
        <w:tc>
          <w:tcPr>
            <w:tcW w:w="5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right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99</w:t>
            </w:r>
          </w:p>
        </w:tc>
        <w:tc>
          <w:tcPr>
            <w:tcW w:w="5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right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86"/>
              </w:rPr>
              <w:t>130</w:t>
            </w:r>
          </w:p>
        </w:tc>
        <w:tc>
          <w:tcPr>
            <w:tcW w:w="980" w:type="dxa"/>
            <w:vAlign w:val="bottom"/>
            <w:tcBorders>
              <w:bottom w:val="single" w:sz="8" w:color="auto"/>
              <w:right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145</w:t>
            </w:r>
          </w:p>
        </w:tc>
        <w:tc>
          <w:tcPr>
            <w:tcW w:w="1000" w:type="dxa"/>
            <w:vAlign w:val="bottom"/>
            <w:tcBorders>
              <w:bottom w:val="single" w:sz="8" w:color="auto"/>
              <w:right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124</w:t>
            </w:r>
          </w:p>
        </w:tc>
        <w:tc>
          <w:tcPr>
            <w:tcW w:w="1000" w:type="dxa"/>
            <w:vAlign w:val="bottom"/>
            <w:tcBorders>
              <w:bottom w:val="single" w:sz="8" w:color="auto"/>
              <w:right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151</w:t>
            </w:r>
          </w:p>
        </w:tc>
      </w:tr>
      <w:tr>
        <w:trPr>
          <w:trHeight w:val="217"/>
        </w:trPr>
        <w:tc>
          <w:tcPr>
            <w:tcW w:w="4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KBW Nasdaq Bank Index</w:t>
            </w:r>
          </w:p>
        </w:tc>
        <w:tc>
          <w:tcPr>
            <w:tcW w:w="5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w w:val="86"/>
              </w:rPr>
              <w:t>100</w:t>
            </w:r>
          </w:p>
        </w:tc>
        <w:tc>
          <w:tcPr>
            <w:tcW w:w="5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w w:val="86"/>
              </w:rPr>
              <w:t>101</w:t>
            </w:r>
          </w:p>
        </w:tc>
        <w:tc>
          <w:tcPr>
            <w:tcW w:w="5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w w:val="86"/>
              </w:rPr>
              <w:t>129</w:t>
            </w:r>
          </w:p>
        </w:tc>
        <w:tc>
          <w:tcPr>
            <w:tcW w:w="98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rPr>
              <w:t>153</w:t>
            </w:r>
          </w:p>
        </w:tc>
        <w:tc>
          <w:tcPr>
            <w:tcW w:w="100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8"/>
                <w:szCs w:val="18"/>
                <w:color w:val="auto"/>
              </w:rPr>
              <w:t>126</w:t>
            </w:r>
          </w:p>
        </w:tc>
        <w:tc>
          <w:tcPr>
            <w:tcW w:w="100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8"/>
                <w:szCs w:val="18"/>
                <w:color w:val="auto"/>
              </w:rPr>
              <w:t>172</w:t>
            </w:r>
          </w:p>
        </w:tc>
      </w:tr>
      <w:tr>
        <w:trPr>
          <w:trHeight w:val="217"/>
        </w:trPr>
        <w:tc>
          <w:tcPr>
            <w:tcW w:w="436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S&amp;P 500 Index</w:t>
            </w:r>
          </w:p>
        </w:tc>
        <w:tc>
          <w:tcPr>
            <w:tcW w:w="5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right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w w:val="86"/>
              </w:rPr>
              <w:t>100</w:t>
            </w:r>
          </w:p>
        </w:tc>
        <w:tc>
          <w:tcPr>
            <w:tcW w:w="5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right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w w:val="86"/>
              </w:rPr>
              <w:t>101</w:t>
            </w:r>
          </w:p>
        </w:tc>
        <w:tc>
          <w:tcPr>
            <w:tcW w:w="5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right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86"/>
              </w:rPr>
              <w:t>114</w:t>
            </w:r>
          </w:p>
        </w:tc>
        <w:tc>
          <w:tcPr>
            <w:tcW w:w="980" w:type="dxa"/>
            <w:vAlign w:val="bottom"/>
            <w:tcBorders>
              <w:bottom w:val="single" w:sz="8" w:color="auto"/>
              <w:right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138</w:t>
            </w:r>
          </w:p>
        </w:tc>
        <w:tc>
          <w:tcPr>
            <w:tcW w:w="1000" w:type="dxa"/>
            <w:vAlign w:val="bottom"/>
            <w:tcBorders>
              <w:bottom w:val="single" w:sz="8" w:color="auto"/>
              <w:right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132</w:t>
            </w:r>
          </w:p>
        </w:tc>
        <w:tc>
          <w:tcPr>
            <w:tcW w:w="1000" w:type="dxa"/>
            <w:vAlign w:val="bottom"/>
            <w:tcBorders>
              <w:bottom w:val="single" w:sz="8" w:color="auto"/>
              <w:right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ind w:left="40"/>
        <w:spacing w:after="0"/>
        <w:rPr>
          <w:sz w:val="20"/>
          <w:szCs w:val="20"/>
          <w:color w:val="auto"/>
        </w:rPr>
      </w:pPr>
      <w:r>
        <w:rPr>
          <w:rFonts w:ascii="Arial" w:cs="Arial" w:eastAsia="Arial" w:hAnsi="Arial"/>
          <w:sz w:val="20"/>
          <w:szCs w:val="20"/>
          <w:i w:val="1"/>
          <w:iCs w:val="1"/>
          <w:color w:val="auto"/>
        </w:rPr>
        <w:t>* Assumes a $100 investment on December 31, 2014 and reinvestment of all dividends.</w:t>
      </w:r>
    </w:p>
    <w:p>
      <w:pPr>
        <w:spacing w:after="0" w:line="217" w:lineRule="exact"/>
        <w:rPr>
          <w:sz w:val="20"/>
          <w:szCs w:val="20"/>
          <w:color w:val="auto"/>
        </w:rPr>
      </w:pPr>
    </w:p>
    <w:p>
      <w:pPr>
        <w:ind w:right="120" w:firstLine="598"/>
        <w:spacing w:after="0" w:line="256" w:lineRule="auto"/>
        <w:rPr>
          <w:sz w:val="20"/>
          <w:szCs w:val="20"/>
          <w:color w:val="auto"/>
        </w:rPr>
      </w:pPr>
      <w:r>
        <w:rPr>
          <w:rFonts w:ascii="Arial" w:cs="Arial" w:eastAsia="Arial" w:hAnsi="Arial"/>
          <w:sz w:val="20"/>
          <w:szCs w:val="20"/>
          <w:color w:val="auto"/>
        </w:rPr>
        <w:t>In accordance with and to the extent permitted by applicable law or regulation, the information set forth above under the heading “Performance Graph” shall not be incorporated by reference into any future filing under the Securities Act of 1933, as amended (the “Securities Act”), or the Exchange Act and shall not be deemed to be “soliciting material” or to be “filed” with the SEC under the Securities Act or the Exchange Act.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29" w:lineRule="exact"/>
        <w:rPr>
          <w:sz w:val="20"/>
          <w:szCs w:val="20"/>
          <w:color w:val="auto"/>
        </w:rPr>
      </w:pPr>
    </w:p>
    <w:p>
      <w:pPr>
        <w:jc w:val="both"/>
        <w:ind w:right="520"/>
        <w:spacing w:after="0" w:line="246" w:lineRule="auto"/>
        <w:rPr>
          <w:sz w:val="20"/>
          <w:szCs w:val="20"/>
          <w:color w:val="auto"/>
        </w:rPr>
      </w:pPr>
      <w:r>
        <w:rPr>
          <w:rFonts w:ascii="Arial" w:cs="Arial" w:eastAsia="Arial" w:hAnsi="Arial"/>
          <w:sz w:val="20"/>
          <w:szCs w:val="20"/>
          <w:color w:val="auto"/>
        </w:rPr>
        <w:t>On July 17, 2019 M&amp;T’s Board of Directors authorized a new stock repurchase program to repurchase up to $1.635 billion of common shares, including the remaining shares not purchased related to M&amp;T’s 2018 revised capital plan. In total, M&amp;T repurchased 8,257,000 common shares for $1.35 billion during 2019.</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During the fourth quarter of 2019, M&amp;T purchased shares of its common stock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w w:val="88"/>
              </w:rPr>
              <w:t>Issuer Purchases of Equity Securities</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8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(c)Total</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86"/>
              <w:spacing w:after="0" w:line="129" w:lineRule="exact"/>
              <w:rPr>
                <w:sz w:val="20"/>
                <w:szCs w:val="20"/>
                <w:color w:val="auto"/>
              </w:rPr>
            </w:pPr>
            <w:r>
              <w:rPr>
                <w:rFonts w:ascii="Arial" w:cs="Arial" w:eastAsia="Arial" w:hAnsi="Arial"/>
                <w:sz w:val="14"/>
                <w:szCs w:val="14"/>
                <w:b w:val="1"/>
                <w:bCs w:val="1"/>
                <w:color w:val="auto"/>
                <w:w w:val="96"/>
              </w:rPr>
              <w:t>(d)Maximum</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5"/>
              </w:rPr>
              <w:t>Number (or</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Number of</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5"/>
              </w:rPr>
              <w:t>Shares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3"/>
              </w:rPr>
              <w:t>Dollar Value)</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(or Units)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(a)Total</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Purchased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3"/>
              </w:rPr>
              <w:t>(or Units)</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(b)Average</w:t>
            </w: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as Part of</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0"/>
              </w:rPr>
              <w:t>that may yet</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Number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Publicly</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7"/>
              </w:rPr>
              <w:t>be Purchased</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4"/>
              </w:rPr>
              <w:t>of Shares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91"/>
              </w:rPr>
              <w:t>Price Paid</w:t>
            </w: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Announced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Under the</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(or Units)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89"/>
              </w:rPr>
              <w:t>per Share</w:t>
            </w: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Plans or</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0"/>
              </w:rPr>
              <w:t>Plans or</w:t>
            </w:r>
          </w:p>
        </w:tc>
        <w:tc>
          <w:tcPr>
            <w:tcW w:w="0" w:type="dxa"/>
            <w:vAlign w:val="bottom"/>
          </w:tcPr>
          <w:p>
            <w:pPr>
              <w:spacing w:after="0"/>
              <w:rPr>
                <w:sz w:val="1"/>
                <w:szCs w:val="1"/>
                <w:color w:val="auto"/>
              </w:rPr>
            </w:pPr>
          </w:p>
        </w:tc>
      </w:tr>
      <w:tr>
        <w:trPr>
          <w:trHeight w:val="160"/>
        </w:trPr>
        <w:tc>
          <w:tcPr>
            <w:tcW w:w="5580" w:type="dxa"/>
            <w:vAlign w:val="bottom"/>
            <w:gridSpan w:val="3"/>
          </w:tcPr>
          <w:p>
            <w:pPr>
              <w:spacing w:after="0" w:line="154" w:lineRule="exact"/>
              <w:rPr>
                <w:sz w:val="20"/>
                <w:szCs w:val="20"/>
                <w:color w:val="auto"/>
              </w:rPr>
            </w:pPr>
            <w:r>
              <w:rPr>
                <w:rFonts w:ascii="Arial" w:cs="Arial" w:eastAsia="Arial" w:hAnsi="Arial"/>
                <w:sz w:val="14"/>
                <w:szCs w:val="14"/>
                <w:color w:val="auto"/>
              </w:rPr>
              <w:t>Period</w:t>
            </w:r>
          </w:p>
        </w:tc>
        <w:tc>
          <w:tcPr>
            <w:tcW w:w="136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88"/>
              </w:rPr>
              <w:t>Purchased (1)</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500"/>
              <w:spacing w:after="0" w:line="154" w:lineRule="exact"/>
              <w:rPr>
                <w:sz w:val="20"/>
                <w:szCs w:val="20"/>
                <w:color w:val="auto"/>
              </w:rPr>
            </w:pPr>
            <w:r>
              <w:rPr>
                <w:rFonts w:ascii="Arial" w:cs="Arial" w:eastAsia="Arial" w:hAnsi="Arial"/>
                <w:sz w:val="14"/>
                <w:szCs w:val="14"/>
                <w:b w:val="1"/>
                <w:bCs w:val="1"/>
                <w:color w:val="auto"/>
                <w:w w:val="95"/>
              </w:rPr>
              <w:t>(or Unit)</w:t>
            </w:r>
          </w:p>
        </w:tc>
        <w:tc>
          <w:tcPr>
            <w:tcW w:w="98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1"/>
              </w:rPr>
              <w:t>Programs</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300"/>
              <w:spacing w:after="0" w:line="154" w:lineRule="exact"/>
              <w:rPr>
                <w:sz w:val="20"/>
                <w:szCs w:val="20"/>
                <w:color w:val="auto"/>
              </w:rPr>
            </w:pPr>
            <w:r>
              <w:rPr>
                <w:rFonts w:ascii="Arial" w:cs="Arial" w:eastAsia="Arial" w:hAnsi="Arial"/>
                <w:sz w:val="14"/>
                <w:szCs w:val="14"/>
                <w:b w:val="1"/>
                <w:bCs w:val="1"/>
                <w:color w:val="auto"/>
                <w:w w:val="90"/>
              </w:rPr>
              <w:t>Programs (2)</w:t>
            </w:r>
          </w:p>
        </w:tc>
        <w:tc>
          <w:tcPr>
            <w:tcW w:w="0" w:type="dxa"/>
            <w:vAlign w:val="bottom"/>
          </w:tcPr>
          <w:p>
            <w:pPr>
              <w:spacing w:after="0"/>
              <w:rPr>
                <w:sz w:val="1"/>
                <w:szCs w:val="1"/>
                <w:color w:val="auto"/>
              </w:rPr>
            </w:pPr>
          </w:p>
        </w:tc>
      </w:tr>
      <w:tr>
        <w:trPr>
          <w:trHeight w:val="223"/>
        </w:trPr>
        <w:tc>
          <w:tcPr>
            <w:tcW w:w="380" w:type="dxa"/>
            <w:vAlign w:val="bottom"/>
            <w:tcBorders>
              <w:top w:val="single" w:sz="8" w:color="auto"/>
            </w:tcBorders>
          </w:tcPr>
          <w:p>
            <w:pPr>
              <w:spacing w:after="0"/>
              <w:rPr>
                <w:sz w:val="19"/>
                <w:szCs w:val="19"/>
                <w:color w:val="auto"/>
              </w:rPr>
            </w:pPr>
          </w:p>
        </w:tc>
        <w:tc>
          <w:tcPr>
            <w:tcW w:w="4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October 1 - October 31, 2019</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300,009</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155.48</w:t>
            </w: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1,288,394,396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gridSpan w:val="3"/>
          </w:tcPr>
          <w:p>
            <w:pPr>
              <w:spacing w:after="0"/>
              <w:rPr>
                <w:sz w:val="20"/>
                <w:szCs w:val="20"/>
                <w:color w:val="auto"/>
              </w:rPr>
            </w:pPr>
            <w:r>
              <w:rPr>
                <w:rFonts w:ascii="Arial" w:cs="Arial" w:eastAsia="Arial" w:hAnsi="Arial"/>
                <w:sz w:val="18"/>
                <w:szCs w:val="18"/>
                <w:color w:val="auto"/>
              </w:rPr>
              <w:t>November 1 - November 30, 2019</w:t>
            </w:r>
          </w:p>
        </w:tc>
        <w:tc>
          <w:tcPr>
            <w:tcW w:w="1360" w:type="dxa"/>
            <w:vAlign w:val="bottom"/>
          </w:tcPr>
          <w:p>
            <w:pPr>
              <w:jc w:val="right"/>
              <w:spacing w:after="0"/>
              <w:rPr>
                <w:sz w:val="20"/>
                <w:szCs w:val="20"/>
                <w:color w:val="auto"/>
              </w:rPr>
            </w:pPr>
            <w:r>
              <w:rPr>
                <w:rFonts w:ascii="Arial" w:cs="Arial" w:eastAsia="Arial" w:hAnsi="Arial"/>
                <w:sz w:val="18"/>
                <w:szCs w:val="18"/>
                <w:color w:val="auto"/>
              </w:rPr>
              <w:t>604,000</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164.16</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604,000</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9"/>
              </w:rPr>
              <w:t>1,189,240,478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December 1 - December 31, 2019</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820,081</w:t>
            </w:r>
          </w:p>
        </w:tc>
        <w:tc>
          <w:tcPr>
            <w:tcW w:w="3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166.36</w:t>
            </w:r>
          </w:p>
        </w:tc>
        <w:tc>
          <w:tcPr>
            <w:tcW w:w="3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820,000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1,052,827,270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color w:val="auto"/>
              </w:rPr>
              <w:t>1,724,090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163.70</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1,724,000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ind w:left="600" w:right="180" w:hanging="595"/>
        <w:spacing w:after="0" w:line="280" w:lineRule="auto"/>
        <w:tabs>
          <w:tab w:leader="none" w:pos="6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total number of shares purchased during the periods indicated includes shares purchased as part of publicly announced programs and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1" w:lineRule="exact"/>
        <w:rPr>
          <w:rFonts w:ascii="Arial" w:cs="Arial" w:eastAsia="Arial" w:hAnsi="Arial"/>
          <w:sz w:val="18"/>
          <w:szCs w:val="18"/>
          <w:i w:val="1"/>
          <w:iCs w:val="1"/>
          <w:color w:val="auto"/>
        </w:rPr>
      </w:pPr>
    </w:p>
    <w:p>
      <w:pPr>
        <w:ind w:left="600" w:right="680" w:hanging="595"/>
        <w:spacing w:after="0" w:line="294" w:lineRule="auto"/>
        <w:tabs>
          <w:tab w:leader="none" w:pos="600" w:val="left"/>
        </w:tabs>
        <w:numPr>
          <w:ilvl w:val="0"/>
          <w:numId w:val="17"/>
        </w:numPr>
        <w:rPr>
          <w:rFonts w:ascii="Arial" w:cs="Arial" w:eastAsia="Arial" w:hAnsi="Arial"/>
          <w:sz w:val="19"/>
          <w:szCs w:val="19"/>
          <w:i w:val="1"/>
          <w:iCs w:val="1"/>
          <w:color w:val="auto"/>
        </w:rPr>
      </w:pPr>
      <w:r>
        <w:rPr>
          <w:rFonts w:ascii="Arial" w:cs="Arial" w:eastAsia="Arial" w:hAnsi="Arial"/>
          <w:sz w:val="19"/>
          <w:szCs w:val="19"/>
          <w:i w:val="1"/>
          <w:iCs w:val="1"/>
          <w:color w:val="auto"/>
        </w:rPr>
        <w:t>On July 17, 2019 M&amp;T’s Board of Directors authorized a new stock repurchase program to repurchase up to $1.635 billion of common shares, including the remaining shares not purchased related to M&amp;T’s 2018 revised capital plan.</w:t>
      </w:r>
    </w:p>
    <w:p>
      <w:pPr>
        <w:spacing w:after="0" w:line="136"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r>
        <w:rPr>
          <w:rFonts w:ascii="Arial" w:cs="Arial" w:eastAsia="Arial" w:hAnsi="Arial"/>
          <w:sz w:val="17"/>
          <w:szCs w:val="17"/>
          <w:b w:val="1"/>
          <w:bCs w:val="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See cross-reference sheet for disclosures incorporated elsewhere in this Annual Report on Form 10-K.</w:t>
      </w:r>
    </w:p>
    <w:p>
      <w:pPr>
        <w:spacing w:after="0" w:line="213"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Profile</w:t>
      </w:r>
    </w:p>
    <w:p>
      <w:pPr>
        <w:spacing w:after="0" w:line="29"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M&amp;T Bank Corporation (“M&amp;T”) is a bank holding company headquartered in Buffalo, New York with consolidated assets of $119.9 billion at December 31, 2019. The consolidated financial information presented herein reflects M&amp;T and all of its subsidiaries, which are referred to collectively as “the Company.” M&amp;T’s wholly owned bank subsidiaries are Manufacturers and Traders Trust Company (“M&amp;T Bank”) and Wilmington Trust, National Association (“Wilmington Trust, N.A.”).</w:t>
      </w:r>
    </w:p>
    <w:p>
      <w:pPr>
        <w:spacing w:after="0" w:line="3" w:lineRule="exact"/>
        <w:rPr>
          <w:sz w:val="20"/>
          <w:szCs w:val="20"/>
          <w:color w:val="auto"/>
        </w:rPr>
      </w:pPr>
    </w:p>
    <w:p>
      <w:pPr>
        <w:jc w:val="both"/>
        <w:ind w:right="60" w:firstLine="598"/>
        <w:spacing w:after="0" w:line="249" w:lineRule="auto"/>
        <w:rPr>
          <w:sz w:val="20"/>
          <w:szCs w:val="20"/>
          <w:color w:val="auto"/>
        </w:rPr>
      </w:pPr>
      <w:r>
        <w:rPr>
          <w:rFonts w:ascii="Arial" w:cs="Arial" w:eastAsia="Arial" w:hAnsi="Arial"/>
          <w:sz w:val="20"/>
          <w:szCs w:val="20"/>
          <w:color w:val="auto"/>
        </w:rPr>
        <w:t>M&amp;T Bank, with total assets of $119.4 billion at December 31, 2019, is a New York-chartered commercial bank with 731 domestic banking offices in New York State, Maryland, New Jersey, Pennsylvania, Delaware, Connecticut, Virginia, West Virginia and the District of Columbia, a full-service commercial banking office in Ontario, Canada, and an office in the Cayman Islands. M&amp;T Bank and its subsidiaries offer a broad range of financial services to a diverse base of consumers, businesses, professional clients, governmental entities and financial institutions located in their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437" w:right="239" w:bottom="1440" w:gutter="0" w:footer="0" w:header="0"/>
        </w:sectPr>
      </w:pPr>
    </w:p>
    <w:bookmarkStart w:id="47" w:name="page48"/>
    <w:bookmarkEnd w:id="47"/>
    <w:p>
      <w:pPr>
        <w:ind w:right="20"/>
        <w:spacing w:after="0" w:line="262" w:lineRule="auto"/>
        <w:rPr>
          <w:sz w:val="20"/>
          <w:szCs w:val="20"/>
          <w:color w:val="auto"/>
        </w:rPr>
      </w:pPr>
      <w:r>
        <w:rPr>
          <w:rFonts w:ascii="Arial" w:cs="Arial" w:eastAsia="Arial" w:hAnsi="Arial"/>
          <w:sz w:val="19"/>
          <w:szCs w:val="19"/>
          <w:color w:val="auto"/>
        </w:rPr>
        <w:t>markets. Lending is largely focused on consumers residing in the states noted above and on small and medium-size businesses based in those areas, although loans are originated through offices in other states and in Ontario, Canada. Certain lending activities are also conducted in other states through various subsidiaries. Trust and other fiduciary services are offered by M&amp;T Bank and through its wholly owned subsidiary, Wilmington Trust Company. Other subsidiaries of M&amp;T Bank include: M&amp;T Realty Capital Corporation, a multifamily commercial mortgage lender; M&amp;T Securities, Inc., which provides brokerage, investment advisory and insurance services; Wilmington Trust Investment Advisors, Inc., which serves as an investment advisor to the Wilmington Funds, a family of proprietary mutual funds, and other funds and institutional clients; and M&amp;T Insurance Agency, Inc., an insurance agency.</w:t>
      </w:r>
    </w:p>
    <w:p>
      <w:pPr>
        <w:spacing w:after="0" w:line="4" w:lineRule="exact"/>
        <w:rPr>
          <w:sz w:val="20"/>
          <w:szCs w:val="20"/>
          <w:color w:val="auto"/>
        </w:rPr>
      </w:pPr>
    </w:p>
    <w:p>
      <w:pPr>
        <w:ind w:right="440" w:firstLine="598"/>
        <w:spacing w:after="0" w:line="256" w:lineRule="auto"/>
        <w:rPr>
          <w:sz w:val="20"/>
          <w:szCs w:val="20"/>
          <w:color w:val="auto"/>
        </w:rPr>
      </w:pPr>
      <w:r>
        <w:rPr>
          <w:rFonts w:ascii="Arial" w:cs="Arial" w:eastAsia="Arial" w:hAnsi="Arial"/>
          <w:sz w:val="20"/>
          <w:szCs w:val="20"/>
          <w:color w:val="auto"/>
        </w:rPr>
        <w:t>Wilmington Trust, N.A. is a national bank with total assets of $4.7 billion at December 31, 2019. Wilmington Trust, N.A. and its subsidiaries offer various trust and wealth management services.</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2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The Company’s significant accounting policies conform with generally accepted accounting principles (“GAAP”) and are described in note 1 of Notes to Financial Statements. In applying those accounting policies, management of the Company is required to exercise judgment in determining many of the methodologies, assumptions and estimates to be utilized. Certain of the critical accounting estimates are more dependent on such judgment and in some cases may contribute to volatility in the Company’s reported financial performance should the assumptions and estimates used change over time due to changes in circumstances. Some of the more significant areas in which management of the Company applies critical assumptions and estimates include the following:</w:t>
      </w:r>
    </w:p>
    <w:p>
      <w:pPr>
        <w:spacing w:after="0" w:line="4" w:lineRule="exact"/>
        <w:rPr>
          <w:sz w:val="20"/>
          <w:szCs w:val="20"/>
          <w:color w:val="auto"/>
        </w:rPr>
      </w:pPr>
    </w:p>
    <w:p>
      <w:pPr>
        <w:ind w:left="1180" w:hanging="584"/>
        <w:spacing w:after="0" w:line="276"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Accounting for credit losses — The allowance for credit losses represents the amount that in management’s judgment appropriately reflects credit losses inherent in the loan and lease portfolio as of the balance sheet date. A provision for credit losses is recorded to adjust the level of the allowance as deemed necessary by management. In estimating losses inherent in the loan and lease portfolio, assumptions and judgment are applied to measure amounts and timing of expected future cash flows, collateral values and other factors used to determine the borrowers’ abilities to repay obligations. Historical loss trends are also considered, as are economic conditions, industry trends, portfolio trends and borrower-specific financial data. In accounting for loans acquired at a discount that is, in part, attributable to credit quality and which were initially recorded at fair value with no carry-over of an acquired entity’s previously established allowance for credit losses, the cash flows expected at acquisition in excess of estimated fair value have been recognized as interest income over the remaining lives of the loans. Subsequent decreases in the expected cash flows required the Company to evaluate the need for additions to the Company’s allowance for credit losses. Subsequent improvements in expected cash flows resulted first in the recovery of any applicable allowance for credit losses and then in the recognition of additional interest income over the remaining lives of the loans. Changes in the circumstances considered when determining management’s estimates and assumptions could have resulted in changes in those estimates and assumptions, which could have resulted in adjustment of the allowance or, in the case of loans acquired at a discount, increases in interest income. Effective January 1, 2020, the Company adopted amending accounting guidance that impacts how the allowance for credit losses is determined. A discussion of facts and circumstances considered by management in determining the allowance for credit losses, as well as the new accounting guidance, is included herein under the heading “Provision for Credit Losses” and in note 4 of Notes to Financial Statements.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48" w:name="page49"/>
    <w:bookmarkEnd w:id="48"/>
    <w:p>
      <w:pPr>
        <w:ind w:left="1180" w:hanging="584"/>
        <w:spacing w:after="0" w:line="275"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Valuation methodologies — Management of the Company applies various valuation methodologies to assets and liabilities which often involve a significant degree of judgment, particularly when liquid markets do not exist for the particular items being valued. Quoted market prices are referred to when estimating fair values for certain assets, such as trading assets, most investment securities, and residential real estate loans held for sale and related commitments. However, for those items for which an observable liquid market does not exist, management utilizes significant estimates and assumptions to value such items. Examples of these items include loans, deposits, borrowings, goodwill, core deposit and other intangible assets, other assets and liabilities obtained or assumed in business combinations, capitalized servicing assets, pension and other postretirement benefit obligations, estimated residual values of property associated with leases, and certain derivative and other financial instruments. These valuations require the use of various assumptions, including, among others, discount rates, rates of return on assets, repayment rates, cash flows, default rates, costs of servicing and liquidation values. The use of different assumptions could produce significantly different results, which could have material positive or negative effects on the Company’s results of operations, financial condition or disclosures of fair value information. In addition to valuation, the Company must assess whether there are any declines in value below the carrying value of assets that should be considered other than temporary or otherwise require an adjustment in carrying value and recognition of a loss in the consolidated statement of income. Examples include investment securities, other investments, capitalized servicing assets, goodwill and core deposit and other intangible assets, among others. Specific assumptions and estimates utilized by management are discussed in detail herein in management’s discussion and analysis of financial condition and results of operations and in notes 1, 2, 3, 6, 7, 12, 18, 19 and 20 of Notes to Financial Statements.</w:t>
      </w:r>
    </w:p>
    <w:p>
      <w:pPr>
        <w:spacing w:after="0" w:line="5" w:lineRule="exact"/>
        <w:rPr>
          <w:rFonts w:ascii="Arial" w:cs="Arial" w:eastAsia="Arial" w:hAnsi="Arial"/>
          <w:sz w:val="18"/>
          <w:szCs w:val="18"/>
          <w:color w:val="auto"/>
        </w:rPr>
      </w:pPr>
    </w:p>
    <w:p>
      <w:pPr>
        <w:ind w:left="1180" w:right="20" w:hanging="584"/>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Commitments, contingencies and off-balance sheet arrangements — Information regarding the Company’s commitments and contingencies, including guarantees and contingent liabilities arising from litigation, and their potential effects on the Company’s results of operations is included in note 21 of Notes to Financial Statements. In addition, the Company is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tax laws change or the tax authorities determine that management’s assumptions were inappropriate, the result and adjustments required could have a material effect on the Company’s results of operations. Information regarding the Company’s income taxes is presented in note 13 of Notes to Financial Statements. The recognition or de-recognition in the Company’s consolidated financial statements of assets and liabilities held by so-called variable interest entities is subject to the interpretation and application of complex accounting pronouncements or interpretations that require management to estimate and assess the relative significance of the Company’s financial interests in those entities and the degree to which the Company can influence the most important activities of the entities. Information relating to the Company’s involvement in such entities and the accounting treatment afforded each such involvement is included in note 19 of Notes to Financial Statements.</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9"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Net income for the Company in 2019 was $1.93 billion or $13.75 of diluted earnings per common share, up 1% and 8%, respectively, from $1.92 billion or $12.74 of diluted earnings per common share in 2018. Basic earnings per common share also increased 8% to $13.76 in 2019 from $12.75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49" w:name="page50"/>
    <w:bookmarkEnd w:id="49"/>
    <w:p>
      <w:pPr>
        <w:ind w:right="20"/>
        <w:spacing w:after="0" w:line="266" w:lineRule="auto"/>
        <w:rPr>
          <w:sz w:val="20"/>
          <w:szCs w:val="20"/>
          <w:color w:val="auto"/>
        </w:rPr>
      </w:pPr>
      <w:r>
        <w:rPr>
          <w:rFonts w:ascii="Arial" w:cs="Arial" w:eastAsia="Arial" w:hAnsi="Arial"/>
          <w:sz w:val="19"/>
          <w:szCs w:val="19"/>
          <w:color w:val="auto"/>
        </w:rPr>
        <w:t>2018. Net income in 2017 totaled $1.41 billion, while diluted and basic earnings per common share were $8.70 and $8.72, respectively. Expressed as a rate of return on average assets, net income in 2019 was 1.61%, compared with 1.64% in 2018 and 1.17% in 2017. The return on average common shareholders’ equity was 12.87% in 2019, 12.82% in 2018 and 8.87% in 2017.</w:t>
      </w:r>
    </w:p>
    <w:p>
      <w:pPr>
        <w:spacing w:after="0" w:line="1" w:lineRule="exact"/>
        <w:rPr>
          <w:sz w:val="20"/>
          <w:szCs w:val="20"/>
          <w:color w:val="auto"/>
        </w:rPr>
      </w:pPr>
    </w:p>
    <w:p>
      <w:pPr>
        <w:ind w:right="20" w:firstLine="598"/>
        <w:spacing w:after="0" w:line="246" w:lineRule="auto"/>
        <w:rPr>
          <w:sz w:val="20"/>
          <w:szCs w:val="20"/>
          <w:color w:val="auto"/>
        </w:rPr>
      </w:pPr>
      <w:r>
        <w:rPr>
          <w:rFonts w:ascii="Arial" w:cs="Arial" w:eastAsia="Arial" w:hAnsi="Arial"/>
          <w:sz w:val="20"/>
          <w:szCs w:val="20"/>
          <w:color w:val="auto"/>
        </w:rPr>
        <w:t>There were several notable matters during 2019 that impacted the Company’s financial results. In the first quarter of 2019, the Company recognized an expense of $50 million (reflected in “other costs of operations”) to increase its reserve for legal matters associated with a subsidiary’s role as trustee of Employee Stock Ownership Plans in its Institutional Client Services business. That expense, on an after-tax basis, reduced net income by $37 million, or $.27 of diluted earnings per common share. Also during that quarter, M&amp;T realized $37 million of income from Bayview Lending Group LLC (“BLG”), increasing net income by $28 million, or $.20 of diluted earnings per common share.</w:t>
      </w:r>
    </w:p>
    <w:p>
      <w:pPr>
        <w:spacing w:after="0" w:line="5"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In July 2019, M&amp;T agreed to sell its non-controlling interest in an asset manager obtained in the 2011 acquisition of Wilmington Trust Corporation (“WT Corp.”), that had been accounted for using the equity method of accounting and, as a result, as of June 30, 2019 recorded a $48 million charge (reflected in “other costs of operations”) to reduce the carrying value of the investment to its estimated net realizable value. Similar to other active investment managers, the investee entity had experienced a decrease in assets under management and during the second quarter of 2019 the entity’s chief executive and investment officer announced his retirement. Following that announcement, successor management submitted a proposal to M&amp;T to restructure the organization of the entity. The after-tax impact of the charge was a reduction in net income of $36 million, or $.27 of diluted earnings per common share. The sale of M&amp;T’s interest in the asset manager was effective September 30, 2019.</w:t>
      </w:r>
    </w:p>
    <w:p>
      <w:pPr>
        <w:spacing w:after="0" w:line="6" w:lineRule="exact"/>
        <w:rPr>
          <w:sz w:val="20"/>
          <w:szCs w:val="20"/>
          <w:color w:val="auto"/>
        </w:rPr>
      </w:pPr>
    </w:p>
    <w:p>
      <w:pPr>
        <w:ind w:right="100" w:firstLine="598"/>
        <w:spacing w:after="0" w:line="274" w:lineRule="auto"/>
        <w:rPr>
          <w:sz w:val="20"/>
          <w:szCs w:val="20"/>
          <w:color w:val="auto"/>
        </w:rPr>
      </w:pPr>
      <w:r>
        <w:rPr>
          <w:rFonts w:ascii="Arial" w:cs="Arial" w:eastAsia="Arial" w:hAnsi="Arial"/>
          <w:sz w:val="18"/>
          <w:szCs w:val="18"/>
          <w:color w:val="auto"/>
        </w:rPr>
        <w:t>Effective January 1, 2019, the Company adopted new accounting guidance for leases. The new guidance requires lessees to record a right-of-use asset and a lease liability for all operating leases with a term greater than twelve months. The accounting applied by lessors is largely unchanged, however, the guidance eliminates the accounting model for leveraged leases that commenced after December 31,</w:t>
      </w:r>
    </w:p>
    <w:p>
      <w:pPr>
        <w:spacing w:after="0" w:line="1"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2018. The Company occupies certain banking offices and uses certain equipment under noncancelable operating lease agreements which, prior to January 1, 2019, were not reflected in its consolidated balance sheet. As of January 1, 2019, the Company recorded right-of-use assets of $394 million and increased lease liabilities of $399 million in its consolidated balance sheet. The adoption of the new guidance did not have a material impact on the consolidated statement of income during 2019. For additional information on leases, see notes 3 and 5 of Notes to Financial Statements.</w:t>
      </w:r>
    </w:p>
    <w:p>
      <w:pPr>
        <w:spacing w:after="0" w:line="4"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There were also several notable items in 2018. The Company adopted amended accounting guidance in the first quarter of 2018 to separately report equity securities at fair value on the consolidated balance sheet (which were previously reported as investment securities available for sale) with changes in fair value recognized in the consolidated statement of income rather than through other comprehensive income. Net unrealized gains on investments in equity securities in 2019 totaled $18 million, compared with net unrealized losses in 2018 of $6 million. As of March 31, 2018, the Company increased its reserve for legal matters by $135 million in anticipation of the settlement of a civil litigation matter by WT Corp. that related to periods prior to the acquisition of WT Corp. by M&amp;T. The increase, on an after-tax basis, reduced net income by $102 million or $.71 of diluted earnings per common share in 2018. That matter received final court approval and was settled in 2018. Income tax expense in 2019 and 2018 reflects the reduction of the corporate Federal income tax rate from 35% to 21% by the Tax Cuts and Jobs Act (“the Tax Act”) that was enacted on December 22, 2017. In December 2018, M&amp;T received approval from the Internal Revenue Service to change its tax return treatment for certain loan fees retroactive to 2017. Given the reduction in Federal income tax rates resulting from the Tax Act, that change in treatment resulted in a</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50" w:name="page51"/>
    <w:bookmarkEnd w:id="50"/>
    <w:p>
      <w:pPr>
        <w:ind w:right="160"/>
        <w:spacing w:after="0" w:line="253" w:lineRule="auto"/>
        <w:rPr>
          <w:sz w:val="20"/>
          <w:szCs w:val="20"/>
          <w:color w:val="auto"/>
        </w:rPr>
      </w:pPr>
      <w:r>
        <w:rPr>
          <w:rFonts w:ascii="Arial" w:cs="Arial" w:eastAsia="Arial" w:hAnsi="Arial"/>
          <w:sz w:val="20"/>
          <w:szCs w:val="20"/>
          <w:color w:val="auto"/>
        </w:rPr>
        <w:t>$15 million reduction of income tax expense in 2018’s fourth quarter. Following receipt of the approval, the Company increased its contribution to The M&amp;T Charitable Foundation in 2018’s fourth quarter to $20 million that, after applicable tax effect, reduced net income by $15 million.</w:t>
      </w:r>
    </w:p>
    <w:p>
      <w:pPr>
        <w:ind w:right="40" w:firstLine="598"/>
        <w:spacing w:after="0" w:line="274" w:lineRule="auto"/>
        <w:rPr>
          <w:sz w:val="20"/>
          <w:szCs w:val="20"/>
          <w:color w:val="auto"/>
        </w:rPr>
      </w:pPr>
      <w:r>
        <w:rPr>
          <w:rFonts w:ascii="Arial" w:cs="Arial" w:eastAsia="Arial" w:hAnsi="Arial"/>
          <w:sz w:val="18"/>
          <w:szCs w:val="18"/>
          <w:color w:val="auto"/>
        </w:rPr>
        <w:t>During 2017, M&amp;T adopted new accounting guidance for share-based transactions. That guidance requires that all excess tax benefits and tax deficiencies associated with share-based compensation be recognized in income tax expense in the income statement. Previously, tax effects resulting from changes in M&amp;T’s share price subsequent to the grant date were recorded through shareholders’ equity at the time of vesting or exercise. The adoption of the amended accounting guidance resulted in a $22 million reduction of income tax expense in 2017, or $.15 of diluted earnings per common share. Similarly, income tax expense in 2019 and 2018 was reduced by $2 million, or $.02 of diluted earnings per common share, and $9 million, or $.06 of diluted earnings per common share, respectively.</w:t>
      </w:r>
    </w:p>
    <w:p>
      <w:pPr>
        <w:spacing w:after="0" w:line="1"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On October 9, 2017, WT Corp. reached an agreement with the U.S. Attorney’s Office for the District of Delaware related to alleged conduct that took place between 2009 and 2010 prior to the acquisition of WT Corp. by M&amp;T. The result was a payment of $44 million that was not deductible for income tax purposes. WT Corp. did not admit any liability. As of September 30, 2017, the Company increased the reserve for legal matters by $50 million. That increase, coupled with the non-deductible nature of the $44 million payment, reduced net income in 2017 by $48 million, or $.31 of diluted earnings per common share. As noted, the Tax Act enacted in December 2017 reduced the Federal income tax rate and made other changes to U.S. corporate income tax laws. GAAP requires that the impact of the provisions of the Tax Act be accounted for in the period of enactment. Accordingly, the incremental income tax expense recorded by the Company in the fourth quarter of 2017 related to the Tax Act was $85 million, representing $.56 of diluted earnings per common share. The additional expense was largely attributable to the reduction in carrying value of net deferred tax assets reflecting lower future tax benefits resulting from the lower corporate tax rate.</w:t>
      </w:r>
    </w:p>
    <w:p>
      <w:pPr>
        <w:spacing w:after="0" w:line="8" w:lineRule="exact"/>
        <w:rPr>
          <w:sz w:val="20"/>
          <w:szCs w:val="20"/>
          <w:color w:val="auto"/>
        </w:rPr>
      </w:pPr>
    </w:p>
    <w:p>
      <w:pPr>
        <w:ind w:right="260" w:firstLine="598"/>
        <w:spacing w:after="0" w:line="246" w:lineRule="auto"/>
        <w:rPr>
          <w:sz w:val="20"/>
          <w:szCs w:val="20"/>
          <w:color w:val="auto"/>
        </w:rPr>
      </w:pPr>
      <w:r>
        <w:rPr>
          <w:rFonts w:ascii="Arial" w:cs="Arial" w:eastAsia="Arial" w:hAnsi="Arial"/>
          <w:sz w:val="20"/>
          <w:szCs w:val="20"/>
          <w:color w:val="auto"/>
        </w:rPr>
        <w:t>During the fourth quarter of 2017, the Company realized after-tax gains from sales of investment securities of $14 million ($21 million pre-tax) that added $.09 to diluted earnings per common share. The Company increased its contribution to The M&amp;T Charitable Foundation by $44 million in the final 2017 quarter, bringing total charitable contributions for all of 2017 to $50 million, thereby reducing net income by $30 million, or $.20 of diluted earnings per common share.</w:t>
      </w:r>
    </w:p>
    <w:p>
      <w:pPr>
        <w:spacing w:after="0" w:line="3" w:lineRule="exact"/>
        <w:rPr>
          <w:sz w:val="20"/>
          <w:szCs w:val="20"/>
          <w:color w:val="auto"/>
        </w:rPr>
      </w:pPr>
    </w:p>
    <w:p>
      <w:pPr>
        <w:ind w:right="180" w:firstLine="598"/>
        <w:spacing w:after="0" w:line="274" w:lineRule="auto"/>
        <w:rPr>
          <w:sz w:val="20"/>
          <w:szCs w:val="20"/>
          <w:color w:val="auto"/>
        </w:rPr>
      </w:pPr>
      <w:r>
        <w:rPr>
          <w:rFonts w:ascii="Arial" w:cs="Arial" w:eastAsia="Arial" w:hAnsi="Arial"/>
          <w:sz w:val="18"/>
          <w:szCs w:val="18"/>
          <w:color w:val="auto"/>
        </w:rPr>
        <w:t>Taxable-equivalent net interest income was $4.15 billion in 2019, 1% higher than $4.09 billion in 2018. That improvement resulted from an increase in average earning assets to $108.2 billion in 2019 from $106.8 billion in 2018 and a slight expansion of the net interest margin, or taxable-equivalent net interest income expressed as an annualized percentage of average earning assets, to 3.84% in 2019 from 3.83% in 2018. Taxable-equivalent net interest income rose 7% in 2018 from $3.82 billion in 2017. That improvement resulted predominantly from a 36 basis point (hundredths of one percent) widening of the net interest margin in 2018 from 3.47% in 2017. Partially offsetting the impact of the expanded net interest margin was a 3% decline in average earning assets in 2018 from $110.0 billion in 2017.</w:t>
      </w:r>
    </w:p>
    <w:p>
      <w:pPr>
        <w:spacing w:after="0" w:line="1" w:lineRule="exact"/>
        <w:rPr>
          <w:sz w:val="20"/>
          <w:szCs w:val="20"/>
          <w:color w:val="auto"/>
        </w:rPr>
      </w:pPr>
    </w:p>
    <w:p>
      <w:pPr>
        <w:ind w:right="300" w:firstLine="598"/>
        <w:spacing w:after="0" w:line="246" w:lineRule="auto"/>
        <w:rPr>
          <w:sz w:val="20"/>
          <w:szCs w:val="20"/>
          <w:color w:val="auto"/>
        </w:rPr>
      </w:pPr>
      <w:r>
        <w:rPr>
          <w:rFonts w:ascii="Arial" w:cs="Arial" w:eastAsia="Arial" w:hAnsi="Arial"/>
          <w:sz w:val="20"/>
          <w:szCs w:val="20"/>
          <w:color w:val="auto"/>
        </w:rPr>
        <w:t>The provision for credit losses increased 33% to $176 million in 2019 from $132 million in 2018. The provision in 2017 was $168 million. Net charge-offs in 2019, 2018 and 2017 were $144 million, $130 million and $140 million, respectively.</w:t>
      </w:r>
    </w:p>
    <w:p>
      <w:pPr>
        <w:spacing w:after="0" w:line="2" w:lineRule="exact"/>
        <w:rPr>
          <w:sz w:val="20"/>
          <w:szCs w:val="20"/>
          <w:color w:val="auto"/>
        </w:rPr>
      </w:pPr>
    </w:p>
    <w:p>
      <w:pPr>
        <w:ind w:right="20" w:firstLine="598"/>
        <w:spacing w:after="0" w:line="246" w:lineRule="auto"/>
        <w:rPr>
          <w:sz w:val="20"/>
          <w:szCs w:val="20"/>
          <w:color w:val="auto"/>
        </w:rPr>
      </w:pPr>
      <w:r>
        <w:rPr>
          <w:rFonts w:ascii="Arial" w:cs="Arial" w:eastAsia="Arial" w:hAnsi="Arial"/>
          <w:sz w:val="20"/>
          <w:szCs w:val="20"/>
          <w:color w:val="auto"/>
        </w:rPr>
        <w:t>Other income aggregated $2.06 billion and $1.86 billion in 2019 and 2018, respectively, compared with $1.85 billion in 2017. As compared with 2018, growth in 2019 was experienced in most major sources of noninterest income, led by higher residential and commercial mortgage banking revenues and trust income. Comparing 2018 to 2017, higher trust income and income from BLG in 2018 were partially offset by the impact of gains on investment securities during 2017.</w:t>
      </w:r>
    </w:p>
    <w:p>
      <w:pPr>
        <w:spacing w:after="0" w:line="3" w:lineRule="exact"/>
        <w:rPr>
          <w:sz w:val="20"/>
          <w:szCs w:val="20"/>
          <w:color w:val="auto"/>
        </w:rPr>
      </w:pPr>
    </w:p>
    <w:p>
      <w:pPr>
        <w:ind w:firstLine="598"/>
        <w:spacing w:after="0" w:line="256" w:lineRule="auto"/>
        <w:rPr>
          <w:sz w:val="20"/>
          <w:szCs w:val="20"/>
          <w:color w:val="auto"/>
        </w:rPr>
      </w:pPr>
      <w:r>
        <w:rPr>
          <w:rFonts w:ascii="Arial" w:cs="Arial" w:eastAsia="Arial" w:hAnsi="Arial"/>
          <w:sz w:val="20"/>
          <w:szCs w:val="20"/>
          <w:color w:val="auto"/>
        </w:rPr>
        <w:t>Other expense increased 5% to $3.47 billion in 2019 from $3.29 billion in 2018. Other expense in 2017 totaled $3.14 billion. Included in those amounts are expenses considered by M&amp;T to be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1" w:name="page52"/>
    <w:bookmarkEnd w:id="51"/>
    <w:p>
      <w:pPr>
        <w:spacing w:after="0" w:line="261" w:lineRule="auto"/>
        <w:rPr>
          <w:sz w:val="20"/>
          <w:szCs w:val="20"/>
          <w:color w:val="auto"/>
        </w:rPr>
      </w:pPr>
      <w:r>
        <w:rPr>
          <w:rFonts w:ascii="Arial" w:cs="Arial" w:eastAsia="Arial" w:hAnsi="Arial"/>
          <w:sz w:val="19"/>
          <w:szCs w:val="19"/>
          <w:color w:val="auto"/>
        </w:rPr>
        <w:t>“nonoperating” in nature, consisting of amortization of core deposit and other intangible assets of $19 million, $25 million and $31 million in 2019, 2018 and 2017, respectively. Exclusive of those nonoperating expenses, noninterest operating expenses totaled $3.45 billion in 2019, compared with $3.26 billion in 2018 and $3.11 billion in 2017. The higher level of such expenses in 2019 as compared with 2018 resulted from increased costs for salaries and employee benefits, equipment and net occupancy, outside data processing and software, and professional services, and the $48 million charge associated with the sale of an equity investment in an asset manager. Those factors were partially offset by lower costs associated with legal-related matters and contributions to The M&amp;T Charitable Foundation, and a decline in FDIC assessments. The increase in noninterest operating expenses in 2018 as compared with 2017 was largely due to higher costs for salaries and employee benefits, professional services, and increases to the reserve for legal matters, partially offset by lower FDIC assessments and contributions to The M&amp;T Charitable Foundation.</w:t>
      </w:r>
    </w:p>
    <w:p>
      <w:pPr>
        <w:spacing w:after="0" w:line="8" w:lineRule="exact"/>
        <w:rPr>
          <w:sz w:val="20"/>
          <w:szCs w:val="20"/>
          <w:color w:val="auto"/>
        </w:rPr>
      </w:pPr>
    </w:p>
    <w:p>
      <w:pPr>
        <w:ind w:right="160" w:firstLine="598"/>
        <w:spacing w:after="0" w:line="246" w:lineRule="auto"/>
        <w:rPr>
          <w:sz w:val="20"/>
          <w:szCs w:val="20"/>
          <w:color w:val="auto"/>
        </w:rPr>
      </w:pPr>
      <w:r>
        <w:rPr>
          <w:rFonts w:ascii="Arial" w:cs="Arial" w:eastAsia="Arial" w:hAnsi="Arial"/>
          <w:sz w:val="20"/>
          <w:szCs w:val="20"/>
          <w:color w:val="auto"/>
        </w:rPr>
        <w:t>The efficiency ratio measures the relationship of noninterest operating expenses to revenues. The Company’s efficiency ratio, or noninterest operating expenses (as previously defined) divided by the sum of taxable-equivalent net interest income and noninterest income (exclusive of gains and losses from bank investment securities), was 55.7% in 2019, compared with 54.8% and 55.1% in 2018 and 2017, respectively. The calculations of the efficiency ratio are presented in table 2.</w:t>
      </w:r>
    </w:p>
    <w:p>
      <w:pPr>
        <w:spacing w:after="0" w:line="3" w:lineRule="exact"/>
        <w:rPr>
          <w:sz w:val="20"/>
          <w:szCs w:val="20"/>
          <w:color w:val="auto"/>
        </w:rPr>
      </w:pPr>
    </w:p>
    <w:p>
      <w:pPr>
        <w:ind w:right="260" w:firstLine="598"/>
        <w:spacing w:after="0" w:line="246" w:lineRule="auto"/>
        <w:rPr>
          <w:sz w:val="20"/>
          <w:szCs w:val="20"/>
          <w:color w:val="auto"/>
        </w:rPr>
      </w:pPr>
      <w:r>
        <w:rPr>
          <w:rFonts w:ascii="Arial" w:cs="Arial" w:eastAsia="Arial" w:hAnsi="Arial"/>
          <w:sz w:val="20"/>
          <w:szCs w:val="20"/>
          <w:color w:val="auto"/>
        </w:rPr>
        <w:t>The Company’s effective tax rate was 24.3%, 23.5% and 39.4% in 2019, 2018 and 2017, respectively. The lower rates in 2019 and 2018 reflect the reduction of the corporate Federal income tax rate from 35% to 21% as of January 1, 2018.</w:t>
      </w:r>
    </w:p>
    <w:p>
      <w:pPr>
        <w:spacing w:after="0" w:line="2" w:lineRule="exact"/>
        <w:rPr>
          <w:sz w:val="20"/>
          <w:szCs w:val="20"/>
          <w:color w:val="auto"/>
        </w:rPr>
      </w:pPr>
    </w:p>
    <w:p>
      <w:pPr>
        <w:ind w:right="20" w:firstLine="598"/>
        <w:spacing w:after="0" w:line="261" w:lineRule="auto"/>
        <w:rPr>
          <w:sz w:val="20"/>
          <w:szCs w:val="20"/>
          <w:color w:val="auto"/>
        </w:rPr>
      </w:pPr>
      <w:r>
        <w:rPr>
          <w:rFonts w:ascii="Arial" w:cs="Arial" w:eastAsia="Arial" w:hAnsi="Arial"/>
          <w:sz w:val="19"/>
          <w:szCs w:val="19"/>
          <w:color w:val="auto"/>
        </w:rPr>
        <w:t>On June 27, 2019, M&amp;T announced its 2019 Capital Plan, which covers the four-quarter period that began on July 1, 2019. The 2019 Capital Plan, which was reviewed and approved by M&amp;T’s Board of Directors, reflects capital distributions within the amount that M&amp;T can make over the specified period based on the prior approval of the Board of Governors of the Federal Reserve System. M&amp;T’s 2019 Capital Plan reflects net capital distributions of approximately $1.9 billion, which include common and preferred stock dividends as well as repurchases of M&amp;T’s common stock. M&amp;T’s Board of Directors may consider an increase in the common stock dividend, at its discretion, during the four-quarter period. All dividends are subject to declaration by M&amp;T’s Board of Directors. In July 2019, M&amp;T’s Board of Directors authorized a new stock repurchase plan to repurchase up to $1.635 billion of shares of M&amp;T’s common stock subject to all applicable regulatory limitations. In accordance with that repurchase plan, M&amp;T repurchased 3,657,000 shares of its common stock at a total cost of $582 million in the second half of 2019. In the aggregate, M&amp;T repurchased 8,257,000 shares of its common stock at a total cost of $1.35 billion during 2019. The dollar amount and number of common shares repurchased were $2.2 billion and 12,295,817, respectively, in 2018 and $1.2 billion and 7,369,105, respectively, in 2017. During 2019’s fourth quarter, M&amp;T increased the quarterly common stock cash dividend by $.10 to $1.10 per share.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2" w:name="page53"/>
    <w:bookmarkEnd w:id="52"/>
    <w:p>
      <w:pPr>
        <w:spacing w:after="0"/>
        <w:rPr>
          <w:sz w:val="20"/>
          <w:szCs w:val="20"/>
          <w:color w:val="auto"/>
        </w:rPr>
      </w:pPr>
      <w:r>
        <w:rPr>
          <w:rFonts w:ascii="Arial" w:cs="Arial" w:eastAsia="Arial" w:hAnsi="Arial"/>
          <w:sz w:val="20"/>
          <w:szCs w:val="20"/>
          <w:b w:val="1"/>
          <w:bCs w:val="1"/>
          <w:color w:val="auto"/>
        </w:rPr>
        <w:t>Table 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EARNINGS SUMMARY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2060" w:type="dxa"/>
            <w:vAlign w:val="bottom"/>
            <w:gridSpan w:val="7"/>
            <w:vMerge w:val="restart"/>
          </w:tcPr>
          <w:p>
            <w:pPr>
              <w:jc w:val="right"/>
              <w:ind w:right="520"/>
              <w:spacing w:after="0"/>
              <w:rPr>
                <w:sz w:val="20"/>
                <w:szCs w:val="20"/>
                <w:color w:val="auto"/>
              </w:rPr>
            </w:pPr>
            <w:r>
              <w:rPr>
                <w:rFonts w:ascii="Arial" w:cs="Arial" w:eastAsia="Arial" w:hAnsi="Arial"/>
                <w:sz w:val="14"/>
                <w:szCs w:val="14"/>
                <w:b w:val="1"/>
                <w:bCs w:val="1"/>
                <w:color w:val="auto"/>
              </w:rPr>
              <w:t>Increase (Decrease)(a)</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Compound</w:t>
            </w:r>
          </w:p>
        </w:tc>
        <w:tc>
          <w:tcPr>
            <w:tcW w:w="0" w:type="dxa"/>
            <w:vAlign w:val="bottom"/>
          </w:tcPr>
          <w:p>
            <w:pPr>
              <w:spacing w:after="0"/>
              <w:rPr>
                <w:sz w:val="1"/>
                <w:szCs w:val="1"/>
                <w:color w:val="auto"/>
              </w:rPr>
            </w:pPr>
          </w:p>
        </w:tc>
      </w:tr>
      <w:tr>
        <w:trPr>
          <w:trHeight w:val="167"/>
        </w:trPr>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Growth Rate</w:t>
            </w:r>
          </w:p>
        </w:tc>
        <w:tc>
          <w:tcPr>
            <w:tcW w:w="0" w:type="dxa"/>
            <w:vAlign w:val="bottom"/>
          </w:tcPr>
          <w:p>
            <w:pPr>
              <w:spacing w:after="0"/>
              <w:rPr>
                <w:sz w:val="1"/>
                <w:szCs w:val="1"/>
                <w:color w:val="auto"/>
              </w:rPr>
            </w:pPr>
          </w:p>
        </w:tc>
      </w:tr>
      <w:tr>
        <w:trPr>
          <w:trHeight w:val="151"/>
        </w:trPr>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110"/>
              <w:spacing w:after="0" w:line="151" w:lineRule="exact"/>
              <w:rPr>
                <w:sz w:val="20"/>
                <w:szCs w:val="20"/>
                <w:color w:val="auto"/>
              </w:rPr>
            </w:pPr>
            <w:r>
              <w:rPr>
                <w:rFonts w:ascii="Arial" w:cs="Arial" w:eastAsia="Arial" w:hAnsi="Arial"/>
                <w:sz w:val="14"/>
                <w:szCs w:val="14"/>
                <w:b w:val="1"/>
                <w:bCs w:val="1"/>
                <w:color w:val="auto"/>
                <w:w w:val="98"/>
              </w:rPr>
              <w:t>2018 to 2019</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130"/>
              <w:spacing w:after="0" w:line="151" w:lineRule="exact"/>
              <w:rPr>
                <w:sz w:val="20"/>
                <w:szCs w:val="20"/>
                <w:color w:val="auto"/>
              </w:rPr>
            </w:pPr>
            <w:r>
              <w:rPr>
                <w:rFonts w:ascii="Arial" w:cs="Arial" w:eastAsia="Arial" w:hAnsi="Arial"/>
                <w:sz w:val="14"/>
                <w:szCs w:val="14"/>
                <w:b w:val="1"/>
                <w:bCs w:val="1"/>
                <w:color w:val="auto"/>
                <w:w w:val="93"/>
              </w:rPr>
              <w:t>2017 to 2018</w:t>
            </w:r>
          </w:p>
        </w:tc>
        <w:tc>
          <w:tcPr>
            <w:tcW w:w="1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60"/>
              <w:spacing w:after="0" w:line="151" w:lineRule="exact"/>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51"/>
        </w:trPr>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
              <w:spacing w:after="0" w:line="151" w:lineRule="exact"/>
              <w:rPr>
                <w:sz w:val="20"/>
                <w:szCs w:val="20"/>
                <w:color w:val="auto"/>
              </w:rPr>
            </w:pPr>
            <w:r>
              <w:rPr>
                <w:rFonts w:ascii="Arial" w:cs="Arial" w:eastAsia="Arial" w:hAnsi="Arial"/>
                <w:sz w:val="14"/>
                <w:szCs w:val="14"/>
                <w:b w:val="1"/>
                <w:bCs w:val="1"/>
                <w:color w:val="auto"/>
                <w:w w:val="86"/>
              </w:rPr>
              <w:t>Amount</w:t>
            </w:r>
          </w:p>
        </w:tc>
        <w:tc>
          <w:tcPr>
            <w:tcW w:w="200" w:type="dxa"/>
            <w:vAlign w:val="bottom"/>
          </w:tcPr>
          <w:p>
            <w:pPr>
              <w:spacing w:after="0"/>
              <w:rPr>
                <w:sz w:val="13"/>
                <w:szCs w:val="13"/>
                <w:color w:val="auto"/>
              </w:rPr>
            </w:pPr>
          </w:p>
        </w:tc>
        <w:tc>
          <w:tcPr>
            <w:tcW w:w="2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640" w:type="dxa"/>
            <w:vAlign w:val="bottom"/>
            <w:tcBorders>
              <w:bottom w:val="single" w:sz="8" w:color="auto"/>
            </w:tcBorders>
            <w:gridSpan w:val="2"/>
          </w:tcPr>
          <w:p>
            <w:pPr>
              <w:jc w:val="right"/>
              <w:ind w:right="10"/>
              <w:spacing w:after="0" w:line="151"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300" w:type="dxa"/>
            <w:vAlign w:val="bottom"/>
            <w:tcBorders>
              <w:bottom w:val="single" w:sz="8" w:color="auto"/>
            </w:tcBorders>
          </w:tcPr>
          <w:p>
            <w:pPr>
              <w:jc w:val="right"/>
              <w:ind w:right="10"/>
              <w:spacing w:after="0" w:line="151"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30"/>
              <w:spacing w:after="0" w:line="151"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30"/>
              <w:spacing w:after="0" w:line="151"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30"/>
              <w:spacing w:after="0" w:line="151" w:lineRule="exact"/>
              <w:rPr>
                <w:sz w:val="20"/>
                <w:szCs w:val="20"/>
                <w:color w:val="auto"/>
              </w:rPr>
            </w:pPr>
            <w:r>
              <w:rPr>
                <w:rFonts w:ascii="Arial" w:cs="Arial" w:eastAsia="Arial" w:hAnsi="Arial"/>
                <w:sz w:val="14"/>
                <w:szCs w:val="14"/>
                <w:b w:val="1"/>
                <w:bCs w:val="1"/>
                <w:color w:val="auto"/>
                <w:w w:val="96"/>
              </w:rPr>
              <w:t>2015</w:t>
            </w:r>
          </w:p>
        </w:tc>
        <w:tc>
          <w:tcPr>
            <w:tcW w:w="180" w:type="dxa"/>
            <w:vAlign w:val="bottom"/>
          </w:tcPr>
          <w:p>
            <w:pPr>
              <w:spacing w:after="0"/>
              <w:rPr>
                <w:sz w:val="13"/>
                <w:szCs w:val="13"/>
                <w:color w:val="auto"/>
              </w:rPr>
            </w:pPr>
          </w:p>
        </w:tc>
        <w:tc>
          <w:tcPr>
            <w:tcW w:w="86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1"/>
              </w:rPr>
              <w:t>2014 to 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281.8</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418.2</w:t>
            </w:r>
          </w:p>
        </w:tc>
        <w:tc>
          <w:tcPr>
            <w:tcW w:w="2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24"/>
                <w:szCs w:val="24"/>
                <w:color w:val="auto"/>
              </w:rPr>
            </w:pPr>
          </w:p>
        </w:tc>
        <w:tc>
          <w:tcPr>
            <w:tcW w:w="3760" w:type="dxa"/>
            <w:vAlign w:val="bottom"/>
          </w:tcPr>
          <w:p>
            <w:pPr>
              <w:ind w:left="120"/>
              <w:spacing w:after="0"/>
              <w:rPr>
                <w:sz w:val="20"/>
                <w:szCs w:val="20"/>
                <w:color w:val="auto"/>
              </w:rPr>
            </w:pPr>
            <w:r>
              <w:rPr>
                <w:rFonts w:ascii="Arial" w:cs="Arial" w:eastAsia="Arial" w:hAnsi="Arial"/>
                <w:sz w:val="14"/>
                <w:szCs w:val="14"/>
                <w:color w:val="auto"/>
              </w:rPr>
              <w:t>Interest income(b)</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4,902.4</w:t>
            </w:r>
          </w:p>
        </w:tc>
        <w:tc>
          <w:tcPr>
            <w:tcW w:w="200" w:type="dxa"/>
            <w:vAlign w:val="bottom"/>
          </w:tcPr>
          <w:p>
            <w:pPr>
              <w:spacing w:after="0"/>
              <w:rPr>
                <w:sz w:val="24"/>
                <w:szCs w:val="24"/>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8"/>
              </w:rPr>
              <w:t>4,620.6</w:t>
            </w: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4,202.4</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3,922.8</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3,195.3</w:t>
            </w:r>
          </w:p>
        </w:tc>
        <w:tc>
          <w:tcPr>
            <w:tcW w:w="1040" w:type="dxa"/>
            <w:vAlign w:val="bottom"/>
            <w:gridSpan w:val="2"/>
          </w:tcPr>
          <w:p>
            <w:pPr>
              <w:jc w:val="right"/>
              <w:ind w:right="210"/>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222.9</w:t>
            </w:r>
          </w:p>
        </w:tc>
        <w:tc>
          <w:tcPr>
            <w:tcW w:w="4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42</w:t>
            </w:r>
          </w:p>
        </w:tc>
        <w:tc>
          <w:tcPr>
            <w:tcW w:w="2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139.6</w:t>
            </w:r>
          </w:p>
        </w:tc>
        <w:tc>
          <w:tcPr>
            <w:tcW w:w="20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36</w:t>
            </w:r>
          </w:p>
        </w:tc>
        <w:tc>
          <w:tcPr>
            <w:tcW w:w="160" w:type="dxa"/>
            <w:vAlign w:val="bottom"/>
            <w:shd w:val="clear" w:color="auto" w:fill="CFF0FC"/>
          </w:tcPr>
          <w:p>
            <w:pPr>
              <w:spacing w:after="0"/>
              <w:rPr>
                <w:sz w:val="13"/>
                <w:szCs w:val="13"/>
                <w:color w:val="auto"/>
              </w:rPr>
            </w:pPr>
          </w:p>
        </w:tc>
        <w:tc>
          <w:tcPr>
            <w:tcW w:w="3760" w:type="dxa"/>
            <w:vAlign w:val="bottom"/>
            <w:shd w:val="clear" w:color="auto" w:fill="CFF0FC"/>
          </w:tcPr>
          <w:p>
            <w:pPr>
              <w:ind w:left="120"/>
              <w:spacing w:after="0" w:line="158" w:lineRule="exact"/>
              <w:rPr>
                <w:sz w:val="20"/>
                <w:szCs w:val="20"/>
                <w:color w:val="auto"/>
              </w:rPr>
            </w:pPr>
            <w:r>
              <w:rPr>
                <w:rFonts w:ascii="Arial" w:cs="Arial" w:eastAsia="Arial" w:hAnsi="Arial"/>
                <w:sz w:val="14"/>
                <w:szCs w:val="14"/>
                <w:color w:val="auto"/>
              </w:rPr>
              <w:t>Interest expense</w:t>
            </w:r>
          </w:p>
        </w:tc>
        <w:tc>
          <w:tcPr>
            <w:tcW w:w="12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749.3</w:t>
            </w:r>
          </w:p>
        </w:tc>
        <w:tc>
          <w:tcPr>
            <w:tcW w:w="20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526.4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386.8</w:t>
            </w:r>
          </w:p>
        </w:tc>
        <w:tc>
          <w:tcPr>
            <w:tcW w:w="1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426.0</w:t>
            </w:r>
          </w:p>
        </w:tc>
        <w:tc>
          <w:tcPr>
            <w:tcW w:w="1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328.3</w:t>
            </w:r>
          </w:p>
        </w:tc>
        <w:tc>
          <w:tcPr>
            <w:tcW w:w="1040" w:type="dxa"/>
            <w:vAlign w:val="bottom"/>
            <w:gridSpan w:val="2"/>
            <w:shd w:val="clear" w:color="auto" w:fill="CFF0FC"/>
          </w:tcPr>
          <w:p>
            <w:pPr>
              <w:jc w:val="right"/>
              <w:ind w:right="350"/>
              <w:spacing w:after="0" w:line="158" w:lineRule="exact"/>
              <w:rPr>
                <w:sz w:val="20"/>
                <w:szCs w:val="20"/>
                <w:color w:val="auto"/>
              </w:rPr>
            </w:pPr>
            <w:r>
              <w:rPr>
                <w:rFonts w:ascii="Arial" w:cs="Arial" w:eastAsia="Arial" w:hAnsi="Arial"/>
                <w:sz w:val="14"/>
                <w:szCs w:val="14"/>
                <w:color w:val="auto"/>
              </w:rPr>
              <w:t>22</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560" w:type="dxa"/>
            <w:vAlign w:val="bottom"/>
          </w:tcPr>
          <w:p>
            <w:pPr>
              <w:jc w:val="right"/>
              <w:spacing w:after="0" w:line="151" w:lineRule="exact"/>
              <w:rPr>
                <w:sz w:val="20"/>
                <w:szCs w:val="20"/>
                <w:color w:val="auto"/>
              </w:rPr>
            </w:pPr>
            <w:r>
              <w:rPr>
                <w:rFonts w:ascii="Arial" w:cs="Arial" w:eastAsia="Arial" w:hAnsi="Arial"/>
                <w:sz w:val="14"/>
                <w:szCs w:val="14"/>
                <w:color w:val="auto"/>
              </w:rPr>
              <w:t>58.9</w:t>
            </w:r>
          </w:p>
        </w:tc>
        <w:tc>
          <w:tcPr>
            <w:tcW w:w="4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line="151" w:lineRule="exact"/>
              <w:rPr>
                <w:sz w:val="20"/>
                <w:szCs w:val="20"/>
                <w:color w:val="auto"/>
              </w:rPr>
            </w:pPr>
            <w:r>
              <w:rPr>
                <w:rFonts w:ascii="Arial" w:cs="Arial" w:eastAsia="Arial" w:hAnsi="Arial"/>
                <w:sz w:val="14"/>
                <w:szCs w:val="14"/>
                <w:color w:val="auto"/>
              </w:rPr>
              <w:t>278.6</w:t>
            </w:r>
          </w:p>
        </w:tc>
        <w:tc>
          <w:tcPr>
            <w:tcW w:w="200" w:type="dxa"/>
            <w:vAlign w:val="bottom"/>
          </w:tcPr>
          <w:p>
            <w:pPr>
              <w:spacing w:after="0"/>
              <w:rPr>
                <w:sz w:val="13"/>
                <w:szCs w:val="13"/>
                <w:color w:val="auto"/>
              </w:rPr>
            </w:pPr>
          </w:p>
        </w:tc>
        <w:tc>
          <w:tcPr>
            <w:tcW w:w="300" w:type="dxa"/>
            <w:vAlign w:val="bottom"/>
          </w:tcPr>
          <w:p>
            <w:pPr>
              <w:jc w:val="right"/>
              <w:spacing w:after="0" w:line="151"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3"/>
                <w:szCs w:val="13"/>
                <w:color w:val="auto"/>
              </w:rPr>
            </w:pPr>
          </w:p>
        </w:tc>
        <w:tc>
          <w:tcPr>
            <w:tcW w:w="3760" w:type="dxa"/>
            <w:vAlign w:val="bottom"/>
          </w:tcPr>
          <w:p>
            <w:pPr>
              <w:ind w:left="120"/>
              <w:spacing w:after="0" w:line="151" w:lineRule="exact"/>
              <w:rPr>
                <w:sz w:val="20"/>
                <w:szCs w:val="20"/>
                <w:color w:val="auto"/>
              </w:rPr>
            </w:pPr>
            <w:r>
              <w:rPr>
                <w:rFonts w:ascii="Arial" w:cs="Arial" w:eastAsia="Arial" w:hAnsi="Arial"/>
                <w:sz w:val="14"/>
                <w:szCs w:val="14"/>
                <w:color w:val="auto"/>
              </w:rPr>
              <w:t>Net interest income(b)</w:t>
            </w:r>
          </w:p>
        </w:tc>
        <w:tc>
          <w:tcPr>
            <w:tcW w:w="120" w:type="dxa"/>
            <w:vAlign w:val="bottom"/>
          </w:tcPr>
          <w:p>
            <w:pPr>
              <w:spacing w:after="0"/>
              <w:rPr>
                <w:sz w:val="13"/>
                <w:szCs w:val="13"/>
                <w:color w:val="auto"/>
              </w:rPr>
            </w:pPr>
          </w:p>
        </w:tc>
        <w:tc>
          <w:tcPr>
            <w:tcW w:w="520" w:type="dxa"/>
            <w:vAlign w:val="bottom"/>
          </w:tcPr>
          <w:p>
            <w:pPr>
              <w:jc w:val="right"/>
              <w:spacing w:after="0" w:line="151" w:lineRule="exact"/>
              <w:rPr>
                <w:sz w:val="20"/>
                <w:szCs w:val="20"/>
                <w:color w:val="auto"/>
              </w:rPr>
            </w:pPr>
            <w:r>
              <w:rPr>
                <w:rFonts w:ascii="Arial" w:cs="Arial" w:eastAsia="Arial" w:hAnsi="Arial"/>
                <w:sz w:val="14"/>
                <w:szCs w:val="14"/>
                <w:color w:val="auto"/>
              </w:rPr>
              <w:t>4,153.1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1" w:lineRule="exact"/>
              <w:rPr>
                <w:sz w:val="20"/>
                <w:szCs w:val="20"/>
                <w:color w:val="auto"/>
              </w:rPr>
            </w:pPr>
            <w:r>
              <w:rPr>
                <w:rFonts w:ascii="Arial" w:cs="Arial" w:eastAsia="Arial" w:hAnsi="Arial"/>
                <w:sz w:val="14"/>
                <w:szCs w:val="14"/>
                <w:color w:val="auto"/>
                <w:w w:val="98"/>
              </w:rPr>
              <w:t>4,094.2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51" w:lineRule="exact"/>
              <w:rPr>
                <w:sz w:val="20"/>
                <w:szCs w:val="20"/>
                <w:color w:val="auto"/>
              </w:rPr>
            </w:pPr>
            <w:r>
              <w:rPr>
                <w:rFonts w:ascii="Arial" w:cs="Arial" w:eastAsia="Arial" w:hAnsi="Arial"/>
                <w:sz w:val="14"/>
                <w:szCs w:val="14"/>
                <w:color w:val="auto"/>
              </w:rPr>
              <w:t>3,815.6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line="151" w:lineRule="exact"/>
              <w:rPr>
                <w:sz w:val="20"/>
                <w:szCs w:val="20"/>
                <w:color w:val="auto"/>
              </w:rPr>
            </w:pPr>
            <w:r>
              <w:rPr>
                <w:rFonts w:ascii="Arial" w:cs="Arial" w:eastAsia="Arial" w:hAnsi="Arial"/>
                <w:sz w:val="14"/>
                <w:szCs w:val="14"/>
                <w:color w:val="auto"/>
              </w:rPr>
              <w:t>3,496.8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line="151" w:lineRule="exact"/>
              <w:rPr>
                <w:sz w:val="20"/>
                <w:szCs w:val="20"/>
                <w:color w:val="auto"/>
              </w:rPr>
            </w:pPr>
            <w:r>
              <w:rPr>
                <w:rFonts w:ascii="Arial" w:cs="Arial" w:eastAsia="Arial" w:hAnsi="Arial"/>
                <w:sz w:val="14"/>
                <w:szCs w:val="14"/>
                <w:color w:val="auto"/>
              </w:rPr>
              <w:t>2,867.0</w:t>
            </w:r>
          </w:p>
        </w:tc>
        <w:tc>
          <w:tcPr>
            <w:tcW w:w="1040" w:type="dxa"/>
            <w:vAlign w:val="bottom"/>
            <w:gridSpan w:val="2"/>
          </w:tcPr>
          <w:p>
            <w:pPr>
              <w:jc w:val="right"/>
              <w:ind w:right="350"/>
              <w:spacing w:after="0" w:line="151" w:lineRule="exact"/>
              <w:rPr>
                <w:sz w:val="20"/>
                <w:szCs w:val="20"/>
                <w:color w:val="auto"/>
              </w:rPr>
            </w:pPr>
            <w:r>
              <w:rPr>
                <w:rFonts w:ascii="Arial" w:cs="Arial" w:eastAsia="Arial" w:hAnsi="Arial"/>
                <w:sz w:val="14"/>
                <w:szCs w:val="14"/>
                <w:color w:val="auto"/>
              </w:rPr>
              <w:t>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44.0</w:t>
            </w:r>
          </w:p>
        </w:tc>
        <w:tc>
          <w:tcPr>
            <w:tcW w:w="4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33</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60"/>
              <w:spacing w:after="0" w:line="158" w:lineRule="exact"/>
              <w:rPr>
                <w:sz w:val="20"/>
                <w:szCs w:val="20"/>
                <w:color w:val="auto"/>
              </w:rPr>
            </w:pPr>
            <w:r>
              <w:rPr>
                <w:rFonts w:ascii="Arial" w:cs="Arial" w:eastAsia="Arial" w:hAnsi="Arial"/>
                <w:sz w:val="14"/>
                <w:szCs w:val="14"/>
                <w:color w:val="auto"/>
              </w:rPr>
              <w:t>(36.0)</w:t>
            </w:r>
          </w:p>
        </w:tc>
        <w:tc>
          <w:tcPr>
            <w:tcW w:w="460" w:type="dxa"/>
            <w:vAlign w:val="bottom"/>
            <w:gridSpan w:val="2"/>
            <w:shd w:val="clear" w:color="auto" w:fill="CFF0FC"/>
          </w:tcPr>
          <w:p>
            <w:pPr>
              <w:jc w:val="right"/>
              <w:ind w:right="100"/>
              <w:spacing w:after="0" w:line="158" w:lineRule="exact"/>
              <w:rPr>
                <w:sz w:val="20"/>
                <w:szCs w:val="20"/>
                <w:color w:val="auto"/>
              </w:rPr>
            </w:pPr>
            <w:r>
              <w:rPr>
                <w:rFonts w:ascii="Arial" w:cs="Arial" w:eastAsia="Arial" w:hAnsi="Arial"/>
                <w:sz w:val="14"/>
                <w:szCs w:val="14"/>
                <w:color w:val="auto"/>
              </w:rPr>
              <w:t>(21)</w:t>
            </w:r>
          </w:p>
        </w:tc>
        <w:tc>
          <w:tcPr>
            <w:tcW w:w="3760" w:type="dxa"/>
            <w:vAlign w:val="bottom"/>
            <w:shd w:val="clear" w:color="auto" w:fill="CFF0FC"/>
          </w:tcPr>
          <w:p>
            <w:pPr>
              <w:ind w:left="120"/>
              <w:spacing w:after="0" w:line="158" w:lineRule="exact"/>
              <w:rPr>
                <w:sz w:val="20"/>
                <w:szCs w:val="20"/>
                <w:color w:val="auto"/>
              </w:rPr>
            </w:pPr>
            <w:r>
              <w:rPr>
                <w:rFonts w:ascii="Arial" w:cs="Arial" w:eastAsia="Arial" w:hAnsi="Arial"/>
                <w:sz w:val="14"/>
                <w:szCs w:val="14"/>
                <w:color w:val="auto"/>
              </w:rPr>
              <w:t>Less: provision for credit losses</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176.0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132.0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168.0</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190.0</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170.0</w:t>
            </w:r>
          </w:p>
        </w:tc>
        <w:tc>
          <w:tcPr>
            <w:tcW w:w="1040" w:type="dxa"/>
            <w:vAlign w:val="bottom"/>
            <w:gridSpan w:val="2"/>
            <w:shd w:val="clear" w:color="auto" w:fill="CFF0FC"/>
          </w:tcPr>
          <w:p>
            <w:pPr>
              <w:jc w:val="right"/>
              <w:ind w:right="350"/>
              <w:spacing w:after="0" w:line="158" w:lineRule="exact"/>
              <w:rPr>
                <w:sz w:val="20"/>
                <w:szCs w:val="20"/>
                <w:color w:val="auto"/>
              </w:rPr>
            </w:pPr>
            <w:r>
              <w:rPr>
                <w:rFonts w:ascii="Arial" w:cs="Arial" w:eastAsia="Arial" w:hAnsi="Arial"/>
                <w:sz w:val="14"/>
                <w:szCs w:val="14"/>
                <w:color w:val="auto"/>
              </w:rPr>
              <w:t>7</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24.3</w:t>
            </w:r>
          </w:p>
        </w:tc>
        <w:tc>
          <w:tcPr>
            <w:tcW w:w="200" w:type="dxa"/>
            <w:vAlign w:val="bottom"/>
          </w:tcPr>
          <w:p>
            <w:pPr>
              <w:spacing w:after="0"/>
              <w:rPr>
                <w:sz w:val="13"/>
                <w:szCs w:val="13"/>
                <w:color w:val="auto"/>
              </w:rPr>
            </w:pPr>
          </w:p>
        </w:tc>
        <w:tc>
          <w:tcPr>
            <w:tcW w:w="26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(27.6)</w:t>
            </w:r>
          </w:p>
        </w:tc>
        <w:tc>
          <w:tcPr>
            <w:tcW w:w="4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3760" w:type="dxa"/>
            <w:vAlign w:val="bottom"/>
          </w:tcPr>
          <w:p>
            <w:pPr>
              <w:ind w:left="120"/>
              <w:spacing w:after="0" w:line="158" w:lineRule="exact"/>
              <w:rPr>
                <w:sz w:val="20"/>
                <w:szCs w:val="20"/>
                <w:color w:val="auto"/>
              </w:rPr>
            </w:pPr>
            <w:r>
              <w:rPr>
                <w:rFonts w:ascii="Arial" w:cs="Arial" w:eastAsia="Arial" w:hAnsi="Arial"/>
                <w:sz w:val="14"/>
                <w:szCs w:val="14"/>
                <w:color w:val="auto"/>
              </w:rPr>
              <w:t>Gain (loss) on bank investment securities</w:t>
            </w:r>
          </w:p>
        </w:tc>
        <w:tc>
          <w:tcPr>
            <w:tcW w:w="12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18.0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(6.3)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21.3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30.3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00" w:type="dxa"/>
            <w:vAlign w:val="bottom"/>
            <w:gridSpan w:val="2"/>
          </w:tcPr>
          <w:p>
            <w:pPr>
              <w:jc w:val="right"/>
              <w:ind w:right="4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181.4</w:t>
            </w:r>
          </w:p>
        </w:tc>
        <w:tc>
          <w:tcPr>
            <w:tcW w:w="4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10</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32.4</w:t>
            </w:r>
          </w:p>
        </w:tc>
        <w:tc>
          <w:tcPr>
            <w:tcW w:w="20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w:t>
            </w:r>
          </w:p>
        </w:tc>
        <w:tc>
          <w:tcPr>
            <w:tcW w:w="160" w:type="dxa"/>
            <w:vAlign w:val="bottom"/>
            <w:shd w:val="clear" w:color="auto" w:fill="CFF0FC"/>
          </w:tcPr>
          <w:p>
            <w:pPr>
              <w:spacing w:after="0"/>
              <w:rPr>
                <w:sz w:val="13"/>
                <w:szCs w:val="13"/>
                <w:color w:val="auto"/>
              </w:rPr>
            </w:pPr>
          </w:p>
        </w:tc>
        <w:tc>
          <w:tcPr>
            <w:tcW w:w="3760" w:type="dxa"/>
            <w:vAlign w:val="bottom"/>
            <w:shd w:val="clear" w:color="auto" w:fill="CFF0FC"/>
          </w:tcPr>
          <w:p>
            <w:pPr>
              <w:ind w:left="120"/>
              <w:spacing w:after="0" w:line="158" w:lineRule="exact"/>
              <w:rPr>
                <w:sz w:val="20"/>
                <w:szCs w:val="20"/>
                <w:color w:val="auto"/>
              </w:rPr>
            </w:pPr>
            <w:r>
              <w:rPr>
                <w:rFonts w:ascii="Arial" w:cs="Arial" w:eastAsia="Arial" w:hAnsi="Arial"/>
                <w:sz w:val="14"/>
                <w:szCs w:val="14"/>
                <w:color w:val="auto"/>
              </w:rPr>
              <w:t>Other income</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2,043.7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w w:val="98"/>
              </w:rPr>
              <w:t>1,862.3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1,829.9</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1,795.7</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1,825.1</w:t>
            </w:r>
          </w:p>
        </w:tc>
        <w:tc>
          <w:tcPr>
            <w:tcW w:w="1040" w:type="dxa"/>
            <w:vAlign w:val="bottom"/>
            <w:gridSpan w:val="2"/>
            <w:shd w:val="clear" w:color="auto" w:fill="CFF0FC"/>
          </w:tcPr>
          <w:p>
            <w:pPr>
              <w:jc w:val="right"/>
              <w:ind w:right="350"/>
              <w:spacing w:after="0" w:line="158" w:lineRule="exact"/>
              <w:rPr>
                <w:sz w:val="20"/>
                <w:szCs w:val="20"/>
                <w:color w:val="auto"/>
              </w:rPr>
            </w:pPr>
            <w:r>
              <w:rPr>
                <w:rFonts w:ascii="Arial" w:cs="Arial" w:eastAsia="Arial" w:hAnsi="Arial"/>
                <w:sz w:val="14"/>
                <w:szCs w:val="14"/>
                <w:color w:val="auto"/>
              </w:rPr>
              <w:t>3</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60" w:type="dxa"/>
            <w:vAlign w:val="bottom"/>
          </w:tcPr>
          <w:p>
            <w:pPr>
              <w:ind w:left="120"/>
              <w:spacing w:after="0" w:line="158" w:lineRule="exact"/>
              <w:rPr>
                <w:sz w:val="20"/>
                <w:szCs w:val="20"/>
                <w:color w:val="auto"/>
              </w:rPr>
            </w:pPr>
            <w:r>
              <w:rPr>
                <w:rFonts w:ascii="Arial" w:cs="Arial" w:eastAsia="Arial" w:hAnsi="Arial"/>
                <w:sz w:val="14"/>
                <w:szCs w:val="14"/>
                <w:color w:val="auto"/>
              </w:rPr>
              <w:t>Less: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148.5</w:t>
            </w:r>
          </w:p>
        </w:tc>
        <w:tc>
          <w:tcPr>
            <w:tcW w:w="4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8</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103.5</w:t>
            </w:r>
          </w:p>
        </w:tc>
        <w:tc>
          <w:tcPr>
            <w:tcW w:w="20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w:t>
            </w:r>
          </w:p>
        </w:tc>
        <w:tc>
          <w:tcPr>
            <w:tcW w:w="160" w:type="dxa"/>
            <w:vAlign w:val="bottom"/>
            <w:shd w:val="clear" w:color="auto" w:fill="CFF0FC"/>
          </w:tcPr>
          <w:p>
            <w:pPr>
              <w:spacing w:after="0"/>
              <w:rPr>
                <w:sz w:val="13"/>
                <w:szCs w:val="13"/>
                <w:color w:val="auto"/>
              </w:rPr>
            </w:pPr>
          </w:p>
        </w:tc>
        <w:tc>
          <w:tcPr>
            <w:tcW w:w="3760" w:type="dxa"/>
            <w:vAlign w:val="bottom"/>
            <w:shd w:val="clear" w:color="auto" w:fill="CFF0FC"/>
          </w:tcPr>
          <w:p>
            <w:pPr>
              <w:ind w:left="360"/>
              <w:spacing w:after="0" w:line="158" w:lineRule="exact"/>
              <w:rPr>
                <w:sz w:val="20"/>
                <w:szCs w:val="20"/>
                <w:color w:val="auto"/>
              </w:rPr>
            </w:pPr>
            <w:r>
              <w:rPr>
                <w:rFonts w:ascii="Arial" w:cs="Arial" w:eastAsia="Arial" w:hAnsi="Arial"/>
                <w:sz w:val="14"/>
                <w:szCs w:val="14"/>
                <w:color w:val="auto"/>
              </w:rPr>
              <w:t>Salaries and employee benefits</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1,900.8</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w w:val="98"/>
              </w:rPr>
              <w:t>1,752.3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1,648.8</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1,618.1</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1,532.4</w:t>
            </w:r>
          </w:p>
        </w:tc>
        <w:tc>
          <w:tcPr>
            <w:tcW w:w="1040" w:type="dxa"/>
            <w:vAlign w:val="bottom"/>
            <w:gridSpan w:val="2"/>
            <w:shd w:val="clear" w:color="auto" w:fill="CFF0FC"/>
          </w:tcPr>
          <w:p>
            <w:pPr>
              <w:jc w:val="right"/>
              <w:ind w:right="350"/>
              <w:spacing w:after="0" w:line="158" w:lineRule="exact"/>
              <w:rPr>
                <w:sz w:val="20"/>
                <w:szCs w:val="20"/>
                <w:color w:val="auto"/>
              </w:rPr>
            </w:pPr>
            <w:r>
              <w:rPr>
                <w:rFonts w:ascii="Arial" w:cs="Arial" w:eastAsia="Arial" w:hAnsi="Arial"/>
                <w:sz w:val="14"/>
                <w:szCs w:val="14"/>
                <w:color w:val="auto"/>
              </w:rPr>
              <w:t>6</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32.1</w:t>
            </w:r>
          </w:p>
        </w:tc>
        <w:tc>
          <w:tcPr>
            <w:tcW w:w="460" w:type="dxa"/>
            <w:vAlign w:val="bottom"/>
            <w:tcBorders>
              <w:bottom w:val="single" w:sz="8" w:color="CFF0FC"/>
            </w:tcBorders>
            <w:gridSpan w:val="2"/>
          </w:tcPr>
          <w:p>
            <w:pPr>
              <w:jc w:val="right"/>
              <w:spacing w:after="0" w:line="158" w:lineRule="exact"/>
              <w:rPr>
                <w:sz w:val="20"/>
                <w:szCs w:val="20"/>
                <w:color w:val="auto"/>
              </w:rPr>
            </w:pPr>
            <w:r>
              <w:rPr>
                <w:rFonts w:ascii="Arial" w:cs="Arial" w:eastAsia="Arial" w:hAnsi="Arial"/>
                <w:sz w:val="14"/>
                <w:szCs w:val="14"/>
                <w:color w:val="auto"/>
              </w:rPr>
              <w:t>2</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44.3</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jc w:val="right"/>
              <w:spacing w:after="0" w:line="158" w:lineRule="exact"/>
              <w:rPr>
                <w:sz w:val="20"/>
                <w:szCs w:val="20"/>
                <w:color w:val="auto"/>
              </w:rPr>
            </w:pPr>
            <w:r>
              <w:rPr>
                <w:rFonts w:ascii="Arial" w:cs="Arial" w:eastAsia="Arial" w:hAnsi="Arial"/>
                <w:sz w:val="14"/>
                <w:szCs w:val="14"/>
                <w:color w:val="auto"/>
              </w:rPr>
              <w:t>3</w:t>
            </w:r>
          </w:p>
        </w:tc>
        <w:tc>
          <w:tcPr>
            <w:tcW w:w="160" w:type="dxa"/>
            <w:vAlign w:val="bottom"/>
            <w:tcBorders>
              <w:bottom w:val="single" w:sz="8" w:color="CFF0FC"/>
            </w:tcBorders>
          </w:tcPr>
          <w:p>
            <w:pPr>
              <w:spacing w:after="0"/>
              <w:rPr>
                <w:sz w:val="13"/>
                <w:szCs w:val="13"/>
                <w:color w:val="auto"/>
              </w:rPr>
            </w:pPr>
          </w:p>
        </w:tc>
        <w:tc>
          <w:tcPr>
            <w:tcW w:w="3760" w:type="dxa"/>
            <w:vAlign w:val="bottom"/>
            <w:tcBorders>
              <w:bottom w:val="single" w:sz="8" w:color="CFF0FC"/>
            </w:tcBorders>
          </w:tcPr>
          <w:p>
            <w:pPr>
              <w:ind w:left="360"/>
              <w:spacing w:after="0" w:line="158" w:lineRule="exact"/>
              <w:rPr>
                <w:sz w:val="20"/>
                <w:szCs w:val="20"/>
                <w:color w:val="auto"/>
              </w:rPr>
            </w:pPr>
            <w:r>
              <w:rPr>
                <w:rFonts w:ascii="Arial" w:cs="Arial" w:eastAsia="Arial" w:hAnsi="Arial"/>
                <w:sz w:val="14"/>
                <w:szCs w:val="14"/>
                <w:color w:val="auto"/>
              </w:rPr>
              <w:t>Other expense</w:t>
            </w: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1,567.9</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w w:val="98"/>
              </w:rPr>
              <w:t>1,535.8</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1,491.5</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1,429.3</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1,290.5</w:t>
            </w:r>
          </w:p>
        </w:tc>
        <w:tc>
          <w:tcPr>
            <w:tcW w:w="1040" w:type="dxa"/>
            <w:vAlign w:val="bottom"/>
            <w:tcBorders>
              <w:bottom w:val="single" w:sz="8" w:color="CFF0FC"/>
            </w:tcBorders>
            <w:gridSpan w:val="2"/>
          </w:tcPr>
          <w:p>
            <w:pPr>
              <w:jc w:val="right"/>
              <w:ind w:right="350"/>
              <w:spacing w:after="0" w:line="158" w:lineRule="exact"/>
              <w:rPr>
                <w:sz w:val="20"/>
                <w:szCs w:val="20"/>
                <w:color w:val="auto"/>
              </w:rPr>
            </w:pPr>
            <w:r>
              <w:rPr>
                <w:rFonts w:ascii="Arial" w:cs="Arial" w:eastAsia="Arial" w:hAnsi="Arial"/>
                <w:sz w:val="14"/>
                <w:szCs w:val="14"/>
                <w:color w:val="auto"/>
              </w:rPr>
              <w:t>4</w:t>
            </w:r>
          </w:p>
        </w:tc>
        <w:tc>
          <w:tcPr>
            <w:tcW w:w="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40.0</w:t>
            </w:r>
          </w:p>
        </w:tc>
        <w:tc>
          <w:tcPr>
            <w:tcW w:w="460" w:type="dxa"/>
            <w:vAlign w:val="bottom"/>
            <w:gridSpan w:val="2"/>
            <w:shd w:val="clear" w:color="auto" w:fill="CFF0FC"/>
          </w:tcPr>
          <w:p>
            <w:pPr>
              <w:jc w:val="right"/>
              <w:spacing w:after="0" w:line="151" w:lineRule="exact"/>
              <w:rPr>
                <w:sz w:val="20"/>
                <w:szCs w:val="20"/>
                <w:color w:val="auto"/>
              </w:rPr>
            </w:pPr>
            <w:r>
              <w:rPr>
                <w:rFonts w:ascii="Arial" w:cs="Arial" w:eastAsia="Arial" w:hAnsi="Arial"/>
                <w:sz w:val="14"/>
                <w:szCs w:val="14"/>
                <w:color w:val="auto"/>
              </w:rPr>
              <w:t>2</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171.6</w:t>
            </w:r>
          </w:p>
        </w:tc>
        <w:tc>
          <w:tcPr>
            <w:tcW w:w="20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7</w:t>
            </w:r>
          </w:p>
        </w:tc>
        <w:tc>
          <w:tcPr>
            <w:tcW w:w="160" w:type="dxa"/>
            <w:vAlign w:val="bottom"/>
            <w:shd w:val="clear" w:color="auto" w:fill="CFF0FC"/>
          </w:tcPr>
          <w:p>
            <w:pPr>
              <w:spacing w:after="0"/>
              <w:rPr>
                <w:sz w:val="13"/>
                <w:szCs w:val="13"/>
                <w:color w:val="auto"/>
              </w:rPr>
            </w:pPr>
          </w:p>
        </w:tc>
        <w:tc>
          <w:tcPr>
            <w:tcW w:w="3760" w:type="dxa"/>
            <w:vAlign w:val="bottom"/>
            <w:shd w:val="clear" w:color="auto" w:fill="CFF0FC"/>
          </w:tcPr>
          <w:p>
            <w:pPr>
              <w:ind w:left="120"/>
              <w:spacing w:after="0" w:line="151" w:lineRule="exact"/>
              <w:rPr>
                <w:sz w:val="20"/>
                <w:szCs w:val="20"/>
                <w:color w:val="auto"/>
              </w:rPr>
            </w:pPr>
            <w:r>
              <w:rPr>
                <w:rFonts w:ascii="Arial" w:cs="Arial" w:eastAsia="Arial" w:hAnsi="Arial"/>
                <w:sz w:val="14"/>
                <w:szCs w:val="14"/>
                <w:color w:val="auto"/>
              </w:rPr>
              <w:t>Income before income taxes</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2,570.1</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w w:val="98"/>
              </w:rPr>
              <w:t>2,530.1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2,358.5</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2,085.4</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1,699.2</w:t>
            </w:r>
          </w:p>
        </w:tc>
        <w:tc>
          <w:tcPr>
            <w:tcW w:w="1040" w:type="dxa"/>
            <w:vAlign w:val="bottom"/>
            <w:gridSpan w:val="2"/>
            <w:shd w:val="clear" w:color="auto" w:fill="CFF0FC"/>
          </w:tcPr>
          <w:p>
            <w:pPr>
              <w:jc w:val="right"/>
              <w:ind w:right="350"/>
              <w:spacing w:after="0" w:line="151" w:lineRule="exact"/>
              <w:rPr>
                <w:sz w:val="20"/>
                <w:szCs w:val="20"/>
                <w:color w:val="auto"/>
              </w:rPr>
            </w:pPr>
            <w:r>
              <w:rPr>
                <w:rFonts w:ascii="Arial" w:cs="Arial" w:eastAsia="Arial" w:hAnsi="Arial"/>
                <w:sz w:val="14"/>
                <w:szCs w:val="14"/>
                <w:color w:val="auto"/>
              </w:rPr>
              <w:t>9</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60" w:type="dxa"/>
            <w:vAlign w:val="bottom"/>
          </w:tcPr>
          <w:p>
            <w:pPr>
              <w:ind w:left="120"/>
              <w:spacing w:after="0" w:line="158" w:lineRule="exact"/>
              <w:rPr>
                <w:sz w:val="20"/>
                <w:szCs w:val="20"/>
                <w:color w:val="auto"/>
              </w:rPr>
            </w:pPr>
            <w:r>
              <w:rPr>
                <w:rFonts w:ascii="Arial" w:cs="Arial" w:eastAsia="Arial" w:hAnsi="Arial"/>
                <w:sz w:val="14"/>
                <w:szCs w:val="14"/>
                <w:color w:val="auto"/>
              </w:rPr>
              <w:t>Less: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1.0</w:t>
            </w:r>
          </w:p>
        </w:tc>
        <w:tc>
          <w:tcPr>
            <w:tcW w:w="4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5</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60"/>
              <w:spacing w:after="0" w:line="158" w:lineRule="exact"/>
              <w:rPr>
                <w:sz w:val="20"/>
                <w:szCs w:val="20"/>
                <w:color w:val="auto"/>
              </w:rPr>
            </w:pPr>
            <w:r>
              <w:rPr>
                <w:rFonts w:ascii="Arial" w:cs="Arial" w:eastAsia="Arial" w:hAnsi="Arial"/>
                <w:sz w:val="14"/>
                <w:szCs w:val="14"/>
                <w:color w:val="auto"/>
              </w:rPr>
              <w:t>(12.7)</w:t>
            </w:r>
          </w:p>
        </w:tc>
        <w:tc>
          <w:tcPr>
            <w:tcW w:w="460" w:type="dxa"/>
            <w:vAlign w:val="bottom"/>
            <w:gridSpan w:val="2"/>
            <w:shd w:val="clear" w:color="auto" w:fill="CFF0FC"/>
          </w:tcPr>
          <w:p>
            <w:pPr>
              <w:jc w:val="right"/>
              <w:ind w:right="100"/>
              <w:spacing w:after="0" w:line="158" w:lineRule="exact"/>
              <w:rPr>
                <w:sz w:val="20"/>
                <w:szCs w:val="20"/>
                <w:color w:val="auto"/>
              </w:rPr>
            </w:pPr>
            <w:r>
              <w:rPr>
                <w:rFonts w:ascii="Arial" w:cs="Arial" w:eastAsia="Arial" w:hAnsi="Arial"/>
                <w:sz w:val="14"/>
                <w:szCs w:val="14"/>
                <w:color w:val="auto"/>
              </w:rPr>
              <w:t>(37)</w:t>
            </w:r>
          </w:p>
        </w:tc>
        <w:tc>
          <w:tcPr>
            <w:tcW w:w="3760" w:type="dxa"/>
            <w:vAlign w:val="bottom"/>
            <w:shd w:val="clear" w:color="auto" w:fill="CFF0FC"/>
          </w:tcPr>
          <w:p>
            <w:pPr>
              <w:ind w:left="360"/>
              <w:spacing w:after="0" w:line="158" w:lineRule="exact"/>
              <w:rPr>
                <w:sz w:val="20"/>
                <w:szCs w:val="20"/>
                <w:color w:val="auto"/>
              </w:rPr>
            </w:pPr>
            <w:r>
              <w:rPr>
                <w:rFonts w:ascii="Arial" w:cs="Arial" w:eastAsia="Arial" w:hAnsi="Arial"/>
                <w:sz w:val="14"/>
                <w:szCs w:val="14"/>
                <w:color w:val="auto"/>
              </w:rPr>
              <w:t>Taxable-equivalent adjustment(b)</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22.9</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21.9</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34.6</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27.0</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24.5</w:t>
            </w:r>
          </w:p>
        </w:tc>
        <w:tc>
          <w:tcPr>
            <w:tcW w:w="1040" w:type="dxa"/>
            <w:vAlign w:val="bottom"/>
            <w:gridSpan w:val="2"/>
            <w:shd w:val="clear" w:color="auto" w:fill="CFF0FC"/>
          </w:tcPr>
          <w:p>
            <w:pPr>
              <w:jc w:val="right"/>
              <w:ind w:right="290"/>
              <w:spacing w:after="0" w:line="158" w:lineRule="exact"/>
              <w:rPr>
                <w:sz w:val="20"/>
                <w:szCs w:val="20"/>
                <w:color w:val="auto"/>
              </w:rPr>
            </w:pPr>
            <w:r>
              <w:rPr>
                <w:rFonts w:ascii="Arial" w:cs="Arial" w:eastAsia="Arial" w:hAnsi="Arial"/>
                <w:sz w:val="14"/>
                <w:szCs w:val="14"/>
                <w:color w:val="auto"/>
              </w:rPr>
              <w:t>(1)</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28.0</w:t>
            </w:r>
          </w:p>
        </w:tc>
        <w:tc>
          <w:tcPr>
            <w:tcW w:w="4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(325.5)</w:t>
            </w:r>
          </w:p>
        </w:tc>
        <w:tc>
          <w:tcPr>
            <w:tcW w:w="46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(36)</w:t>
            </w:r>
          </w:p>
        </w:tc>
        <w:tc>
          <w:tcPr>
            <w:tcW w:w="3760" w:type="dxa"/>
            <w:vAlign w:val="bottom"/>
          </w:tcPr>
          <w:p>
            <w:pPr>
              <w:ind w:left="360"/>
              <w:spacing w:after="0" w:line="158" w:lineRule="exact"/>
              <w:rPr>
                <w:sz w:val="20"/>
                <w:szCs w:val="20"/>
                <w:color w:val="auto"/>
              </w:rPr>
            </w:pPr>
            <w:r>
              <w:rPr>
                <w:rFonts w:ascii="Arial" w:cs="Arial" w:eastAsia="Arial" w:hAnsi="Arial"/>
                <w:sz w:val="14"/>
                <w:szCs w:val="14"/>
                <w:color w:val="auto"/>
              </w:rPr>
              <w:t>Income taxes</w:t>
            </w:r>
          </w:p>
        </w:tc>
        <w:tc>
          <w:tcPr>
            <w:tcW w:w="12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618.1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590.1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915.6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743.3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595.0</w:t>
            </w:r>
          </w:p>
        </w:tc>
        <w:tc>
          <w:tcPr>
            <w:tcW w:w="1040" w:type="dxa"/>
            <w:vAlign w:val="bottom"/>
            <w:gridSpan w:val="2"/>
          </w:tcPr>
          <w:p>
            <w:pPr>
              <w:jc w:val="right"/>
              <w:ind w:right="350"/>
              <w:spacing w:after="0" w:line="158" w:lineRule="exact"/>
              <w:rPr>
                <w:sz w:val="20"/>
                <w:szCs w:val="20"/>
                <w:color w:val="auto"/>
              </w:rPr>
            </w:pPr>
            <w:r>
              <w:rPr>
                <w:rFonts w:ascii="Arial" w:cs="Arial" w:eastAsia="Arial" w:hAnsi="Arial"/>
                <w:sz w:val="14"/>
                <w:szCs w:val="14"/>
                <w:color w:val="auto"/>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11.0</w:t>
            </w:r>
          </w:p>
        </w:tc>
        <w:tc>
          <w:tcPr>
            <w:tcW w:w="460" w:type="dxa"/>
            <w:vAlign w:val="bottom"/>
            <w:tcBorders>
              <w:top w:val="single" w:sz="8" w:color="CFF0FC"/>
              <w:bottom w:val="single" w:sz="8" w:color="CFF0FC"/>
            </w:tcBorders>
            <w:gridSpan w:val="2"/>
            <w:shd w:val="clear" w:color="auto" w:fill="CFF0FC"/>
          </w:tcPr>
          <w:p>
            <w:pPr>
              <w:jc w:val="right"/>
              <w:spacing w:after="0" w:line="151" w:lineRule="exact"/>
              <w:rPr>
                <w:sz w:val="20"/>
                <w:szCs w:val="20"/>
                <w:color w:val="auto"/>
              </w:rPr>
            </w:pPr>
            <w:r>
              <w:rPr>
                <w:rFonts w:ascii="Arial" w:cs="Arial" w:eastAsia="Arial" w:hAnsi="Arial"/>
                <w:sz w:val="14"/>
                <w:szCs w:val="14"/>
                <w:color w:val="auto"/>
              </w:rPr>
              <w:t>1</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509.8</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300" w:type="dxa"/>
            <w:vAlign w:val="bottom"/>
            <w:tcBorders>
              <w:top w:val="single" w:sz="8" w:color="CFF0FC"/>
              <w:bottom w:val="single" w:sz="8" w:color="CFF0FC"/>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36</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3760" w:type="dxa"/>
            <w:vAlign w:val="bottom"/>
            <w:tcBorders>
              <w:top w:val="single" w:sz="8" w:color="CFF0FC"/>
              <w:bottom w:val="single" w:sz="8" w:color="CFF0FC"/>
            </w:tcBorders>
            <w:shd w:val="clear" w:color="auto" w:fill="CFF0FC"/>
          </w:tcPr>
          <w:p>
            <w:pPr>
              <w:ind w:left="120"/>
              <w:spacing w:after="0" w:line="151" w:lineRule="exact"/>
              <w:rPr>
                <w:sz w:val="20"/>
                <w:szCs w:val="20"/>
                <w:color w:val="auto"/>
              </w:rPr>
            </w:pPr>
            <w:r>
              <w:rPr>
                <w:rFonts w:ascii="Arial" w:cs="Arial" w:eastAsia="Arial" w:hAnsi="Arial"/>
                <w:sz w:val="14"/>
                <w:szCs w:val="14"/>
                <w:color w:val="auto"/>
              </w:rPr>
              <w:t>Net income</w:t>
            </w:r>
          </w:p>
        </w:tc>
        <w:tc>
          <w:tcPr>
            <w:tcW w:w="1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1,929.1</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98"/>
              </w:rPr>
              <w:t>1,918.1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1,408.3</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1,315.1</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1,079.7</w:t>
            </w:r>
          </w:p>
        </w:tc>
        <w:tc>
          <w:tcPr>
            <w:tcW w:w="1040" w:type="dxa"/>
            <w:vAlign w:val="bottom"/>
            <w:tcBorders>
              <w:top w:val="single" w:sz="8" w:color="CFF0FC"/>
              <w:bottom w:val="single" w:sz="8" w:color="CFF0FC"/>
            </w:tcBorders>
            <w:gridSpan w:val="2"/>
            <w:shd w:val="clear" w:color="auto" w:fill="CFF0FC"/>
          </w:tcPr>
          <w:p>
            <w:pPr>
              <w:jc w:val="right"/>
              <w:ind w:right="210"/>
              <w:spacing w:after="0" w:line="151" w:lineRule="exact"/>
              <w:rPr>
                <w:sz w:val="20"/>
                <w:szCs w:val="20"/>
                <w:color w:val="auto"/>
              </w:rPr>
            </w:pPr>
            <w:r>
              <w:rPr>
                <w:rFonts w:ascii="Arial" w:cs="Arial" w:eastAsia="Arial" w:hAnsi="Arial"/>
                <w:sz w:val="14"/>
                <w:szCs w:val="14"/>
                <w:color w:val="auto"/>
              </w:rPr>
              <w:t>13%</w:t>
            </w: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13601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325" w:lineRule="exact"/>
        <w:rPr>
          <w:sz w:val="20"/>
          <w:szCs w:val="20"/>
          <w:color w:val="auto"/>
        </w:rPr>
      </w:pPr>
    </w:p>
    <w:p>
      <w:pPr>
        <w:ind w:left="600" w:hanging="595"/>
        <w:spacing w:after="0"/>
        <w:tabs>
          <w:tab w:leader="none" w:pos="60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Changes were calculated from unrounded amounts.</w:t>
      </w:r>
    </w:p>
    <w:p>
      <w:pPr>
        <w:spacing w:after="0" w:line="16" w:lineRule="exact"/>
        <w:rPr>
          <w:rFonts w:ascii="Arial" w:cs="Arial" w:eastAsia="Arial" w:hAnsi="Arial"/>
          <w:sz w:val="16"/>
          <w:szCs w:val="16"/>
          <w:i w:val="1"/>
          <w:iCs w:val="1"/>
          <w:color w:val="auto"/>
        </w:rPr>
      </w:pPr>
    </w:p>
    <w:p>
      <w:pPr>
        <w:ind w:left="600" w:right="60" w:hanging="595"/>
        <w:spacing w:after="0" w:line="265" w:lineRule="auto"/>
        <w:tabs>
          <w:tab w:leader="none" w:pos="60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Interest income data are on a taxable-equivalent basis. The taxable-equivalent adjustment represents additional income taxes that would be due if all interest income were subject to income taxes. This adjustment, which is related to interest received on qualified municipal securities, industrial revenue financings and preferred equity securities, is based on a composite income tax rate of approximately 26% in 2019 and 2018 and 39% in prior years.</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Reporting of Non-GAAP Results of Operations</w:t>
      </w:r>
    </w:p>
    <w:p>
      <w:pPr>
        <w:spacing w:after="0" w:line="29" w:lineRule="exact"/>
        <w:rPr>
          <w:sz w:val="20"/>
          <w:szCs w:val="20"/>
          <w:color w:val="auto"/>
        </w:rPr>
      </w:pPr>
    </w:p>
    <w:p>
      <w:pPr>
        <w:jc w:val="both"/>
        <w:ind w:right="160"/>
        <w:spacing w:after="0" w:line="246" w:lineRule="auto"/>
        <w:rPr>
          <w:sz w:val="20"/>
          <w:szCs w:val="20"/>
          <w:color w:val="auto"/>
        </w:rPr>
      </w:pPr>
      <w:r>
        <w:rPr>
          <w:rFonts w:ascii="Arial" w:cs="Arial" w:eastAsia="Arial" w:hAnsi="Arial"/>
          <w:sz w:val="20"/>
          <w:szCs w:val="20"/>
          <w:color w:val="auto"/>
        </w:rPr>
        <w:t>As a result of business combinations and other acquisitions, the Company had intangible assets consisting of goodwill and core deposit and other intangible assets totaling $4.6 billion at each of December 31, 2019 and 2018. Included in such intangible assets was goodwill of $4.6 billion at each of those dates. Amortization of core deposit and other intangible assets, after-tax effect, totaled $14 million, $18 million and $19 million during 2019, 2018 and 2017, respectively.</w:t>
      </w:r>
    </w:p>
    <w:p>
      <w:pPr>
        <w:spacing w:after="0" w:line="3" w:lineRule="exact"/>
        <w:rPr>
          <w:sz w:val="20"/>
          <w:szCs w:val="20"/>
          <w:color w:val="auto"/>
        </w:rPr>
      </w:pPr>
    </w:p>
    <w:p>
      <w:pPr>
        <w:ind w:right="40" w:firstLine="598"/>
        <w:spacing w:after="0" w:line="259" w:lineRule="auto"/>
        <w:rPr>
          <w:sz w:val="20"/>
          <w:szCs w:val="20"/>
          <w:color w:val="auto"/>
        </w:rPr>
      </w:pPr>
      <w:r>
        <w:rPr>
          <w:rFonts w:ascii="Arial" w:cs="Arial" w:eastAsia="Arial" w:hAnsi="Arial"/>
          <w:sz w:val="19"/>
          <w:szCs w:val="19"/>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and expenses associated with merging acquired operations into the Company, since such items are considered by management to be “nonoperating” in nature. Those merger-related expenses generally consist of professional services and other temporary help fees associated with the actual or planned conversion of systems and/or integration of operations; costs related to branch and office consolidations; costs related to termination of existing contractual arrangements to purchase various services; initial marketing and promotion expenses designed to introduce M&amp;T Bank to its new customers; severance; incentive compensation costs; travel costs; and printing, supplies and other costs of completing the transactions and commencing operations in new markets and offices. There were no such merger-related expenses in 2019, 2018 or 2017. Although “net operating income” as defined by M&amp;T is not a GAAP measure, M&amp;T’s management believes that this information helps investors understand the effect of acquisition activity in reported results.</w:t>
      </w:r>
    </w:p>
    <w:p>
      <w:pPr>
        <w:spacing w:after="0" w:line="8" w:lineRule="exact"/>
        <w:rPr>
          <w:sz w:val="20"/>
          <w:szCs w:val="20"/>
          <w:color w:val="auto"/>
        </w:rPr>
      </w:pPr>
    </w:p>
    <w:p>
      <w:pPr>
        <w:ind w:right="560" w:firstLine="598"/>
        <w:spacing w:after="0" w:line="256" w:lineRule="auto"/>
        <w:rPr>
          <w:sz w:val="20"/>
          <w:szCs w:val="20"/>
          <w:color w:val="auto"/>
        </w:rPr>
      </w:pPr>
      <w:r>
        <w:rPr>
          <w:rFonts w:ascii="Arial" w:cs="Arial" w:eastAsia="Arial" w:hAnsi="Arial"/>
          <w:sz w:val="20"/>
          <w:szCs w:val="20"/>
          <w:color w:val="auto"/>
        </w:rPr>
        <w:t>Net operating income was $1.94 billion in each of 2019 and 2018 and $1.43 billion in 2017. Diluted net operating earnings per common share were $13.86 in 2019, $12.86 in 2018 and $8.82 in 2017.</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437" w:right="239" w:bottom="1440" w:gutter="0" w:footer="0" w:header="0"/>
        </w:sectPr>
      </w:pPr>
    </w:p>
    <w:bookmarkStart w:id="53" w:name="page54"/>
    <w:bookmarkEnd w:id="53"/>
    <w:p>
      <w:pPr>
        <w:jc w:val="both"/>
        <w:ind w:right="80" w:firstLine="598"/>
        <w:spacing w:after="0" w:line="253" w:lineRule="auto"/>
        <w:rPr>
          <w:sz w:val="20"/>
          <w:szCs w:val="20"/>
          <w:color w:val="auto"/>
        </w:rPr>
      </w:pPr>
      <w:r>
        <w:rPr>
          <w:rFonts w:ascii="Arial" w:cs="Arial" w:eastAsia="Arial" w:hAnsi="Arial"/>
          <w:sz w:val="20"/>
          <w:szCs w:val="20"/>
          <w:color w:val="auto"/>
        </w:rPr>
        <w:t>Net operating income expressed as a rate of return on average tangible assets was 1.69% in 2019, compared with 1.72% in 2018 and 1.23% in 2017. Net operating income represented a return on average tangible common equity of 19.08% in 2019, compared with 19.09% in 2018 and 13.00% in 2017.</w:t>
      </w:r>
    </w:p>
    <w:p>
      <w:pPr>
        <w:ind w:left="600"/>
        <w:spacing w:after="0"/>
        <w:rPr>
          <w:sz w:val="20"/>
          <w:szCs w:val="20"/>
          <w:color w:val="auto"/>
        </w:rPr>
      </w:pPr>
      <w:r>
        <w:rPr>
          <w:rFonts w:ascii="Arial" w:cs="Arial" w:eastAsia="Arial" w:hAnsi="Arial"/>
          <w:sz w:val="20"/>
          <w:szCs w:val="20"/>
          <w:color w:val="auto"/>
        </w:rPr>
        <w:t>Reconciliations of GAAP amounts with corresponding non-GAAP amounts are presented in table 2.</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2</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GAAP TO NON-GAAP MEASURES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00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2017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Income statement data</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i w:val="1"/>
                <w:iCs w:val="1"/>
                <w:color w:val="auto"/>
              </w:rPr>
              <w:t>Dollars in thousands, except per share</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Net income</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Net income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1,929,149</w:t>
            </w:r>
          </w:p>
        </w:tc>
        <w:tc>
          <w:tcPr>
            <w:tcW w:w="120" w:type="dxa"/>
            <w:vAlign w:val="bottom"/>
          </w:tcPr>
          <w:p>
            <w:pPr>
              <w:spacing w:after="0"/>
              <w:rPr>
                <w:sz w:val="12"/>
                <w:szCs w:val="12"/>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1,918,080</w:t>
            </w:r>
          </w:p>
        </w:tc>
        <w:tc>
          <w:tcPr>
            <w:tcW w:w="120" w:type="dxa"/>
            <w:vAlign w:val="bottom"/>
          </w:tcPr>
          <w:p>
            <w:pPr>
              <w:spacing w:after="0"/>
              <w:rPr>
                <w:sz w:val="12"/>
                <w:szCs w:val="12"/>
                <w:color w:val="auto"/>
              </w:rPr>
            </w:pPr>
          </w:p>
        </w:tc>
        <w:tc>
          <w:tcPr>
            <w:tcW w:w="360" w:type="dxa"/>
            <w:vAlign w:val="bottom"/>
            <w:gridSpan w:val="2"/>
          </w:tcPr>
          <w:p>
            <w:pPr>
              <w:jc w:val="right"/>
              <w:ind w:right="137"/>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1,408,306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Amortization of core deposit and other intangible assets(a)</w:t>
            </w: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14,359</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18,075</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19,025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000" w:type="dxa"/>
            <w:vAlign w:val="bottom"/>
          </w:tcPr>
          <w:p>
            <w:pPr>
              <w:ind w:left="240"/>
              <w:spacing w:after="0"/>
              <w:rPr>
                <w:sz w:val="20"/>
                <w:szCs w:val="20"/>
                <w:color w:val="auto"/>
              </w:rPr>
            </w:pPr>
            <w:r>
              <w:rPr>
                <w:rFonts w:ascii="Arial" w:cs="Arial" w:eastAsia="Arial" w:hAnsi="Arial"/>
                <w:sz w:val="11"/>
                <w:szCs w:val="11"/>
                <w:color w:val="auto"/>
              </w:rPr>
              <w:t>Net operating income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1,943,508</w:t>
            </w:r>
          </w:p>
        </w:tc>
        <w:tc>
          <w:tcPr>
            <w:tcW w:w="120" w:type="dxa"/>
            <w:vAlign w:val="bottom"/>
          </w:tcPr>
          <w:p>
            <w:pPr>
              <w:spacing w:after="0"/>
              <w:rPr>
                <w:sz w:val="15"/>
                <w:szCs w:val="15"/>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1,936,155</w:t>
            </w:r>
          </w:p>
        </w:tc>
        <w:tc>
          <w:tcPr>
            <w:tcW w:w="120" w:type="dxa"/>
            <w:vAlign w:val="bottom"/>
          </w:tcPr>
          <w:p>
            <w:pPr>
              <w:spacing w:after="0"/>
              <w:rPr>
                <w:sz w:val="15"/>
                <w:szCs w:val="15"/>
                <w:color w:val="auto"/>
              </w:rPr>
            </w:pPr>
          </w:p>
        </w:tc>
        <w:tc>
          <w:tcPr>
            <w:tcW w:w="360" w:type="dxa"/>
            <w:vAlign w:val="bottom"/>
            <w:gridSpan w:val="2"/>
          </w:tcPr>
          <w:p>
            <w:pPr>
              <w:jc w:val="right"/>
              <w:ind w:right="137"/>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1,427,331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Earnings per common share</w:t>
            </w: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Diluted earnings per common share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13.75</w:t>
            </w:r>
          </w:p>
        </w:tc>
        <w:tc>
          <w:tcPr>
            <w:tcW w:w="120" w:type="dxa"/>
            <w:vAlign w:val="bottom"/>
          </w:tcPr>
          <w:p>
            <w:pPr>
              <w:spacing w:after="0"/>
              <w:rPr>
                <w:sz w:val="12"/>
                <w:szCs w:val="12"/>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12.74</w:t>
            </w:r>
          </w:p>
        </w:tc>
        <w:tc>
          <w:tcPr>
            <w:tcW w:w="120" w:type="dxa"/>
            <w:vAlign w:val="bottom"/>
          </w:tcPr>
          <w:p>
            <w:pPr>
              <w:spacing w:after="0"/>
              <w:rPr>
                <w:sz w:val="12"/>
                <w:szCs w:val="12"/>
                <w:color w:val="auto"/>
              </w:rPr>
            </w:pPr>
          </w:p>
        </w:tc>
        <w:tc>
          <w:tcPr>
            <w:tcW w:w="360" w:type="dxa"/>
            <w:vAlign w:val="bottom"/>
            <w:gridSpan w:val="2"/>
          </w:tcPr>
          <w:p>
            <w:pPr>
              <w:jc w:val="right"/>
              <w:ind w:right="137"/>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8.70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Amortization of core deposit and other intangible assets(a)</w:t>
            </w: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000" w:type="dxa"/>
            <w:vAlign w:val="bottom"/>
          </w:tcPr>
          <w:p>
            <w:pPr>
              <w:ind w:left="240"/>
              <w:spacing w:after="0"/>
              <w:rPr>
                <w:sz w:val="20"/>
                <w:szCs w:val="20"/>
                <w:color w:val="auto"/>
              </w:rPr>
            </w:pPr>
            <w:r>
              <w:rPr>
                <w:rFonts w:ascii="Arial" w:cs="Arial" w:eastAsia="Arial" w:hAnsi="Arial"/>
                <w:sz w:val="11"/>
                <w:szCs w:val="11"/>
                <w:color w:val="auto"/>
              </w:rPr>
              <w:t>Diluted net operating earnings per common share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13.86</w:t>
            </w:r>
          </w:p>
        </w:tc>
        <w:tc>
          <w:tcPr>
            <w:tcW w:w="120" w:type="dxa"/>
            <w:vAlign w:val="bottom"/>
          </w:tcPr>
          <w:p>
            <w:pPr>
              <w:spacing w:after="0"/>
              <w:rPr>
                <w:sz w:val="15"/>
                <w:szCs w:val="15"/>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12.86</w:t>
            </w:r>
          </w:p>
        </w:tc>
        <w:tc>
          <w:tcPr>
            <w:tcW w:w="120" w:type="dxa"/>
            <w:vAlign w:val="bottom"/>
          </w:tcPr>
          <w:p>
            <w:pPr>
              <w:spacing w:after="0"/>
              <w:rPr>
                <w:sz w:val="15"/>
                <w:szCs w:val="15"/>
                <w:color w:val="auto"/>
              </w:rPr>
            </w:pPr>
          </w:p>
        </w:tc>
        <w:tc>
          <w:tcPr>
            <w:tcW w:w="360" w:type="dxa"/>
            <w:vAlign w:val="bottom"/>
            <w:gridSpan w:val="2"/>
          </w:tcPr>
          <w:p>
            <w:pPr>
              <w:jc w:val="right"/>
              <w:ind w:right="137"/>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8.82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Other expense</w:t>
            </w: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Other expense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3,468,682</w:t>
            </w:r>
          </w:p>
        </w:tc>
        <w:tc>
          <w:tcPr>
            <w:tcW w:w="120" w:type="dxa"/>
            <w:vAlign w:val="bottom"/>
          </w:tcPr>
          <w:p>
            <w:pPr>
              <w:spacing w:after="0"/>
              <w:rPr>
                <w:sz w:val="12"/>
                <w:szCs w:val="12"/>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3,288,062</w:t>
            </w:r>
          </w:p>
        </w:tc>
        <w:tc>
          <w:tcPr>
            <w:tcW w:w="120" w:type="dxa"/>
            <w:vAlign w:val="bottom"/>
          </w:tcPr>
          <w:p>
            <w:pPr>
              <w:spacing w:after="0"/>
              <w:rPr>
                <w:sz w:val="12"/>
                <w:szCs w:val="12"/>
                <w:color w:val="auto"/>
              </w:rPr>
            </w:pPr>
          </w:p>
        </w:tc>
        <w:tc>
          <w:tcPr>
            <w:tcW w:w="360" w:type="dxa"/>
            <w:vAlign w:val="bottom"/>
            <w:gridSpan w:val="2"/>
          </w:tcPr>
          <w:p>
            <w:pPr>
              <w:jc w:val="right"/>
              <w:ind w:right="137"/>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3,140,325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Amortization of core deposit and other intangible assets</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(19,490)</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(24,522)</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(31,366)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000" w:type="dxa"/>
            <w:vAlign w:val="bottom"/>
          </w:tcPr>
          <w:p>
            <w:pPr>
              <w:ind w:left="240"/>
              <w:spacing w:after="0"/>
              <w:rPr>
                <w:sz w:val="20"/>
                <w:szCs w:val="20"/>
                <w:color w:val="auto"/>
              </w:rPr>
            </w:pPr>
            <w:r>
              <w:rPr>
                <w:rFonts w:ascii="Arial" w:cs="Arial" w:eastAsia="Arial" w:hAnsi="Arial"/>
                <w:sz w:val="11"/>
                <w:szCs w:val="11"/>
                <w:color w:val="auto"/>
              </w:rPr>
              <w:t>Noninterest operating expense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3,449,192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3,263,540</w:t>
            </w:r>
          </w:p>
        </w:tc>
        <w:tc>
          <w:tcPr>
            <w:tcW w:w="120" w:type="dxa"/>
            <w:vAlign w:val="bottom"/>
          </w:tcPr>
          <w:p>
            <w:pPr>
              <w:spacing w:after="0"/>
              <w:rPr>
                <w:sz w:val="15"/>
                <w:szCs w:val="15"/>
                <w:color w:val="auto"/>
              </w:rPr>
            </w:pPr>
          </w:p>
        </w:tc>
        <w:tc>
          <w:tcPr>
            <w:tcW w:w="360" w:type="dxa"/>
            <w:vAlign w:val="bottom"/>
            <w:gridSpan w:val="2"/>
          </w:tcPr>
          <w:p>
            <w:pPr>
              <w:jc w:val="right"/>
              <w:ind w:right="137"/>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3,108,959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Efficiency ratio</w:t>
            </w: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000" w:type="dxa"/>
            <w:vAlign w:val="bottom"/>
          </w:tcPr>
          <w:p>
            <w:pPr>
              <w:spacing w:after="0"/>
              <w:rPr>
                <w:sz w:val="20"/>
                <w:szCs w:val="20"/>
                <w:color w:val="auto"/>
              </w:rPr>
            </w:pPr>
            <w:r>
              <w:rPr>
                <w:rFonts w:ascii="Arial" w:cs="Arial" w:eastAsia="Arial" w:hAnsi="Arial"/>
                <w:sz w:val="11"/>
                <w:szCs w:val="11"/>
                <w:color w:val="auto"/>
              </w:rPr>
              <w:t>Noninterest operating expense (numerator)</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3,449,192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3,263,540</w:t>
            </w:r>
          </w:p>
        </w:tc>
        <w:tc>
          <w:tcPr>
            <w:tcW w:w="120" w:type="dxa"/>
            <w:vAlign w:val="bottom"/>
          </w:tcPr>
          <w:p>
            <w:pPr>
              <w:spacing w:after="0"/>
              <w:rPr>
                <w:sz w:val="14"/>
                <w:szCs w:val="14"/>
                <w:color w:val="auto"/>
              </w:rPr>
            </w:pPr>
          </w:p>
        </w:tc>
        <w:tc>
          <w:tcPr>
            <w:tcW w:w="360" w:type="dxa"/>
            <w:vAlign w:val="bottom"/>
            <w:gridSpan w:val="2"/>
          </w:tcPr>
          <w:p>
            <w:pPr>
              <w:jc w:val="right"/>
              <w:ind w:right="137"/>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3,108,959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000" w:type="dxa"/>
            <w:vAlign w:val="bottom"/>
            <w:shd w:val="clear" w:color="auto" w:fill="CFF0FC"/>
          </w:tcPr>
          <w:p>
            <w:pPr>
              <w:spacing w:after="0" w:line="124" w:lineRule="exact"/>
              <w:rPr>
                <w:sz w:val="20"/>
                <w:szCs w:val="20"/>
                <w:color w:val="auto"/>
              </w:rPr>
            </w:pPr>
            <w:r>
              <w:rPr>
                <w:rFonts w:ascii="Arial" w:cs="Arial" w:eastAsia="Arial" w:hAnsi="Arial"/>
                <w:sz w:val="11"/>
                <w:szCs w:val="11"/>
                <w:color w:val="auto"/>
              </w:rPr>
              <w:t>Taxable-equivalent net interest income</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4,153,127</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4,094,199</w:t>
            </w:r>
          </w:p>
        </w:tc>
        <w:tc>
          <w:tcPr>
            <w:tcW w:w="120" w:type="dxa"/>
            <w:vAlign w:val="bottom"/>
            <w:shd w:val="clear" w:color="auto" w:fill="CFF0FC"/>
          </w:tcPr>
          <w:p>
            <w:pPr>
              <w:spacing w:after="0"/>
              <w:rPr>
                <w:sz w:val="10"/>
                <w:szCs w:val="10"/>
                <w:color w:val="auto"/>
              </w:rPr>
            </w:pPr>
          </w:p>
        </w:tc>
        <w:tc>
          <w:tcPr>
            <w:tcW w:w="360" w:type="dxa"/>
            <w:vAlign w:val="bottom"/>
            <w:gridSpan w:val="2"/>
            <w:shd w:val="clear" w:color="auto" w:fill="CFF0FC"/>
          </w:tcPr>
          <w:p>
            <w:pPr>
              <w:jc w:val="right"/>
              <w:ind w:right="137"/>
              <w:spacing w:after="0" w:line="124" w:lineRule="exact"/>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3,815,614</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Other income</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2,061,679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1,856,000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1,851,143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Less: Gain (loss) on bank investment securities</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18,037</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(6,301)</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21,279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1"/>
                <w:szCs w:val="11"/>
                <w:color w:val="auto"/>
              </w:rPr>
              <w:t>Denominator</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000" w:type="dxa"/>
            <w:vAlign w:val="bottom"/>
            <w:vMerge w:val="continue"/>
          </w:tcPr>
          <w:p>
            <w:pPr>
              <w:spacing w:after="0"/>
              <w:rPr>
                <w:sz w:val="13"/>
                <w:szCs w:val="1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6,196,769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5,956,500</w:t>
            </w:r>
          </w:p>
        </w:tc>
        <w:tc>
          <w:tcPr>
            <w:tcW w:w="120" w:type="dxa"/>
            <w:vAlign w:val="bottom"/>
          </w:tcPr>
          <w:p>
            <w:pPr>
              <w:spacing w:after="0"/>
              <w:rPr>
                <w:sz w:val="13"/>
                <w:szCs w:val="13"/>
                <w:color w:val="auto"/>
              </w:rPr>
            </w:pPr>
          </w:p>
        </w:tc>
        <w:tc>
          <w:tcPr>
            <w:tcW w:w="360" w:type="dxa"/>
            <w:vAlign w:val="bottom"/>
            <w:gridSpan w:val="2"/>
          </w:tcPr>
          <w:p>
            <w:pPr>
              <w:jc w:val="right"/>
              <w:ind w:right="137"/>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5,645,478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000" w:type="dxa"/>
            <w:vAlign w:val="bottom"/>
            <w:shd w:val="clear" w:color="auto" w:fill="CFF0FC"/>
          </w:tcPr>
          <w:p>
            <w:pPr>
              <w:spacing w:after="0" w:line="124" w:lineRule="exact"/>
              <w:rPr>
                <w:sz w:val="20"/>
                <w:szCs w:val="20"/>
                <w:color w:val="auto"/>
              </w:rPr>
            </w:pPr>
            <w:r>
              <w:rPr>
                <w:rFonts w:ascii="Arial" w:cs="Arial" w:eastAsia="Arial" w:hAnsi="Arial"/>
                <w:sz w:val="11"/>
                <w:szCs w:val="11"/>
                <w:color w:val="auto"/>
              </w:rPr>
              <w:t>Efficiency ratio</w:t>
            </w:r>
          </w:p>
        </w:tc>
        <w:tc>
          <w:tcPr>
            <w:tcW w:w="2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40"/>
              <w:spacing w:after="0" w:line="124" w:lineRule="exact"/>
              <w:rPr>
                <w:sz w:val="20"/>
                <w:szCs w:val="20"/>
                <w:color w:val="auto"/>
              </w:rPr>
            </w:pPr>
            <w:r>
              <w:rPr>
                <w:rFonts w:ascii="Arial" w:cs="Arial" w:eastAsia="Arial" w:hAnsi="Arial"/>
                <w:sz w:val="11"/>
                <w:szCs w:val="11"/>
                <w:color w:val="auto"/>
              </w:rPr>
              <w:t>55.66%</w:t>
            </w: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0"/>
              <w:spacing w:after="0" w:line="124" w:lineRule="exact"/>
              <w:rPr>
                <w:sz w:val="20"/>
                <w:szCs w:val="20"/>
                <w:color w:val="auto"/>
              </w:rPr>
            </w:pPr>
            <w:r>
              <w:rPr>
                <w:rFonts w:ascii="Arial" w:cs="Arial" w:eastAsia="Arial" w:hAnsi="Arial"/>
                <w:sz w:val="11"/>
                <w:szCs w:val="11"/>
                <w:color w:val="auto"/>
              </w:rPr>
              <w:t>54.79%</w:t>
            </w: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40"/>
              <w:spacing w:after="0" w:line="124" w:lineRule="exact"/>
              <w:rPr>
                <w:sz w:val="20"/>
                <w:szCs w:val="20"/>
                <w:color w:val="auto"/>
              </w:rPr>
            </w:pPr>
            <w:r>
              <w:rPr>
                <w:rFonts w:ascii="Arial" w:cs="Arial" w:eastAsia="Arial" w:hAnsi="Arial"/>
                <w:sz w:val="11"/>
                <w:szCs w:val="11"/>
                <w:color w:val="auto"/>
              </w:rPr>
              <w:t>55.07%</w:t>
            </w: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b w:val="1"/>
                <w:bCs w:val="1"/>
                <w:color w:val="auto"/>
              </w:rPr>
              <w:t>Balance sheet data</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0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i w:val="1"/>
                <w:iCs w:val="1"/>
                <w:color w:val="auto"/>
              </w:rPr>
              <w:t>In millions</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b w:val="1"/>
                <w:bCs w:val="1"/>
                <w:color w:val="auto"/>
              </w:rPr>
              <w:t>Average assets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Average assets</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119,584</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116,959</w:t>
            </w:r>
          </w:p>
        </w:tc>
        <w:tc>
          <w:tcPr>
            <w:tcW w:w="12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37"/>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120,860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Goodwill</w:t>
            </w: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(4,593)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(4,593)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(4,593)</w:t>
            </w: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Core deposit and other intangible assets</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(38)</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(59)</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(86)</w:t>
            </w:r>
          </w:p>
        </w:tc>
        <w:tc>
          <w:tcPr>
            <w:tcW w:w="0" w:type="dxa"/>
            <w:vAlign w:val="bottom"/>
          </w:tcPr>
          <w:p>
            <w:pPr>
              <w:spacing w:after="0"/>
              <w:rPr>
                <w:sz w:val="1"/>
                <w:szCs w:val="1"/>
                <w:color w:val="auto"/>
              </w:rPr>
            </w:pPr>
          </w:p>
        </w:tc>
      </w:tr>
      <w:tr>
        <w:trPr>
          <w:trHeight w:val="145"/>
        </w:trPr>
        <w:tc>
          <w:tcPr>
            <w:tcW w:w="800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Deferred taxes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0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Average tangible assets</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114,963</w:t>
            </w:r>
          </w:p>
        </w:tc>
        <w:tc>
          <w:tcPr>
            <w:tcW w:w="12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112,323</w:t>
            </w:r>
          </w:p>
        </w:tc>
        <w:tc>
          <w:tcPr>
            <w:tcW w:w="12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37"/>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116,214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b w:val="1"/>
                <w:bCs w:val="1"/>
                <w:color w:val="auto"/>
              </w:rPr>
              <w:t>Average common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0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Average total equity</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15,718</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15,630</w:t>
            </w:r>
          </w:p>
        </w:tc>
        <w:tc>
          <w:tcPr>
            <w:tcW w:w="12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37"/>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16,295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Preferred stock</w:t>
            </w: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(1,272)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(1,232)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(1,232)</w:t>
            </w:r>
          </w:p>
        </w:tc>
        <w:tc>
          <w:tcPr>
            <w:tcW w:w="0" w:type="dxa"/>
            <w:vAlign w:val="bottom"/>
          </w:tcPr>
          <w:p>
            <w:pPr>
              <w:spacing w:after="0"/>
              <w:rPr>
                <w:sz w:val="1"/>
                <w:szCs w:val="1"/>
                <w:color w:val="auto"/>
              </w:rPr>
            </w:pPr>
          </w:p>
        </w:tc>
      </w:tr>
      <w:tr>
        <w:trPr>
          <w:trHeight w:val="138"/>
        </w:trPr>
        <w:tc>
          <w:tcPr>
            <w:tcW w:w="80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1"/>
                <w:szCs w:val="11"/>
                <w:color w:val="auto"/>
              </w:rPr>
              <w:t>Average common equity</w:t>
            </w:r>
          </w:p>
        </w:tc>
        <w:tc>
          <w:tcPr>
            <w:tcW w:w="2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14,446</w:t>
            </w:r>
          </w:p>
        </w:tc>
        <w:tc>
          <w:tcPr>
            <w:tcW w:w="12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14,398</w:t>
            </w:r>
          </w:p>
        </w:tc>
        <w:tc>
          <w:tcPr>
            <w:tcW w:w="1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15,063</w:t>
            </w: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Goodwill</w:t>
            </w: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(4,593)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(4,593)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(4,593)</w:t>
            </w: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Core deposit and other intangible assets</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(38)</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(59)</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(86)</w:t>
            </w:r>
          </w:p>
        </w:tc>
        <w:tc>
          <w:tcPr>
            <w:tcW w:w="0" w:type="dxa"/>
            <w:vAlign w:val="bottom"/>
          </w:tcPr>
          <w:p>
            <w:pPr>
              <w:spacing w:after="0"/>
              <w:rPr>
                <w:sz w:val="1"/>
                <w:szCs w:val="1"/>
                <w:color w:val="auto"/>
              </w:rPr>
            </w:pPr>
          </w:p>
        </w:tc>
      </w:tr>
      <w:tr>
        <w:trPr>
          <w:trHeight w:val="145"/>
        </w:trPr>
        <w:tc>
          <w:tcPr>
            <w:tcW w:w="800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Deferred taxes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0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Average tangible common equity</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9,825</w:t>
            </w:r>
          </w:p>
        </w:tc>
        <w:tc>
          <w:tcPr>
            <w:tcW w:w="12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9,762</w:t>
            </w:r>
          </w:p>
        </w:tc>
        <w:tc>
          <w:tcPr>
            <w:tcW w:w="12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37"/>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10,417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b w:val="1"/>
                <w:bCs w:val="1"/>
                <w:color w:val="auto"/>
              </w:rPr>
              <w:t>At end of year</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0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Total assets</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Total assets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119,873</w:t>
            </w:r>
          </w:p>
        </w:tc>
        <w:tc>
          <w:tcPr>
            <w:tcW w:w="120" w:type="dxa"/>
            <w:vAlign w:val="bottom"/>
          </w:tcPr>
          <w:p>
            <w:pPr>
              <w:spacing w:after="0"/>
              <w:rPr>
                <w:sz w:val="12"/>
                <w:szCs w:val="12"/>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120,097</w:t>
            </w:r>
          </w:p>
        </w:tc>
        <w:tc>
          <w:tcPr>
            <w:tcW w:w="120" w:type="dxa"/>
            <w:vAlign w:val="bottom"/>
          </w:tcPr>
          <w:p>
            <w:pPr>
              <w:spacing w:after="0"/>
              <w:rPr>
                <w:sz w:val="12"/>
                <w:szCs w:val="12"/>
                <w:color w:val="auto"/>
              </w:rPr>
            </w:pPr>
          </w:p>
        </w:tc>
        <w:tc>
          <w:tcPr>
            <w:tcW w:w="360" w:type="dxa"/>
            <w:vAlign w:val="bottom"/>
            <w:gridSpan w:val="2"/>
          </w:tcPr>
          <w:p>
            <w:pPr>
              <w:jc w:val="right"/>
              <w:ind w:right="137"/>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118,593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Goodwill</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(4,593)</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(4,593)</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(4,593)</w:t>
            </w: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Core deposit and other intangible assets</w:t>
            </w: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(29)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(47)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(72)</w:t>
            </w: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Deferred taxes</w:t>
            </w: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000" w:type="dxa"/>
            <w:vAlign w:val="bottom"/>
          </w:tcPr>
          <w:p>
            <w:pPr>
              <w:ind w:left="240"/>
              <w:spacing w:after="0"/>
              <w:rPr>
                <w:sz w:val="20"/>
                <w:szCs w:val="20"/>
                <w:color w:val="auto"/>
              </w:rPr>
            </w:pPr>
            <w:r>
              <w:rPr>
                <w:rFonts w:ascii="Arial" w:cs="Arial" w:eastAsia="Arial" w:hAnsi="Arial"/>
                <w:sz w:val="11"/>
                <w:szCs w:val="11"/>
                <w:color w:val="auto"/>
              </w:rPr>
              <w:t>Total tangible assets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115,258</w:t>
            </w:r>
          </w:p>
        </w:tc>
        <w:tc>
          <w:tcPr>
            <w:tcW w:w="120" w:type="dxa"/>
            <w:vAlign w:val="bottom"/>
          </w:tcPr>
          <w:p>
            <w:pPr>
              <w:spacing w:after="0"/>
              <w:rPr>
                <w:sz w:val="15"/>
                <w:szCs w:val="15"/>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115,470</w:t>
            </w:r>
          </w:p>
        </w:tc>
        <w:tc>
          <w:tcPr>
            <w:tcW w:w="120" w:type="dxa"/>
            <w:vAlign w:val="bottom"/>
          </w:tcPr>
          <w:p>
            <w:pPr>
              <w:spacing w:after="0"/>
              <w:rPr>
                <w:sz w:val="15"/>
                <w:szCs w:val="15"/>
                <w:color w:val="auto"/>
              </w:rPr>
            </w:pPr>
          </w:p>
        </w:tc>
        <w:tc>
          <w:tcPr>
            <w:tcW w:w="360" w:type="dxa"/>
            <w:vAlign w:val="bottom"/>
            <w:gridSpan w:val="2"/>
          </w:tcPr>
          <w:p>
            <w:pPr>
              <w:jc w:val="right"/>
              <w:ind w:right="137"/>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113,947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Total common equity</w:t>
            </w: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Total equity</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15,717</w:t>
            </w:r>
          </w:p>
        </w:tc>
        <w:tc>
          <w:tcPr>
            <w:tcW w:w="120" w:type="dxa"/>
            <w:vAlign w:val="bottom"/>
          </w:tcPr>
          <w:p>
            <w:pPr>
              <w:spacing w:after="0"/>
              <w:rPr>
                <w:sz w:val="12"/>
                <w:szCs w:val="12"/>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15,460</w:t>
            </w:r>
          </w:p>
        </w:tc>
        <w:tc>
          <w:tcPr>
            <w:tcW w:w="120" w:type="dxa"/>
            <w:vAlign w:val="bottom"/>
          </w:tcPr>
          <w:p>
            <w:pPr>
              <w:spacing w:after="0"/>
              <w:rPr>
                <w:sz w:val="12"/>
                <w:szCs w:val="12"/>
                <w:color w:val="auto"/>
              </w:rPr>
            </w:pPr>
          </w:p>
        </w:tc>
        <w:tc>
          <w:tcPr>
            <w:tcW w:w="360" w:type="dxa"/>
            <w:vAlign w:val="bottom"/>
            <w:gridSpan w:val="2"/>
          </w:tcPr>
          <w:p>
            <w:pPr>
              <w:jc w:val="right"/>
              <w:ind w:right="137"/>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16,251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Preferred stock</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(1,250)</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(1,232)</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(1,232)</w:t>
            </w: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Undeclared dividends — cumulative preferred stock</w:t>
            </w:r>
          </w:p>
        </w:tc>
        <w:tc>
          <w:tcPr>
            <w:tcW w:w="2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8"/>
        </w:trPr>
        <w:tc>
          <w:tcPr>
            <w:tcW w:w="80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1"/>
                <w:szCs w:val="11"/>
                <w:color w:val="auto"/>
              </w:rPr>
              <w:t>Common equity, net of undeclared cumulative preferred dividends</w:t>
            </w:r>
          </w:p>
        </w:tc>
        <w:tc>
          <w:tcPr>
            <w:tcW w:w="2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14,467</w:t>
            </w:r>
          </w:p>
        </w:tc>
        <w:tc>
          <w:tcPr>
            <w:tcW w:w="12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14,225</w:t>
            </w:r>
          </w:p>
        </w:tc>
        <w:tc>
          <w:tcPr>
            <w:tcW w:w="1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15,016</w:t>
            </w: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Goodwill</w:t>
            </w: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(4,593)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(4,593)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(4,593)</w:t>
            </w: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Core deposit and other intangible assets</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(29)</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(47)</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(72)</w:t>
            </w:r>
          </w:p>
        </w:tc>
        <w:tc>
          <w:tcPr>
            <w:tcW w:w="0" w:type="dxa"/>
            <w:vAlign w:val="bottom"/>
          </w:tcPr>
          <w:p>
            <w:pPr>
              <w:spacing w:after="0"/>
              <w:rPr>
                <w:sz w:val="1"/>
                <w:szCs w:val="1"/>
                <w:color w:val="auto"/>
              </w:rPr>
            </w:pPr>
          </w:p>
        </w:tc>
      </w:tr>
      <w:tr>
        <w:trPr>
          <w:trHeight w:val="145"/>
        </w:trPr>
        <w:tc>
          <w:tcPr>
            <w:tcW w:w="800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Deferred taxes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FF0FC"/>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FF0FC"/>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Total tangible common equity</w:t>
            </w:r>
          </w:p>
        </w:tc>
        <w:tc>
          <w:tcPr>
            <w:tcW w:w="200" w:type="dxa"/>
            <w:vAlign w:val="bottom"/>
            <w:tcBorders>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9,852</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9,598</w:t>
            </w: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bottom w:val="single" w:sz="8" w:color="auto"/>
            </w:tcBorders>
            <w:shd w:val="clear" w:color="auto" w:fill="CFF0FC"/>
          </w:tcPr>
          <w:p>
            <w:pPr>
              <w:jc w:val="right"/>
              <w:ind w:right="137"/>
              <w:spacing w:after="0"/>
              <w:rPr>
                <w:sz w:val="20"/>
                <w:szCs w:val="20"/>
                <w:color w:val="auto"/>
              </w:rPr>
            </w:pPr>
            <w:r>
              <w:rPr>
                <w:rFonts w:ascii="Arial" w:cs="Arial" w:eastAsia="Arial" w:hAnsi="Arial"/>
                <w:sz w:val="5"/>
                <w:szCs w:val="5"/>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10,370</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13601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ind w:left="600" w:hanging="595"/>
        <w:spacing w:after="0"/>
        <w:tabs>
          <w:tab w:leader="none" w:pos="600" w:val="left"/>
        </w:tabs>
        <w:numPr>
          <w:ilvl w:val="0"/>
          <w:numId w:val="21"/>
        </w:numPr>
        <w:rPr>
          <w:rFonts w:ascii="Arial" w:cs="Arial" w:eastAsia="Arial" w:hAnsi="Arial"/>
          <w:sz w:val="12"/>
          <w:szCs w:val="12"/>
          <w:i w:val="1"/>
          <w:iCs w:val="1"/>
          <w:color w:val="auto"/>
        </w:rPr>
      </w:pPr>
      <w:r>
        <w:rPr>
          <w:rFonts w:ascii="Arial" w:cs="Arial" w:eastAsia="Arial" w:hAnsi="Arial"/>
          <w:sz w:val="12"/>
          <w:szCs w:val="12"/>
          <w:i w:val="1"/>
          <w:iCs w:val="1"/>
          <w:color w:val="auto"/>
        </w:rPr>
        <w:t>After any related tax effect.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4" w:name="page55"/>
    <w:bookmarkEnd w:id="54"/>
    <w:p>
      <w:pPr>
        <w:spacing w:after="0"/>
        <w:rPr>
          <w:sz w:val="20"/>
          <w:szCs w:val="20"/>
          <w:color w:val="auto"/>
        </w:rPr>
      </w:pPr>
      <w:r>
        <w:rPr>
          <w:rFonts w:ascii="Arial" w:cs="Arial" w:eastAsia="Arial" w:hAnsi="Arial"/>
          <w:sz w:val="20"/>
          <w:szCs w:val="20"/>
          <w:b w:val="1"/>
          <w:bCs w:val="1"/>
          <w:color w:val="auto"/>
        </w:rPr>
        <w:t>Net Interest Income/Lending and Funding Activities</w:t>
      </w:r>
    </w:p>
    <w:p>
      <w:pPr>
        <w:spacing w:after="0" w:line="2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Net interest income expressed on a taxable-equivalent basis aggregated $4.15 billion in 2019, up 1% from $4.09 billion in 2018. That growth resulted from a $1.5 billion, or 1%, increase in average earning assets to $108.2 billion in 2019 from $106.8 billion in 2018 that reflected increases in average loan and lease balances of $2.1 billion and in interest-bearing deposits at banks of $1.2 billion, partially offset by a decline in average balances of investment securities of $2.1 billion.</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Also contributing to the improvement was a widening of the net interest margin to 3.84% in 2019 from 3.83% in 2018.</w:t>
      </w:r>
    </w:p>
    <w:p>
      <w:pPr>
        <w:spacing w:after="0" w:line="7" w:lineRule="exact"/>
        <w:rPr>
          <w:sz w:val="20"/>
          <w:szCs w:val="20"/>
          <w:color w:val="auto"/>
        </w:rPr>
      </w:pPr>
    </w:p>
    <w:p>
      <w:pPr>
        <w:ind w:right="20" w:firstLine="598"/>
        <w:spacing w:after="0" w:line="274" w:lineRule="auto"/>
        <w:rPr>
          <w:sz w:val="20"/>
          <w:szCs w:val="20"/>
          <w:color w:val="auto"/>
        </w:rPr>
      </w:pPr>
      <w:r>
        <w:rPr>
          <w:rFonts w:ascii="Arial" w:cs="Arial" w:eastAsia="Arial" w:hAnsi="Arial"/>
          <w:sz w:val="18"/>
          <w:szCs w:val="18"/>
          <w:color w:val="auto"/>
        </w:rPr>
        <w:t>Average loans and leases rose 2% to $89.5 billion in 2019 from $87.4 billion in 2018. Average balances of commercial loans and leases increased $1.5 billion or 7% to $23.3 billion in 2019 from $21.8 billion in 2018. Average commercial real estate loan balances were up $1.2 billion or 4% to $34.9 billion in 2019 from $33.7 billion in 2018. Consumer loans averaged $14.6 billion in 2019, up $1.1 billion or 8% from $13.6 billion in 2018, due to growth in recreational finance loans and automobile loans that was partially offset by declines in outstanding balances of home equity loans and lines of credit. Recreational finance loans predominantly consisted of loans to consumers that are secured by recreational vehicles and boats. Average residential real estate loans declined $1.7 billion or 9% to $16.7 billion in 2019 from $18.3 billion in 2018, predominantly due to ongoing repayments of loans obtained in the 2015 acquisition of Hudson City Bancorp,</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Inc. (“Hudson City”).</w:t>
      </w:r>
    </w:p>
    <w:p>
      <w:pPr>
        <w:spacing w:after="0" w:line="7" w:lineRule="exact"/>
        <w:rPr>
          <w:sz w:val="20"/>
          <w:szCs w:val="20"/>
          <w:color w:val="auto"/>
        </w:rPr>
      </w:pPr>
    </w:p>
    <w:p>
      <w:pPr>
        <w:ind w:right="240" w:firstLine="598"/>
        <w:spacing w:after="0" w:line="259" w:lineRule="auto"/>
        <w:rPr>
          <w:sz w:val="20"/>
          <w:szCs w:val="20"/>
          <w:color w:val="auto"/>
        </w:rPr>
      </w:pPr>
      <w:r>
        <w:rPr>
          <w:rFonts w:ascii="Arial" w:cs="Arial" w:eastAsia="Arial" w:hAnsi="Arial"/>
          <w:sz w:val="19"/>
          <w:szCs w:val="19"/>
          <w:color w:val="auto"/>
        </w:rPr>
        <w:t>Taxable-equivalent net interest income in 2018 increased 7% from $3.82 billion in 2017. That growth resulted from a widening of the net interest margin to 3.83% in 2018 from 3.47% in 2017. The improvement in the net interest margin was predominantly the result of higher yields on loans due to the higher interest rate environment in 2018. The Federal Reserve raised its target Federal funds rate in .25% increments three times during 2017 and four times during 2018. Partially offsetting the favorable impact of higher interest rates was a $3.2 billion, or 3%, decline in average earning assets to $106.8 billion in 2018 from $110.0 billion in 2017 that reflected decreases in average balances of investment securities of $1.8 billion and average loan and lease balances of $1.4 billion.</w:t>
      </w:r>
    </w:p>
    <w:p>
      <w:pPr>
        <w:spacing w:after="0" w:line="4" w:lineRule="exact"/>
        <w:rPr>
          <w:sz w:val="20"/>
          <w:szCs w:val="20"/>
          <w:color w:val="auto"/>
        </w:rPr>
      </w:pPr>
    </w:p>
    <w:p>
      <w:pPr>
        <w:ind w:right="20" w:firstLine="782"/>
        <w:spacing w:after="0" w:line="248" w:lineRule="auto"/>
        <w:rPr>
          <w:sz w:val="20"/>
          <w:szCs w:val="20"/>
          <w:color w:val="auto"/>
        </w:rPr>
      </w:pPr>
      <w:r>
        <w:rPr>
          <w:rFonts w:ascii="Arial" w:cs="Arial" w:eastAsia="Arial" w:hAnsi="Arial"/>
          <w:sz w:val="20"/>
          <w:szCs w:val="20"/>
          <w:color w:val="auto"/>
        </w:rPr>
        <w:t>Average loans and leases declined to $87.4 billion in 2018 from $88.8 billion in 2017. Average balances of commercial loans and leases decreased $149 million or 1% to $21.8 billion in 2018 from $22.0 billion in 2017. Average balances of commercial real estate loans increased $485 million or 1% to $33.7 billion in 2018 from $33.2 billion in 2017. Consumer loans averaged $13.6 billion in 2018, up $930 million or 7% from $12.6 billion in 2017, due to growth in recreational finance loans and automobile loans that was partially offset by declines in outstanding balances of home equity loans and lines of credit. Average residential real estate loans declined $2.7 billion or 13% to $18.3 billion in 2018 from $21.0 billion in 2017, predominantly due to ongoing repayments of loans obtained in the acquisition of Hudson City.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jc w:val="center"/>
        <w:ind w:right="100"/>
        <w:spacing w:after="0"/>
        <w:rPr>
          <w:sz w:val="20"/>
          <w:szCs w:val="20"/>
          <w:color w:val="auto"/>
        </w:rPr>
      </w:pPr>
      <w:r>
        <w:rPr>
          <w:rFonts w:ascii="Arial" w:cs="Arial" w:eastAsia="Arial" w:hAnsi="Arial"/>
          <w:sz w:val="18"/>
          <w:szCs w:val="18"/>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3</w:t>
      </w:r>
    </w:p>
    <w:p>
      <w:pPr>
        <w:spacing w:after="0" w:line="2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AVERAGE BALANCE SHEETS AND TAXABLE-EQUIVALENT RATES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200" w:type="dxa"/>
            <w:vAlign w:val="bottom"/>
          </w:tcPr>
          <w:p>
            <w:pPr>
              <w:spacing w:after="0"/>
              <w:rPr>
                <w:sz w:val="10"/>
                <w:szCs w:val="10"/>
                <w:color w:val="auto"/>
              </w:rPr>
            </w:pPr>
          </w:p>
        </w:tc>
        <w:tc>
          <w:tcPr>
            <w:tcW w:w="580" w:type="dxa"/>
            <w:vAlign w:val="bottom"/>
            <w:gridSpan w:val="3"/>
          </w:tcPr>
          <w:p>
            <w:pPr>
              <w:ind w:left="20"/>
              <w:spacing w:after="0" w:line="120" w:lineRule="exact"/>
              <w:rPr>
                <w:sz w:val="20"/>
                <w:szCs w:val="20"/>
                <w:color w:val="auto"/>
              </w:rPr>
            </w:pPr>
            <w:r>
              <w:rPr>
                <w:rFonts w:ascii="Arial" w:cs="Arial" w:eastAsia="Arial" w:hAnsi="Arial"/>
                <w:sz w:val="12"/>
                <w:szCs w:val="12"/>
                <w:b w:val="1"/>
                <w:bCs w:val="1"/>
                <w:color w:val="auto"/>
              </w:rPr>
              <w:t>Average</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gridSpan w:val="2"/>
          </w:tcPr>
          <w:p>
            <w:pPr>
              <w:jc w:val="right"/>
              <w:spacing w:after="0" w:line="120" w:lineRule="exact"/>
              <w:rPr>
                <w:sz w:val="20"/>
                <w:szCs w:val="20"/>
                <w:color w:val="auto"/>
              </w:rPr>
            </w:pPr>
            <w:r>
              <w:rPr>
                <w:rFonts w:ascii="Arial" w:cs="Arial" w:eastAsia="Arial" w:hAnsi="Arial"/>
                <w:sz w:val="12"/>
                <w:szCs w:val="12"/>
                <w:b w:val="1"/>
                <w:bCs w:val="1"/>
                <w:color w:val="auto"/>
              </w:rPr>
              <w:t>Average</w:t>
            </w:r>
          </w:p>
        </w:tc>
        <w:tc>
          <w:tcPr>
            <w:tcW w:w="180" w:type="dxa"/>
            <w:vAlign w:val="bottom"/>
          </w:tcPr>
          <w:p>
            <w:pPr>
              <w:spacing w:after="0"/>
              <w:rPr>
                <w:sz w:val="10"/>
                <w:szCs w:val="10"/>
                <w:color w:val="auto"/>
              </w:rPr>
            </w:pPr>
          </w:p>
        </w:tc>
        <w:tc>
          <w:tcPr>
            <w:tcW w:w="58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Average</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0" w:lineRule="exact"/>
              <w:rPr>
                <w:sz w:val="20"/>
                <w:szCs w:val="20"/>
                <w:color w:val="auto"/>
              </w:rPr>
            </w:pPr>
            <w:r>
              <w:rPr>
                <w:rFonts w:ascii="Arial" w:cs="Arial" w:eastAsia="Arial" w:hAnsi="Arial"/>
                <w:sz w:val="12"/>
                <w:szCs w:val="12"/>
                <w:b w:val="1"/>
                <w:bCs w:val="1"/>
                <w:color w:val="auto"/>
                <w:w w:val="84"/>
              </w:rPr>
              <w:t>Average</w:t>
            </w:r>
          </w:p>
        </w:tc>
        <w:tc>
          <w:tcPr>
            <w:tcW w:w="160" w:type="dxa"/>
            <w:vAlign w:val="bottom"/>
          </w:tcPr>
          <w:p>
            <w:pPr>
              <w:spacing w:after="0"/>
              <w:rPr>
                <w:sz w:val="10"/>
                <w:szCs w:val="10"/>
                <w:color w:val="auto"/>
              </w:rPr>
            </w:pPr>
          </w:p>
        </w:tc>
        <w:tc>
          <w:tcPr>
            <w:tcW w:w="60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Average</w:t>
            </w:r>
          </w:p>
        </w:tc>
        <w:tc>
          <w:tcPr>
            <w:tcW w:w="560" w:type="dxa"/>
            <w:vAlign w:val="bottom"/>
          </w:tcPr>
          <w:p>
            <w:pPr>
              <w:spacing w:after="0"/>
              <w:rPr>
                <w:sz w:val="10"/>
                <w:szCs w:val="10"/>
                <w:color w:val="auto"/>
              </w:rPr>
            </w:pPr>
          </w:p>
        </w:tc>
        <w:tc>
          <w:tcPr>
            <w:tcW w:w="540" w:type="dxa"/>
            <w:vAlign w:val="bottom"/>
            <w:gridSpan w:val="2"/>
          </w:tcPr>
          <w:p>
            <w:pPr>
              <w:jc w:val="right"/>
              <w:spacing w:after="0" w:line="120" w:lineRule="exact"/>
              <w:rPr>
                <w:sz w:val="20"/>
                <w:szCs w:val="20"/>
                <w:color w:val="auto"/>
              </w:rPr>
            </w:pPr>
            <w:r>
              <w:rPr>
                <w:rFonts w:ascii="Arial" w:cs="Arial" w:eastAsia="Arial" w:hAnsi="Arial"/>
                <w:sz w:val="12"/>
                <w:szCs w:val="12"/>
                <w:b w:val="1"/>
                <w:bCs w:val="1"/>
                <w:color w:val="auto"/>
              </w:rPr>
              <w:t>Average</w:t>
            </w:r>
          </w:p>
        </w:tc>
        <w:tc>
          <w:tcPr>
            <w:tcW w:w="160" w:type="dxa"/>
            <w:vAlign w:val="bottom"/>
          </w:tcPr>
          <w:p>
            <w:pPr>
              <w:spacing w:after="0"/>
              <w:rPr>
                <w:sz w:val="10"/>
                <w:szCs w:val="10"/>
                <w:color w:val="auto"/>
              </w:rPr>
            </w:pPr>
          </w:p>
        </w:tc>
        <w:tc>
          <w:tcPr>
            <w:tcW w:w="60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Average</w:t>
            </w:r>
          </w:p>
        </w:tc>
        <w:tc>
          <w:tcPr>
            <w:tcW w:w="560" w:type="dxa"/>
            <w:vAlign w:val="bottom"/>
          </w:tcPr>
          <w:p>
            <w:pPr>
              <w:spacing w:after="0"/>
              <w:rPr>
                <w:sz w:val="10"/>
                <w:szCs w:val="10"/>
                <w:color w:val="auto"/>
              </w:rPr>
            </w:pPr>
          </w:p>
        </w:tc>
        <w:tc>
          <w:tcPr>
            <w:tcW w:w="540" w:type="dxa"/>
            <w:vAlign w:val="bottom"/>
            <w:gridSpan w:val="2"/>
          </w:tcPr>
          <w:p>
            <w:pPr>
              <w:jc w:val="right"/>
              <w:spacing w:after="0" w:line="120" w:lineRule="exact"/>
              <w:rPr>
                <w:sz w:val="20"/>
                <w:szCs w:val="20"/>
                <w:color w:val="auto"/>
              </w:rPr>
            </w:pPr>
            <w:r>
              <w:rPr>
                <w:rFonts w:ascii="Arial" w:cs="Arial" w:eastAsia="Arial" w:hAnsi="Arial"/>
                <w:sz w:val="12"/>
                <w:szCs w:val="12"/>
                <w:b w:val="1"/>
                <w:bCs w:val="1"/>
                <w:color w:val="auto"/>
              </w:rPr>
              <w:t>Average</w:t>
            </w:r>
          </w:p>
        </w:tc>
        <w:tc>
          <w:tcPr>
            <w:tcW w:w="180" w:type="dxa"/>
            <w:vAlign w:val="bottom"/>
          </w:tcPr>
          <w:p>
            <w:pPr>
              <w:spacing w:after="0"/>
              <w:rPr>
                <w:sz w:val="10"/>
                <w:szCs w:val="10"/>
                <w:color w:val="auto"/>
              </w:rPr>
            </w:pPr>
          </w:p>
        </w:tc>
        <w:tc>
          <w:tcPr>
            <w:tcW w:w="58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Average</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0" w:lineRule="exact"/>
              <w:rPr>
                <w:sz w:val="20"/>
                <w:szCs w:val="20"/>
                <w:color w:val="auto"/>
              </w:rPr>
            </w:pPr>
            <w:r>
              <w:rPr>
                <w:rFonts w:ascii="Arial" w:cs="Arial" w:eastAsia="Arial" w:hAnsi="Arial"/>
                <w:sz w:val="12"/>
                <w:szCs w:val="12"/>
                <w:b w:val="1"/>
                <w:bCs w:val="1"/>
                <w:color w:val="auto"/>
                <w:w w:val="84"/>
              </w:rPr>
              <w:t>Average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200" w:type="dxa"/>
            <w:vAlign w:val="bottom"/>
          </w:tcPr>
          <w:p>
            <w:pPr>
              <w:spacing w:after="0"/>
              <w:rPr>
                <w:sz w:val="13"/>
                <w:szCs w:val="13"/>
                <w:color w:val="auto"/>
              </w:rPr>
            </w:pP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Balance</w:t>
            </w:r>
          </w:p>
        </w:tc>
        <w:tc>
          <w:tcPr>
            <w:tcW w:w="40" w:type="dxa"/>
            <w:vAlign w:val="bottom"/>
          </w:tcPr>
          <w:p>
            <w:pPr>
              <w:spacing w:after="0"/>
              <w:rPr>
                <w:sz w:val="13"/>
                <w:szCs w:val="13"/>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b w:val="1"/>
                <w:bCs w:val="1"/>
                <w:color w:val="auto"/>
              </w:rPr>
              <w:t>Interest</w:t>
            </w:r>
          </w:p>
        </w:tc>
        <w:tc>
          <w:tcPr>
            <w:tcW w:w="120" w:type="dxa"/>
            <w:vAlign w:val="bottom"/>
          </w:tcPr>
          <w:p>
            <w:pPr>
              <w:spacing w:after="0"/>
              <w:rPr>
                <w:sz w:val="13"/>
                <w:szCs w:val="13"/>
                <w:color w:val="auto"/>
              </w:rPr>
            </w:pPr>
          </w:p>
        </w:tc>
        <w:tc>
          <w:tcPr>
            <w:tcW w:w="420" w:type="dxa"/>
            <w:vAlign w:val="bottom"/>
          </w:tcPr>
          <w:p>
            <w:pPr>
              <w:jc w:val="right"/>
              <w:ind w:right="39"/>
              <w:spacing w:after="0"/>
              <w:rPr>
                <w:sz w:val="20"/>
                <w:szCs w:val="20"/>
                <w:color w:val="auto"/>
              </w:rPr>
            </w:pPr>
            <w:r>
              <w:rPr>
                <w:rFonts w:ascii="Arial" w:cs="Arial" w:eastAsia="Arial" w:hAnsi="Arial"/>
                <w:sz w:val="12"/>
                <w:szCs w:val="12"/>
                <w:b w:val="1"/>
                <w:bCs w:val="1"/>
                <w:color w:val="auto"/>
              </w:rPr>
              <w:t>Rate</w:t>
            </w:r>
          </w:p>
        </w:tc>
        <w:tc>
          <w:tcPr>
            <w:tcW w:w="18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Interest</w:t>
            </w:r>
          </w:p>
        </w:tc>
        <w:tc>
          <w:tcPr>
            <w:tcW w:w="6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Rate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w:t>
            </w:r>
          </w:p>
        </w:tc>
        <w:tc>
          <w:tcPr>
            <w:tcW w:w="560" w:type="dxa"/>
            <w:vAlign w:val="bottom"/>
          </w:tcPr>
          <w:p>
            <w:pPr>
              <w:jc w:val="right"/>
              <w:ind w:right="19"/>
              <w:spacing w:after="0"/>
              <w:rPr>
                <w:sz w:val="20"/>
                <w:szCs w:val="20"/>
                <w:color w:val="auto"/>
              </w:rPr>
            </w:pPr>
            <w:r>
              <w:rPr>
                <w:rFonts w:ascii="Arial" w:cs="Arial" w:eastAsia="Arial" w:hAnsi="Arial"/>
                <w:sz w:val="12"/>
                <w:szCs w:val="12"/>
                <w:b w:val="1"/>
                <w:bCs w:val="1"/>
                <w:color w:val="auto"/>
              </w:rPr>
              <w:t>Interest</w:t>
            </w:r>
          </w:p>
        </w:tc>
        <w:tc>
          <w:tcPr>
            <w:tcW w:w="100" w:type="dxa"/>
            <w:vAlign w:val="bottom"/>
          </w:tcPr>
          <w:p>
            <w:pPr>
              <w:spacing w:after="0"/>
              <w:rPr>
                <w:sz w:val="13"/>
                <w:szCs w:val="1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Rate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Balance</w:t>
            </w:r>
          </w:p>
        </w:tc>
        <w:tc>
          <w:tcPr>
            <w:tcW w:w="560" w:type="dxa"/>
            <w:vAlign w:val="bottom"/>
          </w:tcPr>
          <w:p>
            <w:pPr>
              <w:jc w:val="right"/>
              <w:ind w:right="19"/>
              <w:spacing w:after="0"/>
              <w:rPr>
                <w:sz w:val="20"/>
                <w:szCs w:val="20"/>
                <w:color w:val="auto"/>
              </w:rPr>
            </w:pPr>
            <w:r>
              <w:rPr>
                <w:rFonts w:ascii="Arial" w:cs="Arial" w:eastAsia="Arial" w:hAnsi="Arial"/>
                <w:sz w:val="12"/>
                <w:szCs w:val="12"/>
                <w:b w:val="1"/>
                <w:bCs w:val="1"/>
                <w:color w:val="auto"/>
              </w:rPr>
              <w:t>Interest</w:t>
            </w:r>
          </w:p>
        </w:tc>
        <w:tc>
          <w:tcPr>
            <w:tcW w:w="12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Rate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Interest</w:t>
            </w:r>
          </w:p>
        </w:tc>
        <w:tc>
          <w:tcPr>
            <w:tcW w:w="5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Rate</w:t>
            </w:r>
          </w:p>
        </w:tc>
        <w:tc>
          <w:tcPr>
            <w:tcW w:w="0" w:type="dxa"/>
            <w:vAlign w:val="bottom"/>
          </w:tcPr>
          <w:p>
            <w:pPr>
              <w:spacing w:after="0"/>
              <w:rPr>
                <w:sz w:val="1"/>
                <w:szCs w:val="1"/>
                <w:color w:val="auto"/>
              </w:rPr>
            </w:pPr>
          </w:p>
        </w:tc>
      </w:tr>
      <w:tr>
        <w:trPr>
          <w:trHeight w:val="138"/>
        </w:trPr>
        <w:tc>
          <w:tcPr>
            <w:tcW w:w="2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300" w:type="dxa"/>
            <w:vAlign w:val="bottom"/>
            <w:tcBorders>
              <w:top w:val="single" w:sz="8" w:color="auto"/>
            </w:tcBorders>
            <w:gridSpan w:val="13"/>
          </w:tcPr>
          <w:p>
            <w:pPr>
              <w:jc w:val="right"/>
              <w:ind w:right="279"/>
              <w:spacing w:after="0"/>
              <w:rPr>
                <w:sz w:val="20"/>
                <w:szCs w:val="20"/>
                <w:color w:val="auto"/>
              </w:rPr>
            </w:pPr>
            <w:r>
              <w:rPr>
                <w:rFonts w:ascii="Arial" w:cs="Arial" w:eastAsia="Arial" w:hAnsi="Arial"/>
                <w:sz w:val="12"/>
                <w:szCs w:val="12"/>
                <w:b w:val="1"/>
                <w:bCs w:val="1"/>
                <w:color w:val="auto"/>
                <w:w w:val="96"/>
              </w:rPr>
              <w:t>(Average balance in millions of dollars; interest in thousands of dollars)</w:t>
            </w: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Assets</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20"/>
                <w:szCs w:val="20"/>
                <w:color w:val="auto"/>
              </w:rPr>
            </w:pPr>
            <w:r>
              <w:rPr>
                <w:rFonts w:ascii="Arial" w:cs="Arial" w:eastAsia="Arial" w:hAnsi="Arial"/>
                <w:sz w:val="12"/>
                <w:szCs w:val="12"/>
                <w:color w:val="auto"/>
              </w:rPr>
              <w:t>Earning assets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00" w:type="dxa"/>
            <w:vAlign w:val="bottom"/>
            <w:shd w:val="clear" w:color="auto" w:fill="CFF0FC"/>
          </w:tcPr>
          <w:p>
            <w:pPr>
              <w:spacing w:after="0" w:line="130" w:lineRule="exact"/>
              <w:rPr>
                <w:sz w:val="20"/>
                <w:szCs w:val="20"/>
                <w:color w:val="auto"/>
              </w:rPr>
            </w:pPr>
            <w:r>
              <w:rPr>
                <w:rFonts w:ascii="Arial" w:cs="Arial" w:eastAsia="Arial" w:hAnsi="Arial"/>
                <w:sz w:val="12"/>
                <w:szCs w:val="12"/>
                <w:color w:val="auto"/>
              </w:rPr>
              <w:t>Loans and leases, net of unearned</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discount(a)</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Pr>
          <w:p>
            <w:pPr>
              <w:ind w:left="240"/>
              <w:spacing w:after="0"/>
              <w:rPr>
                <w:sz w:val="20"/>
                <w:szCs w:val="20"/>
                <w:color w:val="auto"/>
              </w:rPr>
            </w:pPr>
            <w:r>
              <w:rPr>
                <w:rFonts w:ascii="Arial" w:cs="Arial" w:eastAsia="Arial" w:hAnsi="Arial"/>
                <w:sz w:val="12"/>
                <w:szCs w:val="12"/>
                <w:color w:val="auto"/>
              </w:rPr>
              <w:t>Commercial, financial, etc.</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23,306</w:t>
            </w:r>
          </w:p>
        </w:tc>
        <w:tc>
          <w:tcPr>
            <w:tcW w:w="8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w w:val="94"/>
              </w:rPr>
              <w:t>$ 1,118,850</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4.80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21,832</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1,003,462</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4.60%</w:t>
            </w:r>
          </w:p>
        </w:tc>
        <w:tc>
          <w:tcPr>
            <w:tcW w:w="480" w:type="dxa"/>
            <w:vAlign w:val="bottom"/>
          </w:tcPr>
          <w:p>
            <w:pPr>
              <w:jc w:val="right"/>
              <w:spacing w:after="0"/>
              <w:rPr>
                <w:sz w:val="20"/>
                <w:szCs w:val="20"/>
                <w:color w:val="auto"/>
              </w:rPr>
            </w:pPr>
            <w:r>
              <w:rPr>
                <w:rFonts w:ascii="Arial" w:cs="Arial" w:eastAsia="Arial" w:hAnsi="Arial"/>
                <w:sz w:val="12"/>
                <w:szCs w:val="12"/>
                <w:color w:val="auto"/>
              </w:rPr>
              <w:t>21,981</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853,389</w:t>
            </w:r>
          </w:p>
        </w:tc>
        <w:tc>
          <w:tcPr>
            <w:tcW w:w="700" w:type="dxa"/>
            <w:vAlign w:val="bottom"/>
            <w:gridSpan w:val="3"/>
          </w:tcPr>
          <w:p>
            <w:pPr>
              <w:jc w:val="right"/>
              <w:ind w:right="60"/>
              <w:spacing w:after="0"/>
              <w:rPr>
                <w:sz w:val="20"/>
                <w:szCs w:val="20"/>
                <w:color w:val="auto"/>
              </w:rPr>
            </w:pPr>
            <w:r>
              <w:rPr>
                <w:rFonts w:ascii="Arial" w:cs="Arial" w:eastAsia="Arial" w:hAnsi="Arial"/>
                <w:sz w:val="12"/>
                <w:szCs w:val="12"/>
                <w:color w:val="auto"/>
              </w:rPr>
              <w:t>3.88%</w:t>
            </w:r>
          </w:p>
        </w:tc>
        <w:tc>
          <w:tcPr>
            <w:tcW w:w="480" w:type="dxa"/>
            <w:vAlign w:val="bottom"/>
          </w:tcPr>
          <w:p>
            <w:pPr>
              <w:jc w:val="right"/>
              <w:spacing w:after="0"/>
              <w:rPr>
                <w:sz w:val="20"/>
                <w:szCs w:val="20"/>
                <w:color w:val="auto"/>
              </w:rPr>
            </w:pPr>
            <w:r>
              <w:rPr>
                <w:rFonts w:ascii="Arial" w:cs="Arial" w:eastAsia="Arial" w:hAnsi="Arial"/>
                <w:sz w:val="12"/>
                <w:szCs w:val="12"/>
                <w:color w:val="auto"/>
              </w:rPr>
              <w:t>21,397</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736,240</w:t>
            </w:r>
          </w:p>
        </w:tc>
        <w:tc>
          <w:tcPr>
            <w:tcW w:w="720" w:type="dxa"/>
            <w:vAlign w:val="bottom"/>
            <w:gridSpan w:val="3"/>
          </w:tcPr>
          <w:p>
            <w:pPr>
              <w:jc w:val="right"/>
              <w:ind w:right="80"/>
              <w:spacing w:after="0"/>
              <w:rPr>
                <w:sz w:val="20"/>
                <w:szCs w:val="20"/>
                <w:color w:val="auto"/>
              </w:rPr>
            </w:pPr>
            <w:r>
              <w:rPr>
                <w:rFonts w:ascii="Arial" w:cs="Arial" w:eastAsia="Arial" w:hAnsi="Arial"/>
                <w:sz w:val="12"/>
                <w:szCs w:val="12"/>
                <w:color w:val="auto"/>
              </w:rPr>
              <w:t>3.44%</w:t>
            </w:r>
          </w:p>
        </w:tc>
        <w:tc>
          <w:tcPr>
            <w:tcW w:w="460" w:type="dxa"/>
            <w:vAlign w:val="bottom"/>
          </w:tcPr>
          <w:p>
            <w:pPr>
              <w:jc w:val="right"/>
              <w:spacing w:after="0"/>
              <w:rPr>
                <w:sz w:val="20"/>
                <w:szCs w:val="20"/>
                <w:color w:val="auto"/>
              </w:rPr>
            </w:pPr>
            <w:r>
              <w:rPr>
                <w:rFonts w:ascii="Arial" w:cs="Arial" w:eastAsia="Arial" w:hAnsi="Arial"/>
                <w:sz w:val="12"/>
                <w:szCs w:val="12"/>
                <w:color w:val="auto"/>
              </w:rPr>
              <w:t>19,899</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638,199</w:t>
            </w:r>
          </w:p>
        </w:tc>
        <w:tc>
          <w:tcPr>
            <w:tcW w:w="1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3.21%</w:t>
            </w: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Real estate — commercial</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34,885</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1,842,472</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5.21</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33,682</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1,712,247</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5.01</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33,196</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1,481,427</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4.40</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30,915</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1,277,196</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4.06</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28,276</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1,193,271</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Pr>
          <w:p>
            <w:pPr>
              <w:ind w:left="240"/>
              <w:spacing w:after="0"/>
              <w:rPr>
                <w:sz w:val="20"/>
                <w:szCs w:val="20"/>
                <w:color w:val="auto"/>
              </w:rPr>
            </w:pPr>
            <w:r>
              <w:rPr>
                <w:rFonts w:ascii="Arial" w:cs="Arial" w:eastAsia="Arial" w:hAnsi="Arial"/>
                <w:sz w:val="12"/>
                <w:szCs w:val="12"/>
                <w:color w:val="auto"/>
              </w:rPr>
              <w:t>Real estate — consumer</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16,665</w:t>
            </w:r>
          </w:p>
        </w:tc>
        <w:tc>
          <w:tcPr>
            <w:tcW w:w="8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708,555</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4.25</w:t>
            </w: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18,330</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766,552</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4.18</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21,013</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832,574</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3.96</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24,463</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958,521</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3.92</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11,458</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468,790</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Consumer</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14,638</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794,913</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5.43</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13,555</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703,919</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5.19</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12,625</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608,253</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4.82</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11,841</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538,144</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4.54</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11,203</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499,650</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Borders>
              <w:bottom w:val="single" w:sz="8" w:color="CFF0FC"/>
            </w:tcBorders>
          </w:tcPr>
          <w:p>
            <w:pPr>
              <w:ind w:left="480"/>
              <w:spacing w:after="0"/>
              <w:rPr>
                <w:sz w:val="20"/>
                <w:szCs w:val="20"/>
                <w:color w:val="auto"/>
              </w:rPr>
            </w:pPr>
            <w:r>
              <w:rPr>
                <w:rFonts w:ascii="Arial" w:cs="Arial" w:eastAsia="Arial" w:hAnsi="Arial"/>
                <w:sz w:val="12"/>
                <w:szCs w:val="12"/>
                <w:color w:val="auto"/>
              </w:rPr>
              <w:t>Total loans and leases, net</w:t>
            </w: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89,494</w:t>
            </w:r>
          </w:p>
        </w:tc>
        <w:tc>
          <w:tcPr>
            <w:tcW w:w="8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4,464,790</w:t>
            </w:r>
          </w:p>
        </w:tc>
        <w:tc>
          <w:tcPr>
            <w:tcW w:w="12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4.99</w:t>
            </w:r>
          </w:p>
        </w:tc>
        <w:tc>
          <w:tcPr>
            <w:tcW w:w="18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87,399</w:t>
            </w:r>
          </w:p>
        </w:tc>
        <w:tc>
          <w:tcPr>
            <w:tcW w:w="10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4,186,180</w:t>
            </w:r>
          </w:p>
        </w:tc>
        <w:tc>
          <w:tcPr>
            <w:tcW w:w="100" w:type="dxa"/>
            <w:vAlign w:val="bottom"/>
            <w:tcBorders>
              <w:bottom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4.79</w:t>
            </w:r>
          </w:p>
        </w:tc>
        <w:tc>
          <w:tcPr>
            <w:tcW w:w="16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88,815</w:t>
            </w:r>
          </w:p>
        </w:tc>
        <w:tc>
          <w:tcPr>
            <w:tcW w:w="120" w:type="dxa"/>
            <w:vAlign w:val="bottom"/>
            <w:tcBorders>
              <w:bottom w:val="single" w:sz="8" w:color="CFF0F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7"/>
              </w:rPr>
              <w:t>3,775,643</w:t>
            </w:r>
          </w:p>
        </w:tc>
        <w:tc>
          <w:tcPr>
            <w:tcW w:w="100" w:type="dxa"/>
            <w:vAlign w:val="bottom"/>
            <w:tcBorders>
              <w:bottom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4.25</w:t>
            </w:r>
          </w:p>
        </w:tc>
        <w:tc>
          <w:tcPr>
            <w:tcW w:w="16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88,616</w:t>
            </w:r>
          </w:p>
        </w:tc>
        <w:tc>
          <w:tcPr>
            <w:tcW w:w="120" w:type="dxa"/>
            <w:vAlign w:val="bottom"/>
            <w:tcBorders>
              <w:bottom w:val="single" w:sz="8" w:color="CFF0F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3,510,101</w:t>
            </w:r>
          </w:p>
        </w:tc>
        <w:tc>
          <w:tcPr>
            <w:tcW w:w="12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3.96</w:t>
            </w:r>
          </w:p>
        </w:tc>
        <w:tc>
          <w:tcPr>
            <w:tcW w:w="180" w:type="dxa"/>
            <w:vAlign w:val="bottom"/>
            <w:tcBorders>
              <w:bottom w:val="single" w:sz="8" w:color="CFF0FC"/>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70,836</w:t>
            </w:r>
          </w:p>
        </w:tc>
        <w:tc>
          <w:tcPr>
            <w:tcW w:w="12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2,799,910</w:t>
            </w:r>
          </w:p>
        </w:tc>
        <w:tc>
          <w:tcPr>
            <w:tcW w:w="10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3.95</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Interest-bearing deposits at banks</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6,783</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141,397</w:t>
            </w: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2.08</w:t>
            </w: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5,614</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108,182</w:t>
            </w: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1.93</w:t>
            </w: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5,578</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61,326</w:t>
            </w: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w:t>
            </w: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8,846</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45,516</w:t>
            </w: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w:t>
            </w: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5,775</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15,252</w:t>
            </w: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200" w:type="dxa"/>
            <w:vAlign w:val="bottom"/>
          </w:tcPr>
          <w:p>
            <w:pPr>
              <w:spacing w:after="0" w:line="130" w:lineRule="exact"/>
              <w:rPr>
                <w:sz w:val="20"/>
                <w:szCs w:val="20"/>
                <w:color w:val="auto"/>
              </w:rPr>
            </w:pPr>
            <w:r>
              <w:rPr>
                <w:rFonts w:ascii="Arial" w:cs="Arial" w:eastAsia="Arial" w:hAnsi="Arial"/>
                <w:sz w:val="12"/>
                <w:szCs w:val="12"/>
                <w:color w:val="auto"/>
                <w:w w:val="93"/>
              </w:rPr>
              <w:t>Federal funds sold and agreements to resell</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00" w:type="dxa"/>
            <w:vAlign w:val="bottom"/>
          </w:tcPr>
          <w:p>
            <w:pPr>
              <w:ind w:left="100"/>
              <w:spacing w:after="0"/>
              <w:rPr>
                <w:sz w:val="20"/>
                <w:szCs w:val="20"/>
                <w:color w:val="auto"/>
              </w:rPr>
            </w:pPr>
            <w:r>
              <w:rPr>
                <w:rFonts w:ascii="Arial" w:cs="Arial" w:eastAsia="Arial" w:hAnsi="Arial"/>
                <w:sz w:val="12"/>
                <w:szCs w:val="12"/>
                <w:color w:val="auto"/>
              </w:rPr>
              <w:t>securities</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327</w:t>
            </w:r>
          </w:p>
        </w:tc>
        <w:tc>
          <w:tcPr>
            <w:tcW w:w="8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5,507</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1.68</w:t>
            </w: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1.95</w:t>
            </w:r>
          </w:p>
        </w:tc>
        <w:tc>
          <w:tcPr>
            <w:tcW w:w="1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1.56</w:t>
            </w:r>
          </w:p>
        </w:tc>
        <w:tc>
          <w:tcPr>
            <w:tcW w:w="1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.86</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34</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Trading account</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1,842</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2.72</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1,479</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2.55</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1,202</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1.70</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1,442</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1.71</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1,247</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20"/>
                <w:szCs w:val="20"/>
                <w:color w:val="auto"/>
              </w:rPr>
            </w:pPr>
            <w:r>
              <w:rPr>
                <w:rFonts w:ascii="Arial" w:cs="Arial" w:eastAsia="Arial" w:hAnsi="Arial"/>
                <w:sz w:val="12"/>
                <w:szCs w:val="12"/>
                <w:color w:val="auto"/>
              </w:rPr>
              <w:t>Investment securities(b)</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U.S. Treasury and federal agencies</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10,755</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261,351</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2.43</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12,915</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299,543</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2.32</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14,701</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336,446</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2.29</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14,025</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332,926</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2.37</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13,514</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336,873</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00" w:type="dxa"/>
            <w:vAlign w:val="bottom"/>
          </w:tcPr>
          <w:p>
            <w:pPr>
              <w:ind w:left="240"/>
              <w:spacing w:after="0" w:line="130" w:lineRule="exact"/>
              <w:rPr>
                <w:sz w:val="20"/>
                <w:szCs w:val="20"/>
                <w:color w:val="auto"/>
              </w:rPr>
            </w:pPr>
            <w:r>
              <w:rPr>
                <w:rFonts w:ascii="Arial" w:cs="Arial" w:eastAsia="Arial" w:hAnsi="Arial"/>
                <w:sz w:val="12"/>
                <w:szCs w:val="12"/>
                <w:color w:val="auto"/>
              </w:rPr>
              <w:t>Obligations of states and political</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00" w:type="dxa"/>
            <w:vAlign w:val="bottom"/>
          </w:tcPr>
          <w:p>
            <w:pPr>
              <w:ind w:left="340"/>
              <w:spacing w:after="0"/>
              <w:rPr>
                <w:sz w:val="20"/>
                <w:szCs w:val="20"/>
                <w:color w:val="auto"/>
              </w:rPr>
            </w:pPr>
            <w:r>
              <w:rPr>
                <w:rFonts w:ascii="Arial" w:cs="Arial" w:eastAsia="Arial" w:hAnsi="Arial"/>
                <w:sz w:val="12"/>
                <w:szCs w:val="12"/>
                <w:color w:val="auto"/>
              </w:rPr>
              <w:t>subdivisions</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298</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4.48</w:t>
            </w: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747</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4.58</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43</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1,951</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4.62</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90</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3,839</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4.24</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143</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6,391</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788</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27,272</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3.46</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763</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24,454</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3.21</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794</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25,791</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3.25</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894</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29,006</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3.24</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799</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35,599</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Borders>
              <w:bottom w:val="single" w:sz="8" w:color="CFF0FC"/>
            </w:tcBorders>
          </w:tcPr>
          <w:p>
            <w:pPr>
              <w:ind w:left="480"/>
              <w:spacing w:after="0"/>
              <w:rPr>
                <w:sz w:val="20"/>
                <w:szCs w:val="20"/>
                <w:color w:val="auto"/>
              </w:rPr>
            </w:pPr>
            <w:r>
              <w:rPr>
                <w:rFonts w:ascii="Arial" w:cs="Arial" w:eastAsia="Arial" w:hAnsi="Arial"/>
                <w:sz w:val="12"/>
                <w:szCs w:val="12"/>
                <w:color w:val="auto"/>
              </w:rPr>
              <w:t>Total investment securities</w:t>
            </w: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11,550</w:t>
            </w:r>
          </w:p>
        </w:tc>
        <w:tc>
          <w:tcPr>
            <w:tcW w:w="8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288,921</w:t>
            </w:r>
          </w:p>
        </w:tc>
        <w:tc>
          <w:tcPr>
            <w:tcW w:w="12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2.50</w:t>
            </w:r>
          </w:p>
        </w:tc>
        <w:tc>
          <w:tcPr>
            <w:tcW w:w="18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13,694</w:t>
            </w:r>
          </w:p>
        </w:tc>
        <w:tc>
          <w:tcPr>
            <w:tcW w:w="10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324,744</w:t>
            </w:r>
          </w:p>
        </w:tc>
        <w:tc>
          <w:tcPr>
            <w:tcW w:w="100" w:type="dxa"/>
            <w:vAlign w:val="bottom"/>
            <w:tcBorders>
              <w:bottom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2.37</w:t>
            </w:r>
          </w:p>
        </w:tc>
        <w:tc>
          <w:tcPr>
            <w:tcW w:w="16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15,538</w:t>
            </w:r>
          </w:p>
        </w:tc>
        <w:tc>
          <w:tcPr>
            <w:tcW w:w="120" w:type="dxa"/>
            <w:vAlign w:val="bottom"/>
            <w:tcBorders>
              <w:bottom w:val="single" w:sz="8" w:color="CFF0F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364,188</w:t>
            </w:r>
          </w:p>
        </w:tc>
        <w:tc>
          <w:tcPr>
            <w:tcW w:w="100" w:type="dxa"/>
            <w:vAlign w:val="bottom"/>
            <w:tcBorders>
              <w:bottom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2.34</w:t>
            </w:r>
          </w:p>
        </w:tc>
        <w:tc>
          <w:tcPr>
            <w:tcW w:w="16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15,009</w:t>
            </w:r>
          </w:p>
        </w:tc>
        <w:tc>
          <w:tcPr>
            <w:tcW w:w="120" w:type="dxa"/>
            <w:vAlign w:val="bottom"/>
            <w:tcBorders>
              <w:bottom w:val="single" w:sz="8" w:color="CFF0F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365,771</w:t>
            </w:r>
          </w:p>
        </w:tc>
        <w:tc>
          <w:tcPr>
            <w:tcW w:w="12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2.44</w:t>
            </w:r>
          </w:p>
        </w:tc>
        <w:tc>
          <w:tcPr>
            <w:tcW w:w="180" w:type="dxa"/>
            <w:vAlign w:val="bottom"/>
            <w:tcBorders>
              <w:bottom w:val="single" w:sz="8" w:color="CFF0FC"/>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14,456</w:t>
            </w:r>
          </w:p>
        </w:tc>
        <w:tc>
          <w:tcPr>
            <w:tcW w:w="12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378,863</w:t>
            </w:r>
          </w:p>
        </w:tc>
        <w:tc>
          <w:tcPr>
            <w:tcW w:w="10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2.62</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00" w:type="dxa"/>
            <w:vAlign w:val="bottom"/>
            <w:shd w:val="clear" w:color="auto" w:fill="CFF0FC"/>
          </w:tcPr>
          <w:p>
            <w:pPr>
              <w:ind w:left="480"/>
              <w:spacing w:after="0"/>
              <w:rPr>
                <w:sz w:val="20"/>
                <w:szCs w:val="20"/>
                <w:color w:val="auto"/>
              </w:rPr>
            </w:pPr>
            <w:r>
              <w:rPr>
                <w:rFonts w:ascii="Arial" w:cs="Arial" w:eastAsia="Arial" w:hAnsi="Arial"/>
                <w:sz w:val="12"/>
                <w:szCs w:val="12"/>
                <w:i w:val="1"/>
                <w:iCs w:val="1"/>
                <w:color w:val="auto"/>
              </w:rPr>
              <w:t>Total earning assets</w:t>
            </w:r>
          </w:p>
        </w:tc>
        <w:tc>
          <w:tcPr>
            <w:tcW w:w="8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7"/>
              </w:rPr>
              <w:t>108,222</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4,902,457</w:t>
            </w:r>
          </w:p>
        </w:tc>
        <w:tc>
          <w:tcPr>
            <w:tcW w:w="120" w:type="dxa"/>
            <w:vAlign w:val="bottom"/>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4.53</w:t>
            </w:r>
          </w:p>
        </w:tc>
        <w:tc>
          <w:tcPr>
            <w:tcW w:w="180" w:type="dxa"/>
            <w:vAlign w:val="bottom"/>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106,766</w:t>
            </w:r>
          </w:p>
        </w:tc>
        <w:tc>
          <w:tcPr>
            <w:tcW w:w="100" w:type="dxa"/>
            <w:vAlign w:val="bottom"/>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4,620,608</w:t>
            </w:r>
          </w:p>
        </w:tc>
        <w:tc>
          <w:tcPr>
            <w:tcW w:w="100" w:type="dxa"/>
            <w:vAlign w:val="bottom"/>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4.33</w:t>
            </w:r>
          </w:p>
        </w:tc>
        <w:tc>
          <w:tcPr>
            <w:tcW w:w="160" w:type="dxa"/>
            <w:vAlign w:val="bottom"/>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110,002</w:t>
            </w:r>
          </w:p>
        </w:tc>
        <w:tc>
          <w:tcPr>
            <w:tcW w:w="120" w:type="dxa"/>
            <w:vAlign w:val="bottom"/>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7"/>
              </w:rPr>
              <w:t>4,202,365</w:t>
            </w:r>
          </w:p>
        </w:tc>
        <w:tc>
          <w:tcPr>
            <w:tcW w:w="100" w:type="dxa"/>
            <w:vAlign w:val="bottom"/>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3.82</w:t>
            </w:r>
          </w:p>
        </w:tc>
        <w:tc>
          <w:tcPr>
            <w:tcW w:w="160" w:type="dxa"/>
            <w:vAlign w:val="bottom"/>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112,556</w:t>
            </w:r>
          </w:p>
        </w:tc>
        <w:tc>
          <w:tcPr>
            <w:tcW w:w="120" w:type="dxa"/>
            <w:vAlign w:val="bottom"/>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3,922,833</w:t>
            </w:r>
          </w:p>
        </w:tc>
        <w:tc>
          <w:tcPr>
            <w:tcW w:w="120" w:type="dxa"/>
            <w:vAlign w:val="bottom"/>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3.49</w:t>
            </w:r>
          </w:p>
        </w:tc>
        <w:tc>
          <w:tcPr>
            <w:tcW w:w="180" w:type="dxa"/>
            <w:vAlign w:val="bottom"/>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91,187</w:t>
            </w:r>
          </w:p>
        </w:tc>
        <w:tc>
          <w:tcPr>
            <w:tcW w:w="120" w:type="dxa"/>
            <w:vAlign w:val="bottom"/>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3,195,307</w:t>
            </w:r>
          </w:p>
        </w:tc>
        <w:tc>
          <w:tcPr>
            <w:tcW w:w="100" w:type="dxa"/>
            <w:vAlign w:val="bottom"/>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3.50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00" w:type="dxa"/>
            <w:vAlign w:val="bottom"/>
          </w:tcPr>
          <w:p>
            <w:pPr>
              <w:spacing w:after="0"/>
              <w:rPr>
                <w:sz w:val="20"/>
                <w:szCs w:val="20"/>
                <w:color w:val="auto"/>
              </w:rPr>
            </w:pPr>
            <w:r>
              <w:rPr>
                <w:rFonts w:ascii="Arial" w:cs="Arial" w:eastAsia="Arial" w:hAnsi="Arial"/>
                <w:sz w:val="12"/>
                <w:szCs w:val="12"/>
                <w:color w:val="auto"/>
              </w:rPr>
              <w:t>Allowance for credit losses</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(1,030)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(1,019)</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(1,012)</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(976)</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(935)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Cash and due from banks</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1,294</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1,312</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1,295</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1,273</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1,242</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 assets</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11,098</w:t>
            </w:r>
          </w:p>
        </w:tc>
        <w:tc>
          <w:tcPr>
            <w:tcW w:w="8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5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9,900</w:t>
            </w:r>
          </w:p>
        </w:tc>
        <w:tc>
          <w:tcPr>
            <w:tcW w:w="100" w:type="dxa"/>
            <w:vAlign w:val="bottom"/>
            <w:tcBorders>
              <w:bottom w:val="single" w:sz="8" w:color="CFF0FC"/>
            </w:tcBorders>
          </w:tcPr>
          <w:p>
            <w:pPr>
              <w:spacing w:after="0"/>
              <w:rPr>
                <w:sz w:val="12"/>
                <w:szCs w:val="12"/>
                <w:color w:val="auto"/>
              </w:rPr>
            </w:pPr>
          </w:p>
        </w:tc>
        <w:tc>
          <w:tcPr>
            <w:tcW w:w="58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44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10,575</w:t>
            </w:r>
          </w:p>
        </w:tc>
        <w:tc>
          <w:tcPr>
            <w:tcW w:w="120" w:type="dxa"/>
            <w:vAlign w:val="bottom"/>
            <w:tcBorders>
              <w:bottom w:val="single" w:sz="8" w:color="CFF0FC"/>
            </w:tcBorders>
          </w:tcPr>
          <w:p>
            <w:pPr>
              <w:spacing w:after="0"/>
              <w:rPr>
                <w:sz w:val="12"/>
                <w:szCs w:val="12"/>
                <w:color w:val="auto"/>
              </w:rPr>
            </w:pPr>
          </w:p>
        </w:tc>
        <w:tc>
          <w:tcPr>
            <w:tcW w:w="5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44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11,487</w:t>
            </w:r>
          </w:p>
        </w:tc>
        <w:tc>
          <w:tcPr>
            <w:tcW w:w="120" w:type="dxa"/>
            <w:vAlign w:val="bottom"/>
            <w:tcBorders>
              <w:bottom w:val="single" w:sz="8" w:color="CFF0FC"/>
            </w:tcBorders>
          </w:tcPr>
          <w:p>
            <w:pPr>
              <w:spacing w:after="0"/>
              <w:rPr>
                <w:sz w:val="12"/>
                <w:szCs w:val="12"/>
                <w:color w:val="auto"/>
              </w:rPr>
            </w:pPr>
          </w:p>
        </w:tc>
        <w:tc>
          <w:tcPr>
            <w:tcW w:w="5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10,286</w:t>
            </w:r>
          </w:p>
        </w:tc>
        <w:tc>
          <w:tcPr>
            <w:tcW w:w="120" w:type="dxa"/>
            <w:vAlign w:val="bottom"/>
            <w:tcBorders>
              <w:bottom w:val="single" w:sz="8" w:color="CFF0FC"/>
            </w:tcBorders>
          </w:tcPr>
          <w:p>
            <w:pPr>
              <w:spacing w:after="0"/>
              <w:rPr>
                <w:sz w:val="12"/>
                <w:szCs w:val="12"/>
                <w:color w:val="auto"/>
              </w:rPr>
            </w:pPr>
          </w:p>
        </w:tc>
        <w:tc>
          <w:tcPr>
            <w:tcW w:w="58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4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2"/>
                <w:szCs w:val="12"/>
                <w:color w:val="auto"/>
              </w:rPr>
              <w:t>Total assets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7"/>
              </w:rPr>
              <w:t>119,584</w:t>
            </w:r>
          </w:p>
        </w:tc>
        <w:tc>
          <w:tcPr>
            <w:tcW w:w="8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116,959</w:t>
            </w:r>
          </w:p>
        </w:tc>
        <w:tc>
          <w:tcPr>
            <w:tcW w:w="10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120,860</w:t>
            </w:r>
          </w:p>
        </w:tc>
        <w:tc>
          <w:tcPr>
            <w:tcW w:w="12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124,340</w:t>
            </w:r>
          </w:p>
        </w:tc>
        <w:tc>
          <w:tcPr>
            <w:tcW w:w="12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101,780</w:t>
            </w:r>
          </w:p>
        </w:tc>
        <w:tc>
          <w:tcPr>
            <w:tcW w:w="12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rPr>
                <w:sz w:val="20"/>
                <w:szCs w:val="20"/>
                <w:color w:val="auto"/>
              </w:rPr>
            </w:pPr>
            <w:r>
              <w:rPr>
                <w:rFonts w:ascii="Arial" w:cs="Arial" w:eastAsia="Arial" w:hAnsi="Arial"/>
                <w:sz w:val="12"/>
                <w:szCs w:val="12"/>
                <w:b w:val="1"/>
                <w:bCs w:val="1"/>
                <w:color w:val="auto"/>
              </w:rPr>
              <w:t>Liabilities and Shareholders’ Equity</w:t>
            </w: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Interest-bearing liabilities</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20"/>
                <w:szCs w:val="20"/>
                <w:color w:val="auto"/>
              </w:rPr>
            </w:pPr>
            <w:r>
              <w:rPr>
                <w:rFonts w:ascii="Arial" w:cs="Arial" w:eastAsia="Arial" w:hAnsi="Arial"/>
                <w:sz w:val="12"/>
                <w:szCs w:val="12"/>
                <w:color w:val="auto"/>
              </w:rPr>
              <w:t>Interest-bearing deposits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00" w:type="dxa"/>
            <w:vAlign w:val="bottom"/>
            <w:shd w:val="clear" w:color="auto" w:fill="CFF0FC"/>
          </w:tcPr>
          <w:p>
            <w:pPr>
              <w:ind w:left="240"/>
              <w:spacing w:after="0" w:line="130" w:lineRule="exact"/>
              <w:rPr>
                <w:sz w:val="20"/>
                <w:szCs w:val="20"/>
                <w:color w:val="auto"/>
              </w:rPr>
            </w:pPr>
            <w:r>
              <w:rPr>
                <w:rFonts w:ascii="Arial" w:cs="Arial" w:eastAsia="Arial" w:hAnsi="Arial"/>
                <w:sz w:val="12"/>
                <w:szCs w:val="12"/>
                <w:color w:val="auto"/>
              </w:rPr>
              <w:t>Savings and interest-checking</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deposits</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54,610</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368,004</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.67</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52,102</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215,411</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53,399</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133,177</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52,194</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87,704</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.17</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43,885</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46,140</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Pr>
          <w:p>
            <w:pPr>
              <w:ind w:left="240"/>
              <w:spacing w:after="0"/>
              <w:rPr>
                <w:sz w:val="20"/>
                <w:szCs w:val="20"/>
                <w:color w:val="auto"/>
              </w:rPr>
            </w:pPr>
            <w:r>
              <w:rPr>
                <w:rFonts w:ascii="Arial" w:cs="Arial" w:eastAsia="Arial" w:hAnsi="Arial"/>
                <w:sz w:val="12"/>
                <w:szCs w:val="12"/>
                <w:color w:val="auto"/>
              </w:rPr>
              <w:t>Time deposits</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6,309</w:t>
            </w:r>
          </w:p>
        </w:tc>
        <w:tc>
          <w:tcPr>
            <w:tcW w:w="8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95,426</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1.51</w:t>
            </w: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6,025</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51,423</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.85</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8,161</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61,505</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.75</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12,253</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102,841</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.84</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4,641</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27,059</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Deposits at Cayman Islands office</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1,367</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21,917</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1.60</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394</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5,633</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1.43</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185</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1,186</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.64</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797</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.40</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216</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615</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Borders>
              <w:bottom w:val="single" w:sz="8" w:color="CFF0FC"/>
            </w:tcBorders>
          </w:tcPr>
          <w:p>
            <w:pPr>
              <w:ind w:left="480"/>
              <w:spacing w:after="0"/>
              <w:rPr>
                <w:sz w:val="20"/>
                <w:szCs w:val="20"/>
                <w:color w:val="auto"/>
              </w:rPr>
            </w:pPr>
            <w:r>
              <w:rPr>
                <w:rFonts w:ascii="Arial" w:cs="Arial" w:eastAsia="Arial" w:hAnsi="Arial"/>
                <w:sz w:val="12"/>
                <w:szCs w:val="12"/>
                <w:color w:val="auto"/>
              </w:rPr>
              <w:t>Total interest-bearing deposits</w:t>
            </w: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62,286</w:t>
            </w:r>
          </w:p>
        </w:tc>
        <w:tc>
          <w:tcPr>
            <w:tcW w:w="8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485,347</w:t>
            </w:r>
          </w:p>
        </w:tc>
        <w:tc>
          <w:tcPr>
            <w:tcW w:w="12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.78</w:t>
            </w:r>
          </w:p>
        </w:tc>
        <w:tc>
          <w:tcPr>
            <w:tcW w:w="18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58,521</w:t>
            </w:r>
          </w:p>
        </w:tc>
        <w:tc>
          <w:tcPr>
            <w:tcW w:w="10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272,467</w:t>
            </w:r>
          </w:p>
        </w:tc>
        <w:tc>
          <w:tcPr>
            <w:tcW w:w="100" w:type="dxa"/>
            <w:vAlign w:val="bottom"/>
            <w:tcBorders>
              <w:bottom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w:t>
            </w:r>
          </w:p>
        </w:tc>
        <w:tc>
          <w:tcPr>
            <w:tcW w:w="16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61,745</w:t>
            </w:r>
          </w:p>
        </w:tc>
        <w:tc>
          <w:tcPr>
            <w:tcW w:w="120" w:type="dxa"/>
            <w:vAlign w:val="bottom"/>
            <w:tcBorders>
              <w:bottom w:val="single" w:sz="8" w:color="CFF0F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195,868</w:t>
            </w:r>
          </w:p>
        </w:tc>
        <w:tc>
          <w:tcPr>
            <w:tcW w:w="100" w:type="dxa"/>
            <w:vAlign w:val="bottom"/>
            <w:tcBorders>
              <w:bottom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.32</w:t>
            </w:r>
          </w:p>
        </w:tc>
        <w:tc>
          <w:tcPr>
            <w:tcW w:w="16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64,646</w:t>
            </w:r>
          </w:p>
        </w:tc>
        <w:tc>
          <w:tcPr>
            <w:tcW w:w="120" w:type="dxa"/>
            <w:vAlign w:val="bottom"/>
            <w:tcBorders>
              <w:bottom w:val="single" w:sz="8" w:color="CFF0F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191,342</w:t>
            </w:r>
          </w:p>
        </w:tc>
        <w:tc>
          <w:tcPr>
            <w:tcW w:w="12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w:t>
            </w:r>
          </w:p>
        </w:tc>
        <w:tc>
          <w:tcPr>
            <w:tcW w:w="180" w:type="dxa"/>
            <w:vAlign w:val="bottom"/>
            <w:tcBorders>
              <w:bottom w:val="single" w:sz="8" w:color="CFF0FC"/>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48,742</w:t>
            </w:r>
          </w:p>
        </w:tc>
        <w:tc>
          <w:tcPr>
            <w:tcW w:w="12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73,814</w:t>
            </w:r>
          </w:p>
        </w:tc>
        <w:tc>
          <w:tcPr>
            <w:tcW w:w="10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Short-term borrowings</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1,059</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24,741</w:t>
            </w: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2.34</w:t>
            </w: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331</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5,386</w:t>
            </w: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1.63</w:t>
            </w: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205</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1,511</w:t>
            </w: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w:t>
            </w: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894</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3,625</w:t>
            </w: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w:t>
            </w: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548</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1,677</w:t>
            </w: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20"/>
                <w:szCs w:val="20"/>
                <w:color w:val="auto"/>
              </w:rPr>
            </w:pPr>
            <w:r>
              <w:rPr>
                <w:rFonts w:ascii="Arial" w:cs="Arial" w:eastAsia="Arial" w:hAnsi="Arial"/>
                <w:sz w:val="12"/>
                <w:szCs w:val="12"/>
                <w:color w:val="auto"/>
              </w:rPr>
              <w:t>Long-term borrowings</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7,703</w:t>
            </w:r>
          </w:p>
        </w:tc>
        <w:tc>
          <w:tcPr>
            <w:tcW w:w="8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239,242</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3.11</w:t>
            </w: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8,845</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248,556</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2.81</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8,302</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189,372</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2.28</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10,252</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231,017</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2.25</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10,217</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252,766</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2"/>
                <w:szCs w:val="12"/>
                <w:i w:val="1"/>
                <w:iCs w:val="1"/>
                <w:color w:val="auto"/>
              </w:rPr>
              <w:t>Total interest-bearing liabilities</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71,048</w:t>
            </w:r>
          </w:p>
        </w:tc>
        <w:tc>
          <w:tcPr>
            <w:tcW w:w="8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749,330</w:t>
            </w:r>
          </w:p>
        </w:tc>
        <w:tc>
          <w:tcPr>
            <w:tcW w:w="12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1.05</w:t>
            </w:r>
          </w:p>
        </w:tc>
        <w:tc>
          <w:tcPr>
            <w:tcW w:w="180" w:type="dxa"/>
            <w:vAlign w:val="bottom"/>
            <w:tcBorders>
              <w:top w:val="single" w:sz="8" w:color="CFF0FC"/>
            </w:tcBorders>
            <w:shd w:val="clear" w:color="auto" w:fill="CFF0FC"/>
          </w:tcPr>
          <w:p>
            <w:pPr>
              <w:spacing w:after="0"/>
              <w:rPr>
                <w:sz w:val="11"/>
                <w:szCs w:val="11"/>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67,697</w:t>
            </w:r>
          </w:p>
        </w:tc>
        <w:tc>
          <w:tcPr>
            <w:tcW w:w="100" w:type="dxa"/>
            <w:vAlign w:val="bottom"/>
            <w:tcBorders>
              <w:top w:val="single" w:sz="8" w:color="CFF0FC"/>
            </w:tcBorders>
            <w:shd w:val="clear" w:color="auto" w:fill="CFF0FC"/>
          </w:tcPr>
          <w:p>
            <w:pPr>
              <w:spacing w:after="0"/>
              <w:rPr>
                <w:sz w:val="11"/>
                <w:szCs w:val="1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526,409</w:t>
            </w:r>
          </w:p>
        </w:tc>
        <w:tc>
          <w:tcPr>
            <w:tcW w:w="100" w:type="dxa"/>
            <w:vAlign w:val="bottom"/>
            <w:tcBorders>
              <w:top w:val="single" w:sz="8" w:color="CFF0FC"/>
            </w:tcBorders>
            <w:shd w:val="clear" w:color="auto" w:fill="CFF0FC"/>
          </w:tcPr>
          <w:p>
            <w:pPr>
              <w:spacing w:after="0"/>
              <w:rPr>
                <w:sz w:val="11"/>
                <w:szCs w:val="11"/>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.78</w:t>
            </w:r>
          </w:p>
        </w:tc>
        <w:tc>
          <w:tcPr>
            <w:tcW w:w="160" w:type="dxa"/>
            <w:vAlign w:val="bottom"/>
            <w:tcBorders>
              <w:top w:val="single" w:sz="8" w:color="CFF0FC"/>
            </w:tcBorders>
            <w:shd w:val="clear" w:color="auto" w:fill="CFF0FC"/>
          </w:tcPr>
          <w:p>
            <w:pPr>
              <w:spacing w:after="0"/>
              <w:rPr>
                <w:sz w:val="11"/>
                <w:szCs w:val="11"/>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70,252</w:t>
            </w:r>
          </w:p>
        </w:tc>
        <w:tc>
          <w:tcPr>
            <w:tcW w:w="120" w:type="dxa"/>
            <w:vAlign w:val="bottom"/>
            <w:tcBorders>
              <w:top w:val="single" w:sz="8" w:color="CFF0FC"/>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386,751</w:t>
            </w:r>
          </w:p>
        </w:tc>
        <w:tc>
          <w:tcPr>
            <w:tcW w:w="100" w:type="dxa"/>
            <w:vAlign w:val="bottom"/>
            <w:tcBorders>
              <w:top w:val="single" w:sz="8" w:color="CFF0FC"/>
            </w:tcBorders>
            <w:shd w:val="clear" w:color="auto" w:fill="CFF0FC"/>
          </w:tcPr>
          <w:p>
            <w:pPr>
              <w:spacing w:after="0"/>
              <w:rPr>
                <w:sz w:val="11"/>
                <w:szCs w:val="11"/>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w:t>
            </w:r>
          </w:p>
        </w:tc>
        <w:tc>
          <w:tcPr>
            <w:tcW w:w="160" w:type="dxa"/>
            <w:vAlign w:val="bottom"/>
            <w:tcBorders>
              <w:top w:val="single" w:sz="8" w:color="CFF0FC"/>
            </w:tcBorders>
            <w:shd w:val="clear" w:color="auto" w:fill="CFF0FC"/>
          </w:tcPr>
          <w:p>
            <w:pPr>
              <w:spacing w:after="0"/>
              <w:rPr>
                <w:sz w:val="11"/>
                <w:szCs w:val="11"/>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75,792</w:t>
            </w:r>
          </w:p>
        </w:tc>
        <w:tc>
          <w:tcPr>
            <w:tcW w:w="120" w:type="dxa"/>
            <w:vAlign w:val="bottom"/>
            <w:tcBorders>
              <w:top w:val="single" w:sz="8" w:color="CFF0FC"/>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425,984</w:t>
            </w:r>
          </w:p>
        </w:tc>
        <w:tc>
          <w:tcPr>
            <w:tcW w:w="12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.56</w:t>
            </w:r>
          </w:p>
        </w:tc>
        <w:tc>
          <w:tcPr>
            <w:tcW w:w="180" w:type="dxa"/>
            <w:vAlign w:val="bottom"/>
            <w:tcBorders>
              <w:top w:val="single" w:sz="8" w:color="CFF0FC"/>
            </w:tcBorders>
            <w:shd w:val="clear" w:color="auto" w:fill="CFF0FC"/>
          </w:tcPr>
          <w:p>
            <w:pPr>
              <w:spacing w:after="0"/>
              <w:rPr>
                <w:sz w:val="11"/>
                <w:szCs w:val="11"/>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59,507</w:t>
            </w:r>
          </w:p>
        </w:tc>
        <w:tc>
          <w:tcPr>
            <w:tcW w:w="120" w:type="dxa"/>
            <w:vAlign w:val="bottom"/>
            <w:tcBorders>
              <w:top w:val="single" w:sz="8" w:color="CFF0FC"/>
            </w:tcBorders>
            <w:shd w:val="clear" w:color="auto" w:fill="CFF0FC"/>
          </w:tcPr>
          <w:p>
            <w:pPr>
              <w:spacing w:after="0"/>
              <w:rPr>
                <w:sz w:val="11"/>
                <w:szCs w:val="1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328,257</w:t>
            </w:r>
          </w:p>
        </w:tc>
        <w:tc>
          <w:tcPr>
            <w:tcW w:w="10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w:t>
            </w: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00" w:type="dxa"/>
            <w:vAlign w:val="bottom"/>
          </w:tcPr>
          <w:p>
            <w:pPr>
              <w:spacing w:after="0"/>
              <w:rPr>
                <w:sz w:val="20"/>
                <w:szCs w:val="20"/>
                <w:color w:val="auto"/>
              </w:rPr>
            </w:pPr>
            <w:r>
              <w:rPr>
                <w:rFonts w:ascii="Arial" w:cs="Arial" w:eastAsia="Arial" w:hAnsi="Arial"/>
                <w:sz w:val="12"/>
                <w:szCs w:val="12"/>
                <w:color w:val="auto"/>
              </w:rPr>
              <w:t>Noninterest-bearing deposits</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30,763</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31,893</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32,520</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30,160</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27,324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Other liabilities</w:t>
            </w:r>
          </w:p>
        </w:tc>
        <w:tc>
          <w:tcPr>
            <w:tcW w:w="8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2,055</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1,739</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1,793</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1,969</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1,721</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Borders>
              <w:bottom w:val="single" w:sz="8" w:color="CFF0FC"/>
            </w:tcBorders>
          </w:tcPr>
          <w:p>
            <w:pPr>
              <w:ind w:left="240"/>
              <w:spacing w:after="0"/>
              <w:rPr>
                <w:sz w:val="20"/>
                <w:szCs w:val="20"/>
                <w:color w:val="auto"/>
              </w:rPr>
            </w:pPr>
            <w:r>
              <w:rPr>
                <w:rFonts w:ascii="Arial" w:cs="Arial" w:eastAsia="Arial" w:hAnsi="Arial"/>
                <w:sz w:val="12"/>
                <w:szCs w:val="12"/>
                <w:color w:val="auto"/>
              </w:rPr>
              <w:t>Total liabilities</w:t>
            </w: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103,866</w:t>
            </w:r>
          </w:p>
        </w:tc>
        <w:tc>
          <w:tcPr>
            <w:tcW w:w="8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58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420" w:type="dxa"/>
            <w:vAlign w:val="bottom"/>
            <w:tcBorders>
              <w:bottom w:val="single" w:sz="8" w:color="CFF0FC"/>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101,329</w:t>
            </w:r>
          </w:p>
        </w:tc>
        <w:tc>
          <w:tcPr>
            <w:tcW w:w="100" w:type="dxa"/>
            <w:vAlign w:val="bottom"/>
            <w:tcBorders>
              <w:bottom w:val="single" w:sz="8" w:color="CFF0FC"/>
            </w:tcBorders>
          </w:tcPr>
          <w:p>
            <w:pPr>
              <w:spacing w:after="0"/>
              <w:rPr>
                <w:sz w:val="11"/>
                <w:szCs w:val="11"/>
                <w:color w:val="auto"/>
              </w:rPr>
            </w:pPr>
          </w:p>
        </w:tc>
        <w:tc>
          <w:tcPr>
            <w:tcW w:w="58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440" w:type="dxa"/>
            <w:vAlign w:val="bottom"/>
            <w:tcBorders>
              <w:bottom w:val="single" w:sz="8" w:color="CFF0FC"/>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104,565</w:t>
            </w:r>
          </w:p>
        </w:tc>
        <w:tc>
          <w:tcPr>
            <w:tcW w:w="12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440" w:type="dxa"/>
            <w:vAlign w:val="bottom"/>
            <w:tcBorders>
              <w:bottom w:val="single" w:sz="8" w:color="CFF0FC"/>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107,921</w:t>
            </w:r>
          </w:p>
        </w:tc>
        <w:tc>
          <w:tcPr>
            <w:tcW w:w="12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420" w:type="dxa"/>
            <w:vAlign w:val="bottom"/>
            <w:tcBorders>
              <w:bottom w:val="single" w:sz="8" w:color="CFF0FC"/>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88,552</w:t>
            </w:r>
          </w:p>
        </w:tc>
        <w:tc>
          <w:tcPr>
            <w:tcW w:w="120" w:type="dxa"/>
            <w:vAlign w:val="bottom"/>
            <w:tcBorders>
              <w:bottom w:val="single" w:sz="8" w:color="CFF0FC"/>
            </w:tcBorders>
          </w:tcPr>
          <w:p>
            <w:pPr>
              <w:spacing w:after="0"/>
              <w:rPr>
                <w:sz w:val="11"/>
                <w:szCs w:val="11"/>
                <w:color w:val="auto"/>
              </w:rPr>
            </w:pPr>
          </w:p>
        </w:tc>
        <w:tc>
          <w:tcPr>
            <w:tcW w:w="58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4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Shareholders’ equity</w:t>
            </w:r>
          </w:p>
        </w:tc>
        <w:tc>
          <w:tcPr>
            <w:tcW w:w="8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15,718</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15,630</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16,295</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16,419</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13,228</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200" w:type="dxa"/>
            <w:vAlign w:val="bottom"/>
          </w:tcPr>
          <w:p>
            <w:pPr>
              <w:ind w:left="240"/>
              <w:spacing w:after="0" w:line="124" w:lineRule="exact"/>
              <w:rPr>
                <w:sz w:val="20"/>
                <w:szCs w:val="20"/>
                <w:color w:val="auto"/>
              </w:rPr>
            </w:pPr>
            <w:r>
              <w:rPr>
                <w:rFonts w:ascii="Arial" w:cs="Arial" w:eastAsia="Arial" w:hAnsi="Arial"/>
                <w:sz w:val="12"/>
                <w:szCs w:val="12"/>
                <w:color w:val="auto"/>
              </w:rPr>
              <w:t>Total liabilities and shareholders’</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200" w:type="dxa"/>
            <w:vAlign w:val="bottom"/>
            <w:tcBorders>
              <w:bottom w:val="single" w:sz="8" w:color="CFF0FC"/>
            </w:tcBorders>
          </w:tcPr>
          <w:p>
            <w:pPr>
              <w:ind w:left="240"/>
              <w:spacing w:after="0"/>
              <w:rPr>
                <w:sz w:val="20"/>
                <w:szCs w:val="20"/>
                <w:color w:val="auto"/>
              </w:rPr>
            </w:pPr>
            <w:r>
              <w:rPr>
                <w:rFonts w:ascii="Arial" w:cs="Arial" w:eastAsia="Arial" w:hAnsi="Arial"/>
                <w:sz w:val="12"/>
                <w:szCs w:val="12"/>
                <w:color w:val="auto"/>
              </w:rPr>
              <w:t>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119,584</w:t>
            </w:r>
          </w:p>
        </w:tc>
        <w:tc>
          <w:tcPr>
            <w:tcW w:w="8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58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20" w:type="dxa"/>
            <w:vAlign w:val="bottom"/>
            <w:tcBorders>
              <w:bottom w:val="single" w:sz="8" w:color="CFF0FC"/>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116,959</w:t>
            </w:r>
          </w:p>
        </w:tc>
        <w:tc>
          <w:tcPr>
            <w:tcW w:w="100" w:type="dxa"/>
            <w:vAlign w:val="bottom"/>
            <w:tcBorders>
              <w:bottom w:val="single" w:sz="8" w:color="CFF0FC"/>
            </w:tcBorders>
          </w:tcPr>
          <w:p>
            <w:pPr>
              <w:spacing w:after="0"/>
              <w:rPr>
                <w:sz w:val="16"/>
                <w:szCs w:val="16"/>
                <w:color w:val="auto"/>
              </w:rPr>
            </w:pPr>
          </w:p>
        </w:tc>
        <w:tc>
          <w:tcPr>
            <w:tcW w:w="58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40" w:type="dxa"/>
            <w:vAlign w:val="bottom"/>
            <w:tcBorders>
              <w:bottom w:val="single" w:sz="8" w:color="CFF0FC"/>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120,860</w:t>
            </w:r>
          </w:p>
        </w:tc>
        <w:tc>
          <w:tcPr>
            <w:tcW w:w="120" w:type="dxa"/>
            <w:vAlign w:val="bottom"/>
            <w:tcBorders>
              <w:bottom w:val="single" w:sz="8" w:color="CFF0FC"/>
            </w:tcBorders>
          </w:tcPr>
          <w:p>
            <w:pPr>
              <w:spacing w:after="0"/>
              <w:rPr>
                <w:sz w:val="16"/>
                <w:szCs w:val="16"/>
                <w:color w:val="auto"/>
              </w:rPr>
            </w:pPr>
          </w:p>
        </w:tc>
        <w:tc>
          <w:tcPr>
            <w:tcW w:w="56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40" w:type="dxa"/>
            <w:vAlign w:val="bottom"/>
            <w:tcBorders>
              <w:bottom w:val="single" w:sz="8" w:color="CFF0FC"/>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124,340</w:t>
            </w:r>
          </w:p>
        </w:tc>
        <w:tc>
          <w:tcPr>
            <w:tcW w:w="120" w:type="dxa"/>
            <w:vAlign w:val="bottom"/>
            <w:tcBorders>
              <w:bottom w:val="single" w:sz="8" w:color="CFF0FC"/>
            </w:tcBorders>
          </w:tcPr>
          <w:p>
            <w:pPr>
              <w:spacing w:after="0"/>
              <w:rPr>
                <w:sz w:val="16"/>
                <w:szCs w:val="16"/>
                <w:color w:val="auto"/>
              </w:rPr>
            </w:pPr>
          </w:p>
        </w:tc>
        <w:tc>
          <w:tcPr>
            <w:tcW w:w="56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20" w:type="dxa"/>
            <w:vAlign w:val="bottom"/>
            <w:tcBorders>
              <w:bottom w:val="single" w:sz="8" w:color="CFF0FC"/>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101,780</w:t>
            </w:r>
          </w:p>
        </w:tc>
        <w:tc>
          <w:tcPr>
            <w:tcW w:w="120" w:type="dxa"/>
            <w:vAlign w:val="bottom"/>
            <w:tcBorders>
              <w:bottom w:val="single" w:sz="8" w:color="CFF0FC"/>
            </w:tcBorders>
          </w:tcPr>
          <w:p>
            <w:pPr>
              <w:spacing w:after="0"/>
              <w:rPr>
                <w:sz w:val="16"/>
                <w:szCs w:val="16"/>
                <w:color w:val="auto"/>
              </w:rPr>
            </w:pPr>
          </w:p>
        </w:tc>
        <w:tc>
          <w:tcPr>
            <w:tcW w:w="58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2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200" w:type="dxa"/>
            <w:vAlign w:val="bottom"/>
            <w:shd w:val="clear" w:color="auto" w:fill="CFF0FC"/>
          </w:tcPr>
          <w:p>
            <w:pPr>
              <w:spacing w:after="0" w:line="124" w:lineRule="exact"/>
              <w:rPr>
                <w:sz w:val="20"/>
                <w:szCs w:val="20"/>
                <w:color w:val="auto"/>
              </w:rPr>
            </w:pPr>
            <w:r>
              <w:rPr>
                <w:rFonts w:ascii="Arial" w:cs="Arial" w:eastAsia="Arial" w:hAnsi="Arial"/>
                <w:sz w:val="12"/>
                <w:szCs w:val="12"/>
                <w:color w:val="auto"/>
              </w:rPr>
              <w:t>Net interest spread</w:t>
            </w: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spacing w:after="0" w:line="124" w:lineRule="exact"/>
              <w:rPr>
                <w:sz w:val="20"/>
                <w:szCs w:val="20"/>
                <w:color w:val="auto"/>
              </w:rPr>
            </w:pPr>
            <w:r>
              <w:rPr>
                <w:rFonts w:ascii="Arial" w:cs="Arial" w:eastAsia="Arial" w:hAnsi="Arial"/>
                <w:sz w:val="12"/>
                <w:szCs w:val="12"/>
                <w:color w:val="auto"/>
              </w:rPr>
              <w:t>3.48</w:t>
            </w:r>
          </w:p>
        </w:tc>
        <w:tc>
          <w:tcPr>
            <w:tcW w:w="1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3.55</w:t>
            </w:r>
          </w:p>
        </w:tc>
        <w:tc>
          <w:tcPr>
            <w:tcW w:w="1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spacing w:after="0" w:line="124" w:lineRule="exact"/>
              <w:rPr>
                <w:sz w:val="20"/>
                <w:szCs w:val="20"/>
                <w:color w:val="auto"/>
              </w:rPr>
            </w:pPr>
            <w:r>
              <w:rPr>
                <w:rFonts w:ascii="Arial" w:cs="Arial" w:eastAsia="Arial" w:hAnsi="Arial"/>
                <w:sz w:val="12"/>
                <w:szCs w:val="12"/>
                <w:color w:val="auto"/>
              </w:rPr>
              <w:t>3.27</w:t>
            </w:r>
          </w:p>
        </w:tc>
        <w:tc>
          <w:tcPr>
            <w:tcW w:w="1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spacing w:after="0" w:line="124" w:lineRule="exact"/>
              <w:rPr>
                <w:sz w:val="20"/>
                <w:szCs w:val="20"/>
                <w:color w:val="auto"/>
              </w:rPr>
            </w:pPr>
            <w:r>
              <w:rPr>
                <w:rFonts w:ascii="Arial" w:cs="Arial" w:eastAsia="Arial" w:hAnsi="Arial"/>
                <w:sz w:val="12"/>
                <w:szCs w:val="12"/>
                <w:color w:val="auto"/>
              </w:rPr>
              <w:t>2.93</w:t>
            </w:r>
          </w:p>
        </w:tc>
        <w:tc>
          <w:tcPr>
            <w:tcW w:w="1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2.95</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20"/>
                <w:szCs w:val="20"/>
                <w:color w:val="auto"/>
              </w:rPr>
            </w:pPr>
            <w:r>
              <w:rPr>
                <w:rFonts w:ascii="Arial" w:cs="Arial" w:eastAsia="Arial" w:hAnsi="Arial"/>
                <w:sz w:val="12"/>
                <w:szCs w:val="12"/>
                <w:color w:val="auto"/>
              </w:rPr>
              <w:t>Contribution of interest-free funds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.36</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.28</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.20</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.18</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2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2"/>
                <w:szCs w:val="12"/>
                <w:color w:val="auto"/>
              </w:rPr>
              <w:t>Net interest income/margin on earning</w:t>
            </w:r>
          </w:p>
        </w:tc>
        <w:tc>
          <w:tcPr>
            <w:tcW w:w="80" w:type="dxa"/>
            <w:vAlign w:val="bottom"/>
            <w:tcBorders>
              <w:top w:val="single" w:sz="8" w:color="CFF0FC"/>
            </w:tcBorders>
            <w:shd w:val="clear" w:color="auto" w:fill="CFF0FC"/>
          </w:tcPr>
          <w:p>
            <w:pPr>
              <w:spacing w:after="0"/>
              <w:rPr>
                <w:sz w:val="10"/>
                <w:szCs w:val="10"/>
                <w:color w:val="auto"/>
              </w:rPr>
            </w:pPr>
          </w:p>
        </w:tc>
        <w:tc>
          <w:tcPr>
            <w:tcW w:w="4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4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assets</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w w:val="94"/>
              </w:rPr>
              <w:t>$ 4,153,127</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3.84</w:t>
            </w: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4,094,199</w:t>
            </w: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3.83%</w:t>
            </w: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3,815,614</w:t>
            </w:r>
          </w:p>
        </w:tc>
        <w:tc>
          <w:tcPr>
            <w:tcW w:w="70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color w:val="auto"/>
              </w:rPr>
              <w:t>3.47%</w:t>
            </w: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3,496,849</w:t>
            </w:r>
          </w:p>
        </w:tc>
        <w:tc>
          <w:tcPr>
            <w:tcW w:w="72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3.11%</w:t>
            </w: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2,867,050</w:t>
            </w:r>
          </w:p>
        </w:tc>
        <w:tc>
          <w:tcPr>
            <w:tcW w:w="10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3.14%</w:t>
            </w: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594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59460" cy="8255"/>
                    </a:xfrm>
                    <a:prstGeom prst="rect">
                      <a:avLst/>
                    </a:prstGeom>
                    <a:noFill/>
                  </pic:spPr>
                </pic:pic>
              </a:graphicData>
            </a:graphic>
          </wp:anchor>
        </w:drawing>
      </w:r>
    </w:p>
    <w:p>
      <w:pPr>
        <w:spacing w:after="0" w:line="84" w:lineRule="exact"/>
        <w:rPr>
          <w:sz w:val="20"/>
          <w:szCs w:val="20"/>
          <w:color w:val="auto"/>
        </w:rPr>
      </w:pPr>
    </w:p>
    <w:p>
      <w:pPr>
        <w:ind w:left="420" w:hanging="415"/>
        <w:spacing w:after="0"/>
        <w:tabs>
          <w:tab w:leader="none" w:pos="420" w:val="left"/>
        </w:tabs>
        <w:numPr>
          <w:ilvl w:val="0"/>
          <w:numId w:val="22"/>
        </w:numPr>
        <w:rPr>
          <w:rFonts w:ascii="Arial" w:cs="Arial" w:eastAsia="Arial" w:hAnsi="Arial"/>
          <w:sz w:val="12"/>
          <w:szCs w:val="12"/>
          <w:i w:val="1"/>
          <w:iCs w:val="1"/>
          <w:color w:val="auto"/>
        </w:rPr>
      </w:pPr>
      <w:r>
        <w:rPr>
          <w:rFonts w:ascii="Arial" w:cs="Arial" w:eastAsia="Arial" w:hAnsi="Arial"/>
          <w:sz w:val="12"/>
          <w:szCs w:val="12"/>
          <w:i w:val="1"/>
          <w:iCs w:val="1"/>
          <w:color w:val="auto"/>
        </w:rPr>
        <w:t>Includes nonaccrual loans.</w:t>
      </w:r>
    </w:p>
    <w:p>
      <w:pPr>
        <w:spacing w:after="0" w:line="3" w:lineRule="exact"/>
        <w:rPr>
          <w:rFonts w:ascii="Arial" w:cs="Arial" w:eastAsia="Arial" w:hAnsi="Arial"/>
          <w:sz w:val="12"/>
          <w:szCs w:val="12"/>
          <w:i w:val="1"/>
          <w:iCs w:val="1"/>
          <w:color w:val="auto"/>
        </w:rPr>
      </w:pPr>
    </w:p>
    <w:p>
      <w:pPr>
        <w:ind w:left="420" w:hanging="415"/>
        <w:spacing w:after="0"/>
        <w:tabs>
          <w:tab w:leader="none" w:pos="420" w:val="left"/>
        </w:tabs>
        <w:numPr>
          <w:ilvl w:val="0"/>
          <w:numId w:val="22"/>
        </w:numPr>
        <w:rPr>
          <w:rFonts w:ascii="Arial" w:cs="Arial" w:eastAsia="Arial" w:hAnsi="Arial"/>
          <w:sz w:val="12"/>
          <w:szCs w:val="12"/>
          <w:i w:val="1"/>
          <w:iCs w:val="1"/>
          <w:color w:val="auto"/>
        </w:rPr>
      </w:pPr>
      <w:r>
        <w:rPr>
          <w:rFonts w:ascii="Arial" w:cs="Arial" w:eastAsia="Arial" w:hAnsi="Arial"/>
          <w:sz w:val="12"/>
          <w:szCs w:val="12"/>
          <w:i w:val="1"/>
          <w:iCs w:val="1"/>
          <w:color w:val="auto"/>
        </w:rPr>
        <w:t>Includes available-for-sale investment securities at amortized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469900</wp:posOffset>
            </wp:positionV>
            <wp:extent cx="72758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56" w:name="page57"/>
    <w:bookmarkEnd w:id="56"/>
    <w:p>
      <w:pPr>
        <w:ind w:right="260" w:firstLine="598"/>
        <w:spacing w:after="0" w:line="275" w:lineRule="auto"/>
        <w:rPr>
          <w:sz w:val="20"/>
          <w:szCs w:val="20"/>
          <w:color w:val="auto"/>
        </w:rPr>
      </w:pPr>
      <w:r>
        <w:rPr>
          <w:rFonts w:ascii="Arial" w:cs="Arial" w:eastAsia="Arial" w:hAnsi="Arial"/>
          <w:sz w:val="20"/>
          <w:szCs w:val="20"/>
          <w:color w:val="auto"/>
        </w:rPr>
        <w:t>Table 4 summarizes average loans and leases outstanding in 2019 and percentage changes in the major components of the portfolio over the past two years.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4</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AVERAGE LOANS AND LEASES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(Net of unearned discount)</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7"/>
              </w:rPr>
              <w:t>Percent Increase</w:t>
            </w:r>
          </w:p>
        </w:tc>
        <w:tc>
          <w:tcPr>
            <w:tcW w:w="0" w:type="dxa"/>
            <w:vAlign w:val="bottom"/>
          </w:tcPr>
          <w:p>
            <w:pPr>
              <w:spacing w:after="0"/>
              <w:rPr>
                <w:sz w:val="1"/>
                <w:szCs w:val="1"/>
                <w:color w:val="auto"/>
              </w:rPr>
            </w:pPr>
          </w:p>
        </w:tc>
      </w:tr>
      <w:tr>
        <w:trPr>
          <w:trHeight w:val="167"/>
        </w:trPr>
        <w:tc>
          <w:tcPr>
            <w:tcW w:w="7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8"/>
              </w:rPr>
              <w:t>(Decrease) from</w:t>
            </w:r>
          </w:p>
        </w:tc>
        <w:tc>
          <w:tcPr>
            <w:tcW w:w="0" w:type="dxa"/>
            <w:vAlign w:val="bottom"/>
          </w:tcPr>
          <w:p>
            <w:pPr>
              <w:spacing w:after="0"/>
              <w:rPr>
                <w:sz w:val="1"/>
                <w:szCs w:val="1"/>
                <w:color w:val="auto"/>
              </w:rPr>
            </w:pPr>
          </w:p>
        </w:tc>
      </w:tr>
      <w:tr>
        <w:trPr>
          <w:trHeight w:val="151"/>
        </w:trPr>
        <w:tc>
          <w:tcPr>
            <w:tcW w:w="7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ind w:right="17"/>
              <w:spacing w:after="0" w:line="151" w:lineRule="exact"/>
              <w:rPr>
                <w:sz w:val="20"/>
                <w:szCs w:val="20"/>
                <w:color w:val="auto"/>
              </w:rPr>
            </w:pPr>
            <w:r>
              <w:rPr>
                <w:rFonts w:ascii="Arial" w:cs="Arial" w:eastAsia="Arial" w:hAnsi="Arial"/>
                <w:sz w:val="14"/>
                <w:szCs w:val="14"/>
                <w:b w:val="1"/>
                <w:bCs w:val="1"/>
                <w:color w:val="auto"/>
                <w:w w:val="98"/>
              </w:rPr>
              <w:t>2018 to 2019</w:t>
            </w: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4"/>
              <w:spacing w:after="0" w:line="151" w:lineRule="exact"/>
              <w:rPr>
                <w:sz w:val="20"/>
                <w:szCs w:val="20"/>
                <w:color w:val="auto"/>
              </w:rPr>
            </w:pPr>
            <w:r>
              <w:rPr>
                <w:rFonts w:ascii="Arial" w:cs="Arial" w:eastAsia="Arial" w:hAnsi="Arial"/>
                <w:sz w:val="14"/>
                <w:szCs w:val="14"/>
                <w:b w:val="1"/>
                <w:bCs w:val="1"/>
                <w:color w:val="auto"/>
              </w:rPr>
              <w:t>2017 to 2018</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7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etc.</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23,306</w:t>
            </w: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3"/>
        </w:trPr>
        <w:tc>
          <w:tcPr>
            <w:tcW w:w="724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34,885</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Real estate — consumer</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16,665</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724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Recreational finance</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4,838</w:t>
            </w: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Pr>
          <w:p>
            <w:pPr>
              <w:ind w:left="240"/>
              <w:spacing w:after="0"/>
              <w:rPr>
                <w:sz w:val="20"/>
                <w:szCs w:val="20"/>
                <w:color w:val="auto"/>
              </w:rPr>
            </w:pPr>
            <w:r>
              <w:rPr>
                <w:rFonts w:ascii="Arial" w:cs="Arial" w:eastAsia="Arial" w:hAnsi="Arial"/>
                <w:sz w:val="18"/>
                <w:szCs w:val="18"/>
                <w:color w:val="auto"/>
              </w:rPr>
              <w:t>Home equity lines and loans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4,659</w:t>
            </w:r>
          </w:p>
        </w:tc>
        <w:tc>
          <w:tcPr>
            <w:tcW w:w="3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4"/>
        </w:trPr>
        <w:tc>
          <w:tcPr>
            <w:tcW w:w="7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Automobile</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3,768</w:t>
            </w: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3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consumer</w:t>
            </w: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14,638</w:t>
            </w:r>
          </w:p>
        </w:tc>
        <w:tc>
          <w:tcPr>
            <w:tcW w:w="38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72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89,494</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right="40" w:firstLine="598"/>
        <w:spacing w:after="0" w:line="250" w:lineRule="auto"/>
        <w:rPr>
          <w:sz w:val="20"/>
          <w:szCs w:val="20"/>
          <w:color w:val="auto"/>
        </w:rPr>
      </w:pPr>
      <w:r>
        <w:rPr>
          <w:rFonts w:ascii="Arial" w:cs="Arial" w:eastAsia="Arial" w:hAnsi="Arial"/>
          <w:sz w:val="20"/>
          <w:szCs w:val="20"/>
          <w:color w:val="auto"/>
        </w:rPr>
        <w:t>Commercial loans and leases, excluding loans secured by real estate, totaled $23.8 billion at December 31, 2019, representing 26% of total loans and leases. Table 5 presents information on commercial loans and leases as of December 31, 2019 relating to geographic area, size, borrower industry and whether the loans are secured by collateral or unsecured. Of the $23.8 billion of commercial loans and leases outstanding at the end of 2019, approximately $21.5 billion, or 90%, were secured, while 36%, 22% and 25% were granted to businesses in New York State, Pennsylvania and in the Mid-Atlantic area (which includes Delaware, Maryland, New Jersey, Virginia, West Virginia and the District of Columbia), respectively. The Company provides financing for leases to commercial customers, primarily for equipment. Commercial leases included in total commercial loans and leases at December 31, 2019 aggregated $1.3 billion, of which 51% were secured by collateral located in New York State, 13% were secured by collateral in Pennsylvania and another 18% were secured by collateral in the Mid-Atlantic area.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57" w:name="page58"/>
    <w:bookmarkEnd w:id="57"/>
    <w:p>
      <w:pPr>
        <w:spacing w:after="0"/>
        <w:rPr>
          <w:sz w:val="20"/>
          <w:szCs w:val="20"/>
          <w:color w:val="auto"/>
        </w:rPr>
      </w:pPr>
      <w:r>
        <w:rPr>
          <w:rFonts w:ascii="Arial" w:cs="Arial" w:eastAsia="Arial" w:hAnsi="Arial"/>
          <w:sz w:val="20"/>
          <w:szCs w:val="20"/>
          <w:b w:val="1"/>
          <w:bCs w:val="1"/>
          <w:color w:val="auto"/>
        </w:rPr>
        <w:t>Table 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COMMERCIAL LOANS AND LEASES, NET OF UNEARNED DISCOUNT</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(Excludes Loans Secured by Real Estate)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31, 2019</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Mid-</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ind w:right="44"/>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67"/>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0"/>
              </w:rPr>
              <w:t>New York</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Pennsylvania</w:t>
            </w: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Atlantic(a)</w:t>
            </w: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Motor vehicle and recreational</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0" w:type="dxa"/>
            <w:vAlign w:val="bottom"/>
            <w:shd w:val="clear" w:color="auto" w:fill="CFF0FC"/>
          </w:tcPr>
          <w:p>
            <w:pPr>
              <w:spacing w:after="0"/>
              <w:rPr>
                <w:sz w:val="19"/>
                <w:szCs w:val="19"/>
                <w:color w:val="auto"/>
              </w:rPr>
            </w:pPr>
          </w:p>
        </w:tc>
        <w:tc>
          <w:tcPr>
            <w:tcW w:w="3720" w:type="dxa"/>
            <w:vAlign w:val="bottom"/>
            <w:gridSpan w:val="6"/>
            <w:shd w:val="clear" w:color="auto" w:fill="CFF0FC"/>
          </w:tcPr>
          <w:p>
            <w:pPr>
              <w:spacing w:after="0"/>
              <w:rPr>
                <w:sz w:val="20"/>
                <w:szCs w:val="20"/>
                <w:color w:val="auto"/>
              </w:rPr>
            </w:pPr>
            <w:r>
              <w:rPr>
                <w:rFonts w:ascii="Arial" w:cs="Arial" w:eastAsia="Arial" w:hAnsi="Arial"/>
                <w:sz w:val="18"/>
                <w:szCs w:val="18"/>
                <w:color w:val="auto"/>
              </w:rPr>
              <w:t>finance dealers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1,788</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1,190</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687</w:t>
            </w:r>
          </w:p>
        </w:tc>
        <w:tc>
          <w:tcPr>
            <w:tcW w:w="5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w w:val="87"/>
              </w:rPr>
              <w:t>$1,424</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5,089</w:t>
            </w:r>
          </w:p>
        </w:tc>
        <w:tc>
          <w:tcPr>
            <w:tcW w:w="1220" w:type="dxa"/>
            <w:vAlign w:val="bottom"/>
            <w:gridSpan w:val="2"/>
            <w:shd w:val="clear" w:color="auto" w:fill="CFF0FC"/>
          </w:tcPr>
          <w:p>
            <w:pPr>
              <w:jc w:val="right"/>
              <w:ind w:right="8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Services</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1,365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694</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1,298</w:t>
            </w:r>
          </w:p>
        </w:tc>
        <w:tc>
          <w:tcPr>
            <w:tcW w:w="52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412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3,769</w:t>
            </w:r>
          </w:p>
        </w:tc>
        <w:tc>
          <w:tcPr>
            <w:tcW w:w="1220" w:type="dxa"/>
            <w:vAlign w:val="bottom"/>
            <w:gridSpan w:val="2"/>
          </w:tcPr>
          <w:p>
            <w:pPr>
              <w:jc w:val="right"/>
              <w:ind w:right="24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Manufacturing</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1,248</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722</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585</w:t>
            </w:r>
          </w:p>
        </w:tc>
        <w:tc>
          <w:tcPr>
            <w:tcW w:w="5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440</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2,995</w:t>
            </w:r>
          </w:p>
        </w:tc>
        <w:tc>
          <w:tcPr>
            <w:tcW w:w="1220" w:type="dxa"/>
            <w:vAlign w:val="bottom"/>
            <w:gridSpan w:val="2"/>
            <w:shd w:val="clear" w:color="auto" w:fill="CFF0FC"/>
          </w:tcPr>
          <w:p>
            <w:pPr>
              <w:jc w:val="right"/>
              <w:ind w:right="24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Wholesale</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771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722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572</w:t>
            </w:r>
          </w:p>
        </w:tc>
        <w:tc>
          <w:tcPr>
            <w:tcW w:w="52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2,296</w:t>
            </w:r>
          </w:p>
        </w:tc>
        <w:tc>
          <w:tcPr>
            <w:tcW w:w="1220" w:type="dxa"/>
            <w:vAlign w:val="bottom"/>
            <w:gridSpan w:val="2"/>
          </w:tcPr>
          <w:p>
            <w:pPr>
              <w:jc w:val="right"/>
              <w:ind w:right="24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Financial and insurance</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711</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242</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387</w:t>
            </w:r>
          </w:p>
        </w:tc>
        <w:tc>
          <w:tcPr>
            <w:tcW w:w="5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476</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1,816</w:t>
            </w:r>
          </w:p>
        </w:tc>
        <w:tc>
          <w:tcPr>
            <w:tcW w:w="1220" w:type="dxa"/>
            <w:vAlign w:val="bottom"/>
            <w:gridSpan w:val="2"/>
            <w:shd w:val="clear" w:color="auto" w:fill="CFF0FC"/>
          </w:tcPr>
          <w:p>
            <w:pPr>
              <w:jc w:val="right"/>
              <w:ind w:right="24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Health services</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650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206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659</w:t>
            </w:r>
          </w:p>
        </w:tc>
        <w:tc>
          <w:tcPr>
            <w:tcW w:w="52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106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1,621</w:t>
            </w:r>
          </w:p>
        </w:tc>
        <w:tc>
          <w:tcPr>
            <w:tcW w:w="1220" w:type="dxa"/>
            <w:vAlign w:val="bottom"/>
            <w:gridSpan w:val="2"/>
          </w:tcPr>
          <w:p>
            <w:pPr>
              <w:jc w:val="right"/>
              <w:ind w:right="24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Real estate investors</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705</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167</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432</w:t>
            </w:r>
          </w:p>
        </w:tc>
        <w:tc>
          <w:tcPr>
            <w:tcW w:w="5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203</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1,507</w:t>
            </w:r>
          </w:p>
        </w:tc>
        <w:tc>
          <w:tcPr>
            <w:tcW w:w="1220" w:type="dxa"/>
            <w:vAlign w:val="bottom"/>
            <w:gridSpan w:val="2"/>
            <w:shd w:val="clear" w:color="auto" w:fill="CFF0FC"/>
          </w:tcPr>
          <w:p>
            <w:pPr>
              <w:jc w:val="right"/>
              <w:ind w:right="24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1"/>
        </w:trPr>
        <w:tc>
          <w:tcPr>
            <w:tcW w:w="3860" w:type="dxa"/>
            <w:vAlign w:val="bottom"/>
            <w:gridSpan w:val="7"/>
          </w:tcPr>
          <w:p>
            <w:pPr>
              <w:spacing w:after="0"/>
              <w:rPr>
                <w:sz w:val="20"/>
                <w:szCs w:val="20"/>
                <w:color w:val="auto"/>
              </w:rPr>
            </w:pPr>
            <w:r>
              <w:rPr>
                <w:rFonts w:ascii="Arial" w:cs="Arial" w:eastAsia="Arial" w:hAnsi="Arial"/>
                <w:sz w:val="18"/>
                <w:szCs w:val="18"/>
                <w:color w:val="auto"/>
              </w:rPr>
              <w:t>Transportation, communications,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3720" w:type="dxa"/>
            <w:vAlign w:val="bottom"/>
            <w:gridSpan w:val="6"/>
          </w:tcPr>
          <w:p>
            <w:pPr>
              <w:spacing w:after="0"/>
              <w:rPr>
                <w:sz w:val="20"/>
                <w:szCs w:val="20"/>
                <w:color w:val="auto"/>
              </w:rPr>
            </w:pPr>
            <w:r>
              <w:rPr>
                <w:rFonts w:ascii="Arial" w:cs="Arial" w:eastAsia="Arial" w:hAnsi="Arial"/>
                <w:sz w:val="18"/>
                <w:szCs w:val="18"/>
                <w:color w:val="auto"/>
              </w:rPr>
              <w:t>utilities</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405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281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479</w:t>
            </w:r>
          </w:p>
        </w:tc>
        <w:tc>
          <w:tcPr>
            <w:tcW w:w="52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285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1,450</w:t>
            </w:r>
          </w:p>
        </w:tc>
        <w:tc>
          <w:tcPr>
            <w:tcW w:w="1220" w:type="dxa"/>
            <w:vAlign w:val="bottom"/>
            <w:gridSpan w:val="2"/>
          </w:tcPr>
          <w:p>
            <w:pPr>
              <w:jc w:val="right"/>
              <w:ind w:right="24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Retail</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351</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318</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412</w:t>
            </w:r>
          </w:p>
        </w:tc>
        <w:tc>
          <w:tcPr>
            <w:tcW w:w="5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322</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1,403</w:t>
            </w:r>
          </w:p>
        </w:tc>
        <w:tc>
          <w:tcPr>
            <w:tcW w:w="1220" w:type="dxa"/>
            <w:vAlign w:val="bottom"/>
            <w:gridSpan w:val="2"/>
            <w:shd w:val="clear" w:color="auto" w:fill="CFF0FC"/>
          </w:tcPr>
          <w:p>
            <w:pPr>
              <w:jc w:val="right"/>
              <w:ind w:right="24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382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311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375</w:t>
            </w:r>
          </w:p>
        </w:tc>
        <w:tc>
          <w:tcPr>
            <w:tcW w:w="52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88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1,156</w:t>
            </w:r>
          </w:p>
        </w:tc>
        <w:tc>
          <w:tcPr>
            <w:tcW w:w="1220" w:type="dxa"/>
            <w:vAlign w:val="bottom"/>
            <w:gridSpan w:val="2"/>
          </w:tcPr>
          <w:p>
            <w:pPr>
              <w:jc w:val="right"/>
              <w:ind w:right="24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Public administration</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124</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57</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20</w:t>
            </w:r>
          </w:p>
        </w:tc>
        <w:tc>
          <w:tcPr>
            <w:tcW w:w="5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202</w:t>
            </w:r>
          </w:p>
        </w:tc>
        <w:tc>
          <w:tcPr>
            <w:tcW w:w="1220" w:type="dxa"/>
            <w:vAlign w:val="bottom"/>
            <w:gridSpan w:val="2"/>
            <w:shd w:val="clear" w:color="auto" w:fill="CFF0FC"/>
          </w:tcPr>
          <w:p>
            <w:pPr>
              <w:jc w:val="right"/>
              <w:ind w:right="24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Agriculture, forestry, fishing, etc.</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57</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124</w:t>
            </w:r>
          </w:p>
        </w:tc>
        <w:tc>
          <w:tcPr>
            <w:tcW w:w="1220" w:type="dxa"/>
            <w:vAlign w:val="bottom"/>
            <w:gridSpan w:val="2"/>
          </w:tcPr>
          <w:p>
            <w:pPr>
              <w:jc w:val="right"/>
              <w:ind w:right="24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79</w:t>
            </w:r>
          </w:p>
        </w:tc>
        <w:tc>
          <w:tcPr>
            <w:tcW w:w="5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225</w:t>
            </w:r>
          </w:p>
        </w:tc>
        <w:tc>
          <w:tcPr>
            <w:tcW w:w="6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8"/>
                <w:szCs w:val="18"/>
                <w:color w:val="auto"/>
              </w:rPr>
              <w:t>59</w:t>
            </w:r>
          </w:p>
        </w:tc>
        <w:tc>
          <w:tcPr>
            <w:tcW w:w="5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47</w:t>
            </w:r>
          </w:p>
        </w:tc>
        <w:tc>
          <w:tcPr>
            <w:tcW w:w="5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410</w:t>
            </w:r>
          </w:p>
        </w:tc>
        <w:tc>
          <w:tcPr>
            <w:tcW w:w="3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24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6"/>
        </w:trPr>
        <w:tc>
          <w:tcPr>
            <w:tcW w:w="3860" w:type="dxa"/>
            <w:vAlign w:val="bottom"/>
            <w:gridSpan w:val="7"/>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8,598</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5,192</w:t>
            </w:r>
          </w:p>
        </w:tc>
        <w:tc>
          <w:tcPr>
            <w:tcW w:w="6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5,999</w:t>
            </w:r>
          </w:p>
        </w:tc>
        <w:tc>
          <w:tcPr>
            <w:tcW w:w="520" w:type="dxa"/>
            <w:vAlign w:val="bottom"/>
          </w:tcPr>
          <w:p>
            <w:pPr>
              <w:spacing w:after="0"/>
              <w:rPr>
                <w:sz w:val="22"/>
                <w:szCs w:val="22"/>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w w:val="87"/>
              </w:rPr>
              <w:t>$4,049</w:t>
            </w:r>
          </w:p>
        </w:tc>
        <w:tc>
          <w:tcPr>
            <w:tcW w:w="5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93"/>
              <w:spacing w:after="0"/>
              <w:rPr>
                <w:sz w:val="20"/>
                <w:szCs w:val="20"/>
                <w:color w:val="auto"/>
              </w:rPr>
            </w:pPr>
            <w:r>
              <w:rPr>
                <w:rFonts w:ascii="Arial" w:cs="Arial" w:eastAsia="Arial" w:hAnsi="Arial"/>
                <w:sz w:val="18"/>
                <w:szCs w:val="18"/>
                <w:color w:val="auto"/>
                <w:w w:val="87"/>
              </w:rPr>
              <w:t>23,838</w:t>
            </w:r>
          </w:p>
        </w:tc>
        <w:tc>
          <w:tcPr>
            <w:tcW w:w="1220" w:type="dxa"/>
            <w:vAlign w:val="bottom"/>
            <w:gridSpan w:val="2"/>
          </w:tcPr>
          <w:p>
            <w:pPr>
              <w:jc w:val="right"/>
              <w:ind w:right="8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3860" w:type="dxa"/>
            <w:vAlign w:val="bottom"/>
            <w:tcBorders>
              <w:top w:val="single" w:sz="8" w:color="CFF0FC"/>
              <w:bottom w:val="single" w:sz="8" w:color="CFF0FC"/>
            </w:tcBorders>
            <w:gridSpan w:val="7"/>
            <w:shd w:val="clear" w:color="auto" w:fill="CFF0FC"/>
          </w:tcPr>
          <w:p>
            <w:pPr>
              <w:spacing w:after="0" w:line="202" w:lineRule="exact"/>
              <w:rPr>
                <w:sz w:val="20"/>
                <w:szCs w:val="20"/>
                <w:color w:val="auto"/>
              </w:rPr>
            </w:pPr>
            <w:r>
              <w:rPr>
                <w:rFonts w:ascii="Arial" w:cs="Arial" w:eastAsia="Arial" w:hAnsi="Arial"/>
                <w:sz w:val="18"/>
                <w:szCs w:val="18"/>
                <w:color w:val="auto"/>
              </w:rPr>
              <w:t>Percent of total</w:t>
            </w: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36%</w:t>
            </w:r>
          </w:p>
        </w:tc>
        <w:tc>
          <w:tcPr>
            <w:tcW w:w="5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22%</w:t>
            </w: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25%</w:t>
            </w:r>
          </w:p>
        </w:tc>
        <w:tc>
          <w:tcPr>
            <w:tcW w:w="520" w:type="dxa"/>
            <w:vAlign w:val="bottom"/>
            <w:tcBorders>
              <w:top w:val="single" w:sz="8" w:color="CFF0FC"/>
              <w:bottom w:val="single" w:sz="8" w:color="CFF0FC"/>
            </w:tcBorders>
            <w:shd w:val="clear" w:color="auto" w:fill="CFF0FC"/>
          </w:tcPr>
          <w:p>
            <w:pPr>
              <w:spacing w:after="0"/>
              <w:rPr>
                <w:sz w:val="17"/>
                <w:szCs w:val="17"/>
                <w:color w:val="auto"/>
              </w:rPr>
            </w:pPr>
          </w:p>
        </w:tc>
        <w:tc>
          <w:tcPr>
            <w:tcW w:w="68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17%</w:t>
            </w:r>
          </w:p>
        </w:tc>
        <w:tc>
          <w:tcPr>
            <w:tcW w:w="5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68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100%</w:t>
            </w:r>
          </w:p>
        </w:tc>
        <w:tc>
          <w:tcPr>
            <w:tcW w:w="380" w:type="dxa"/>
            <w:vAlign w:val="bottom"/>
            <w:tcBorders>
              <w:top w:val="single" w:sz="8" w:color="CFF0FC"/>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gridSpan w:val="7"/>
            <w:vMerge w:val="restart"/>
          </w:tcPr>
          <w:p>
            <w:pPr>
              <w:spacing w:after="0" w:line="204" w:lineRule="exact"/>
              <w:rPr>
                <w:sz w:val="20"/>
                <w:szCs w:val="20"/>
                <w:color w:val="auto"/>
              </w:rPr>
            </w:pPr>
            <w:r>
              <w:rPr>
                <w:rFonts w:ascii="Arial" w:cs="Arial" w:eastAsia="Arial" w:hAnsi="Arial"/>
                <w:sz w:val="18"/>
                <w:szCs w:val="18"/>
                <w:color w:val="auto"/>
              </w:rPr>
              <w:t>Percent of dollars outstanding</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860" w:type="dxa"/>
            <w:vAlign w:val="bottom"/>
            <w:gridSpan w:val="7"/>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10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Secured</w:t>
            </w:r>
          </w:p>
        </w:tc>
        <w:tc>
          <w:tcPr>
            <w:tcW w:w="1760" w:type="dxa"/>
            <w:vAlign w:val="bottom"/>
            <w:gridSpan w:val="4"/>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5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3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Unsecured</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Leases</w:t>
            </w: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8</w:t>
            </w:r>
          </w:p>
        </w:tc>
        <w:tc>
          <w:tcPr>
            <w:tcW w:w="5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3</w:t>
            </w:r>
          </w:p>
        </w:tc>
        <w:tc>
          <w:tcPr>
            <w:tcW w:w="6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8"/>
                <w:szCs w:val="18"/>
                <w:color w:val="auto"/>
              </w:rPr>
              <w:t>4</w:t>
            </w:r>
          </w:p>
        </w:tc>
        <w:tc>
          <w:tcPr>
            <w:tcW w:w="5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6</w:t>
            </w:r>
          </w:p>
        </w:tc>
        <w:tc>
          <w:tcPr>
            <w:tcW w:w="5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5</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FF0FC"/>
            </w:tcBorders>
            <w:gridSpan w:val="7"/>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CFF0FC"/>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bottom w:val="single" w:sz="8" w:color="CFF0FC"/>
            </w:tcBorders>
          </w:tcPr>
          <w:p>
            <w:pPr>
              <w:spacing w:after="0"/>
              <w:rPr>
                <w:sz w:val="22"/>
                <w:szCs w:val="22"/>
                <w:color w:val="auto"/>
              </w:rPr>
            </w:pPr>
          </w:p>
        </w:tc>
        <w:tc>
          <w:tcPr>
            <w:tcW w:w="84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3860" w:type="dxa"/>
            <w:vAlign w:val="bottom"/>
            <w:gridSpan w:val="7"/>
            <w:shd w:val="clear" w:color="auto" w:fill="CFF0FC"/>
          </w:tcPr>
          <w:p>
            <w:pPr>
              <w:spacing w:after="0" w:line="163" w:lineRule="exact"/>
              <w:rPr>
                <w:sz w:val="20"/>
                <w:szCs w:val="20"/>
                <w:color w:val="auto"/>
              </w:rPr>
            </w:pPr>
            <w:r>
              <w:rPr>
                <w:rFonts w:ascii="Arial" w:cs="Arial" w:eastAsia="Arial" w:hAnsi="Arial"/>
                <w:sz w:val="18"/>
                <w:szCs w:val="18"/>
                <w:color w:val="auto"/>
              </w:rPr>
              <w:t>Percent of dollars outstanding by</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320" w:type="dxa"/>
            <w:vAlign w:val="bottom"/>
            <w:tcBorders>
              <w:top w:val="single" w:sz="8" w:color="auto"/>
            </w:tcBorders>
            <w:gridSpan w:val="5"/>
            <w:shd w:val="clear" w:color="auto" w:fill="CFF0FC"/>
          </w:tcPr>
          <w:p>
            <w:pPr>
              <w:ind w:left="140"/>
              <w:spacing w:after="0" w:line="190" w:lineRule="exact"/>
              <w:rPr>
                <w:sz w:val="20"/>
                <w:szCs w:val="20"/>
                <w:color w:val="auto"/>
              </w:rPr>
            </w:pPr>
            <w:r>
              <w:rPr>
                <w:rFonts w:ascii="Arial" w:cs="Arial" w:eastAsia="Arial" w:hAnsi="Arial"/>
                <w:sz w:val="18"/>
                <w:szCs w:val="18"/>
                <w:color w:val="auto"/>
              </w:rPr>
              <w:t>size of loan</w:t>
            </w:r>
          </w:p>
        </w:tc>
        <w:tc>
          <w:tcPr>
            <w:tcW w:w="1540" w:type="dxa"/>
            <w:vAlign w:val="bottom"/>
            <w:tcBorders>
              <w:top w:val="single" w:sz="8" w:color="CFF0FC"/>
            </w:tcBorders>
            <w:gridSpan w:val="2"/>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70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CFF0FC"/>
            </w:tcBorders>
            <w:shd w:val="clear" w:color="auto" w:fill="CFF0FC"/>
          </w:tcPr>
          <w:p>
            <w:pPr>
              <w:spacing w:after="0"/>
              <w:rPr>
                <w:sz w:val="16"/>
                <w:szCs w:val="16"/>
                <w:color w:val="auto"/>
              </w:rPr>
            </w:pPr>
          </w:p>
        </w:tc>
        <w:tc>
          <w:tcPr>
            <w:tcW w:w="6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76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CFF0FC"/>
            </w:tcBorders>
            <w:shd w:val="clear" w:color="auto" w:fill="CFF0FC"/>
          </w:tcPr>
          <w:p>
            <w:pPr>
              <w:spacing w:after="0"/>
              <w:rPr>
                <w:sz w:val="16"/>
                <w:szCs w:val="16"/>
                <w:color w:val="auto"/>
              </w:rPr>
            </w:pPr>
          </w:p>
        </w:tc>
        <w:tc>
          <w:tcPr>
            <w:tcW w:w="68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68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CFF0FC"/>
            </w:tcBorders>
            <w:shd w:val="clear" w:color="auto" w:fill="CFF0FC"/>
          </w:tcPr>
          <w:p>
            <w:pPr>
              <w:spacing w:after="0"/>
              <w:rPr>
                <w:sz w:val="16"/>
                <w:szCs w:val="16"/>
                <w:color w:val="auto"/>
              </w:rPr>
            </w:pPr>
          </w:p>
        </w:tc>
        <w:tc>
          <w:tcPr>
            <w:tcW w:w="84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40" w:type="dxa"/>
            <w:vAlign w:val="bottom"/>
            <w:shd w:val="clear" w:color="auto" w:fill="CFF0FC"/>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160" w:type="dxa"/>
            <w:vAlign w:val="bottom"/>
            <w:shd w:val="clear" w:color="auto" w:fill="CFF0FC"/>
          </w:tcPr>
          <w:p>
            <w:pPr>
              <w:spacing w:after="0"/>
              <w:rPr>
                <w:sz w:val="3"/>
                <w:szCs w:val="3"/>
                <w:color w:val="auto"/>
              </w:rPr>
            </w:pPr>
          </w:p>
        </w:tc>
        <w:tc>
          <w:tcPr>
            <w:tcW w:w="4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140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5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6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52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5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Less than $1 million</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$1 million to $5 million</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23</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22</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19</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$5 million to $10 million</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$10 million to $20 million</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16</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23</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20</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$20 million to $30 million</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$30 million to $50 million</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5</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6</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8</w:t>
            </w:r>
          </w:p>
        </w:tc>
        <w:tc>
          <w:tcPr>
            <w:tcW w:w="5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9</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6</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gridSpan w:val="7"/>
          </w:tcPr>
          <w:p>
            <w:pPr>
              <w:spacing w:after="0"/>
              <w:rPr>
                <w:sz w:val="20"/>
                <w:szCs w:val="20"/>
                <w:color w:val="auto"/>
              </w:rPr>
            </w:pPr>
            <w:r>
              <w:rPr>
                <w:rFonts w:ascii="Arial" w:cs="Arial" w:eastAsia="Arial" w:hAnsi="Arial"/>
                <w:sz w:val="18"/>
                <w:szCs w:val="18"/>
                <w:color w:val="auto"/>
              </w:rPr>
              <w:t>Greater than $50 million</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w:t>
            </w:r>
          </w:p>
        </w:tc>
        <w:tc>
          <w:tcPr>
            <w:tcW w:w="5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w:t>
            </w:r>
          </w:p>
        </w:tc>
        <w:tc>
          <w:tcPr>
            <w:tcW w:w="6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9</w:t>
            </w:r>
          </w:p>
        </w:tc>
        <w:tc>
          <w:tcPr>
            <w:tcW w:w="5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w:t>
            </w:r>
          </w:p>
        </w:tc>
        <w:tc>
          <w:tcPr>
            <w:tcW w:w="5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60" w:type="dxa"/>
            <w:vAlign w:val="bottom"/>
            <w:tcBorders>
              <w:bottom w:val="single" w:sz="8" w:color="CFF0FC"/>
            </w:tcBorders>
            <w:gridSpan w:val="7"/>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6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00" w:hanging="595"/>
        <w:spacing w:after="0"/>
        <w:tabs>
          <w:tab w:leader="none" w:pos="6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Delaware, Maryland, New Jersey, Virginia, West Virginia and the District of Columbia.</w:t>
      </w:r>
    </w:p>
    <w:p>
      <w:pPr>
        <w:spacing w:after="0" w:line="212" w:lineRule="exact"/>
        <w:rPr>
          <w:sz w:val="20"/>
          <w:szCs w:val="20"/>
          <w:color w:val="auto"/>
        </w:rPr>
      </w:pPr>
    </w:p>
    <w:p>
      <w:pPr>
        <w:jc w:val="both"/>
        <w:ind w:right="220" w:firstLine="598"/>
        <w:spacing w:after="0" w:line="281" w:lineRule="auto"/>
        <w:rPr>
          <w:sz w:val="20"/>
          <w:szCs w:val="20"/>
          <w:color w:val="auto"/>
        </w:rPr>
      </w:pPr>
      <w:r>
        <w:rPr>
          <w:rFonts w:ascii="Arial" w:cs="Arial" w:eastAsia="Arial" w:hAnsi="Arial"/>
          <w:sz w:val="19"/>
          <w:szCs w:val="19"/>
          <w:color w:val="auto"/>
        </w:rPr>
        <w:t>International loans included in commercial loans and leases totaled $121 million and $109 million at December 31, 2019 and 2018, respectively. Included in such loans were $93 million and $78 million, respectively, of loans at M&amp;T Bank’s commercial banking office in Ontario, Canada. The remaining international loans are predominantly to domestic companies with foreign operations.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58" w:name="page59"/>
    <w:bookmarkEnd w:id="58"/>
    <w:p>
      <w:pPr>
        <w:ind w:firstLine="598"/>
        <w:spacing w:after="0" w:line="276" w:lineRule="auto"/>
        <w:rPr>
          <w:sz w:val="20"/>
          <w:szCs w:val="20"/>
          <w:color w:val="auto"/>
        </w:rPr>
      </w:pPr>
      <w:r>
        <w:rPr>
          <w:rFonts w:ascii="Arial" w:cs="Arial" w:eastAsia="Arial" w:hAnsi="Arial"/>
          <w:sz w:val="18"/>
          <w:szCs w:val="18"/>
          <w:color w:val="auto"/>
        </w:rPr>
        <w:t>Loans secured by real estate, including outstanding balances of home equity loans and lines of credit which the Company classifies as consumer loans, represented approximately 63% of the loan and lease portfolio during 2019, compared with 65% and 67% in 2018 and 2017, respectively. At December 31, 2019, the Company held approximately $35.5 billion of commercial real estate loans (including $28 million originated for sale), $16.2 billion of consumer real estate loans secured by one-to-four family residential properties (including $414 million of loans originated for sale) and $4.5 billion of outstanding balances of home equity loans and lines of credit, compared with $34.4 billion, $17.2 billion and $4.9 billion, respectively, at December 31, 2018. The decrease in residential real estate loans reflects the continued pay down of loans obtained in the Hudson City acquisition. Included in commercial real estate loans at December 31, 2019 and 2018 were construction loans of $8.9 billion and $8.8 billion, respectively, including amounts due from builders and developers of residential real estate aggregating $1.5 billion and $1.7 billion at December 31, 2019 and 2018, respectively. Commercial real estate loans included loans held for sale totaling $28 million and $347 million at December 31, 2019 and 2018, respectively. International loans included in commercial real estate loans totaled $54 million at December 31, 2019 and $49 million at December 31, 2018.</w:t>
      </w:r>
    </w:p>
    <w:p>
      <w:pPr>
        <w:spacing w:after="0" w:line="1" w:lineRule="exact"/>
        <w:rPr>
          <w:sz w:val="20"/>
          <w:szCs w:val="20"/>
          <w:color w:val="auto"/>
        </w:rPr>
      </w:pPr>
    </w:p>
    <w:p>
      <w:pPr>
        <w:ind w:right="20" w:firstLine="598"/>
        <w:spacing w:after="0" w:line="262" w:lineRule="auto"/>
        <w:rPr>
          <w:sz w:val="20"/>
          <w:szCs w:val="20"/>
          <w:color w:val="auto"/>
        </w:rPr>
      </w:pPr>
      <w:r>
        <w:rPr>
          <w:rFonts w:ascii="Arial" w:cs="Arial" w:eastAsia="Arial" w:hAnsi="Arial"/>
          <w:sz w:val="19"/>
          <w:szCs w:val="19"/>
          <w:color w:val="auto"/>
        </w:rPr>
        <w:t>Commercial real estate loans originated by the Company include both fixed and variable rate instruments with monthly payments and a balloon payment of the remaining unpaid principal at maturity. Maturity dates generally range from five to ten years and, for borrowers in good standing, the terms of such loans may be extended by the customer following maturity at the then-current market rate of interest. Adjustable-rate commercial real estate loans represented approximately 77% of the commercial real estate loan portfolio at the 2019 year-end. Table 6 presents commercial real estate loans by geographic area, type of collateral and size of the loans outstanding at December 31, 2019. New York City area commercial real estate loans totaled $8.8 billion at December 31, 2019. The $7.8 billion of investor-owned commercial real estate loans in the New York City area were largely secured by multifamily residential properties, retail space and office space. The Company’s experience has been that office, retail and service-related properties tend to demonstrate more volatile fluctuations in value through economic cycles and changing economic conditions than do multifamily residential properties. Approximately 66% of the aggregate dollar amount of New York City area loans were for loans with outstanding balances of $30 million or less, while loans of more than $50 million made up approximately 19% of the total.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59" w:name="page60"/>
    <w:bookmarkEnd w:id="59"/>
    <w:p>
      <w:pPr>
        <w:spacing w:after="0"/>
        <w:rPr>
          <w:sz w:val="20"/>
          <w:szCs w:val="20"/>
          <w:color w:val="auto"/>
        </w:rPr>
      </w:pPr>
      <w:r>
        <w:rPr>
          <w:rFonts w:ascii="Arial" w:cs="Arial" w:eastAsia="Arial" w:hAnsi="Arial"/>
          <w:sz w:val="20"/>
          <w:szCs w:val="20"/>
          <w:b w:val="1"/>
          <w:bCs w:val="1"/>
          <w:color w:val="auto"/>
        </w:rPr>
        <w:t>Table 6</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COMMERCIAL REAL ESTATE LOANS, NET OF UNEARNED DISCOUNT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31, 2019</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New York State</w:t>
            </w:r>
          </w:p>
        </w:tc>
        <w:tc>
          <w:tcPr>
            <w:tcW w:w="4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Penn-</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Mid-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1"/>
        </w:trPr>
        <w:tc>
          <w:tcPr>
            <w:tcW w:w="2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1" w:lineRule="exact"/>
              <w:rPr>
                <w:sz w:val="20"/>
                <w:szCs w:val="20"/>
                <w:color w:val="auto"/>
              </w:rPr>
            </w:pPr>
            <w:r>
              <w:rPr>
                <w:rFonts w:ascii="Arial" w:cs="Arial" w:eastAsia="Arial" w:hAnsi="Arial"/>
                <w:sz w:val="14"/>
                <w:szCs w:val="14"/>
                <w:b w:val="1"/>
                <w:bCs w:val="1"/>
                <w:color w:val="auto"/>
                <w:w w:val="93"/>
              </w:rPr>
              <w:t>New York</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City</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4"/>
              </w:rPr>
              <w:t>sylvania</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3"/>
              </w:rPr>
              <w:t>Atlantic(a)</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Other</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400" w:type="dxa"/>
            <w:vAlign w:val="bottom"/>
            <w:gridSpan w:val="3"/>
            <w:vMerge w:val="restart"/>
          </w:tcPr>
          <w:p>
            <w:pPr>
              <w:spacing w:after="0"/>
              <w:rPr>
                <w:sz w:val="20"/>
                <w:szCs w:val="20"/>
                <w:color w:val="auto"/>
              </w:rPr>
            </w:pPr>
            <w:r>
              <w:rPr>
                <w:rFonts w:ascii="Arial" w:cs="Arial" w:eastAsia="Arial" w:hAnsi="Arial"/>
                <w:sz w:val="14"/>
                <w:szCs w:val="14"/>
                <w:color w:val="auto"/>
              </w:rPr>
              <w:t>Investor-owned</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5"/>
              </w:rPr>
              <w:t>(Dollars in millions)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4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400" w:type="dxa"/>
            <w:vAlign w:val="bottom"/>
            <w:gridSpan w:val="3"/>
            <w:shd w:val="clear" w:color="auto" w:fill="CFF0FC"/>
          </w:tcPr>
          <w:p>
            <w:pPr>
              <w:ind w:left="120"/>
              <w:spacing w:after="0" w:line="139" w:lineRule="exact"/>
              <w:rPr>
                <w:sz w:val="20"/>
                <w:szCs w:val="20"/>
                <w:color w:val="auto"/>
              </w:rPr>
            </w:pPr>
            <w:r>
              <w:rPr>
                <w:rFonts w:ascii="Arial" w:cs="Arial" w:eastAsia="Arial" w:hAnsi="Arial"/>
                <w:sz w:val="14"/>
                <w:szCs w:val="14"/>
                <w:color w:val="auto"/>
              </w:rPr>
              <w:t>Permanent finance by property</w:t>
            </w: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400" w:type="dxa"/>
            <w:vAlign w:val="bottom"/>
            <w:gridSpan w:val="3"/>
            <w:shd w:val="clear" w:color="auto" w:fill="CFF0FC"/>
          </w:tcPr>
          <w:p>
            <w:pPr>
              <w:ind w:left="240"/>
              <w:spacing w:after="0"/>
              <w:rPr>
                <w:sz w:val="20"/>
                <w:szCs w:val="20"/>
                <w:color w:val="auto"/>
              </w:rPr>
            </w:pPr>
            <w:r>
              <w:rPr>
                <w:rFonts w:ascii="Arial" w:cs="Arial" w:eastAsia="Arial" w:hAnsi="Arial"/>
                <w:sz w:val="14"/>
                <w:szCs w:val="14"/>
                <w:color w:val="auto"/>
              </w:rPr>
              <w:t>type</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Office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1,312</w:t>
            </w:r>
          </w:p>
        </w:tc>
        <w:tc>
          <w:tcPr>
            <w:tcW w:w="300" w:type="dxa"/>
            <w:vAlign w:val="bottom"/>
          </w:tcPr>
          <w:p>
            <w:pPr>
              <w:spacing w:after="0"/>
              <w:rPr>
                <w:sz w:val="13"/>
                <w:szCs w:val="13"/>
                <w:color w:val="auto"/>
              </w:rPr>
            </w:pPr>
          </w:p>
        </w:tc>
        <w:tc>
          <w:tcPr>
            <w:tcW w:w="400" w:type="dxa"/>
            <w:vAlign w:val="bottom"/>
            <w:gridSpan w:val="2"/>
          </w:tcPr>
          <w:p>
            <w:pPr>
              <w:jc w:val="right"/>
              <w:ind w:right="110"/>
              <w:spacing w:after="0" w:line="15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1,004</w:t>
            </w:r>
          </w:p>
        </w:tc>
        <w:tc>
          <w:tcPr>
            <w:tcW w:w="48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492</w:t>
            </w:r>
          </w:p>
        </w:tc>
        <w:tc>
          <w:tcPr>
            <w:tcW w:w="180" w:type="dxa"/>
            <w:vAlign w:val="bottom"/>
          </w:tcPr>
          <w:p>
            <w:pPr>
              <w:spacing w:after="0"/>
              <w:rPr>
                <w:sz w:val="13"/>
                <w:szCs w:val="13"/>
                <w:color w:val="auto"/>
              </w:rPr>
            </w:pPr>
          </w:p>
        </w:tc>
        <w:tc>
          <w:tcPr>
            <w:tcW w:w="3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1,089</w:t>
            </w:r>
          </w:p>
        </w:tc>
        <w:tc>
          <w:tcPr>
            <w:tcW w:w="360" w:type="dxa"/>
            <w:vAlign w:val="bottom"/>
          </w:tcPr>
          <w:p>
            <w:pPr>
              <w:spacing w:after="0"/>
              <w:rPr>
                <w:sz w:val="13"/>
                <w:szCs w:val="13"/>
                <w:color w:val="auto"/>
              </w:rPr>
            </w:pPr>
          </w:p>
        </w:tc>
        <w:tc>
          <w:tcPr>
            <w:tcW w:w="260" w:type="dxa"/>
            <w:vAlign w:val="bottom"/>
            <w:gridSpan w:val="2"/>
          </w:tcPr>
          <w:p>
            <w:pPr>
              <w:jc w:val="right"/>
              <w:ind w:right="10"/>
              <w:spacing w:after="0" w:line="158"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571</w:t>
            </w:r>
          </w:p>
        </w:tc>
        <w:tc>
          <w:tcPr>
            <w:tcW w:w="460" w:type="dxa"/>
            <w:vAlign w:val="bottom"/>
          </w:tcPr>
          <w:p>
            <w:pPr>
              <w:spacing w:after="0"/>
              <w:rPr>
                <w:sz w:val="13"/>
                <w:szCs w:val="13"/>
                <w:color w:val="auto"/>
              </w:rPr>
            </w:pPr>
          </w:p>
        </w:tc>
        <w:tc>
          <w:tcPr>
            <w:tcW w:w="180" w:type="dxa"/>
            <w:vAlign w:val="bottom"/>
          </w:tcPr>
          <w:p>
            <w:pPr>
              <w:jc w:val="right"/>
              <w:ind w:right="30"/>
              <w:spacing w:after="0" w:line="158"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4,468</w:t>
            </w:r>
          </w:p>
        </w:tc>
        <w:tc>
          <w:tcPr>
            <w:tcW w:w="480" w:type="dxa"/>
            <w:vAlign w:val="bottom"/>
          </w:tcPr>
          <w:p>
            <w:pPr>
              <w:spacing w:after="0"/>
              <w:rPr>
                <w:sz w:val="13"/>
                <w:szCs w:val="13"/>
                <w:color w:val="auto"/>
              </w:rPr>
            </w:pPr>
          </w:p>
        </w:tc>
        <w:tc>
          <w:tcPr>
            <w:tcW w:w="9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Retail/Service</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1,468</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602</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349</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1,046</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901</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4,366</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12</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Apartments/Multifamily</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1,609</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1,006</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531</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426</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654</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4,226</w:t>
            </w:r>
          </w:p>
        </w:tc>
        <w:tc>
          <w:tcPr>
            <w:tcW w:w="48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12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Hotel</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618</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373</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276</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736</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626</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2,629</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Health facilities</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408</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436</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397</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636</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565</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2,442</w:t>
            </w:r>
          </w:p>
        </w:tc>
        <w:tc>
          <w:tcPr>
            <w:tcW w:w="48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Industrial/Warehouse</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235</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238</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299</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433</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324</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1,529</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tcBorders>
              <w:bottom w:val="single" w:sz="8" w:color="CFF0FC"/>
            </w:tcBorders>
            <w:gridSpan w:val="3"/>
          </w:tcPr>
          <w:p>
            <w:pPr>
              <w:ind w:left="240"/>
              <w:spacing w:after="0" w:line="158" w:lineRule="exact"/>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120</w:t>
            </w: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28</w:t>
            </w:r>
          </w:p>
        </w:tc>
        <w:tc>
          <w:tcPr>
            <w:tcW w:w="4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14</w:t>
            </w: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54</w:t>
            </w:r>
          </w:p>
        </w:tc>
        <w:tc>
          <w:tcPr>
            <w:tcW w:w="3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w:t>
            </w:r>
          </w:p>
        </w:tc>
        <w:tc>
          <w:tcPr>
            <w:tcW w:w="4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219</w:t>
            </w:r>
          </w:p>
        </w:tc>
        <w:tc>
          <w:tcPr>
            <w:tcW w:w="48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w:t>
            </w: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0" w:type="dxa"/>
            <w:vAlign w:val="bottom"/>
            <w:gridSpan w:val="3"/>
            <w:shd w:val="clear" w:color="auto" w:fill="CFF0FC"/>
          </w:tcPr>
          <w:p>
            <w:pPr>
              <w:ind w:left="460"/>
              <w:spacing w:after="0" w:line="151" w:lineRule="exact"/>
              <w:rPr>
                <w:sz w:val="20"/>
                <w:szCs w:val="20"/>
                <w:color w:val="auto"/>
              </w:rPr>
            </w:pPr>
            <w:r>
              <w:rPr>
                <w:rFonts w:ascii="Arial" w:cs="Arial" w:eastAsia="Arial" w:hAnsi="Arial"/>
                <w:sz w:val="14"/>
                <w:szCs w:val="14"/>
                <w:color w:val="auto"/>
              </w:rPr>
              <w:t>Total permanent</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5,770</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3,687</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2,358</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4,420</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3,644</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19,879</w:t>
            </w:r>
          </w:p>
        </w:tc>
        <w:tc>
          <w:tcPr>
            <w:tcW w:w="4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line="151"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51"/>
        </w:trPr>
        <w:tc>
          <w:tcPr>
            <w:tcW w:w="3400" w:type="dxa"/>
            <w:vAlign w:val="bottom"/>
            <w:gridSpan w:val="3"/>
          </w:tcPr>
          <w:p>
            <w:pPr>
              <w:ind w:left="120"/>
              <w:spacing w:after="0" w:line="151" w:lineRule="exact"/>
              <w:rPr>
                <w:sz w:val="20"/>
                <w:szCs w:val="20"/>
                <w:color w:val="auto"/>
              </w:rPr>
            </w:pPr>
            <w:r>
              <w:rPr>
                <w:rFonts w:ascii="Arial" w:cs="Arial" w:eastAsia="Arial" w:hAnsi="Arial"/>
                <w:sz w:val="14"/>
                <w:szCs w:val="14"/>
                <w:color w:val="auto"/>
              </w:rPr>
              <w:t>Construction/Development</w:t>
            </w: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Commercial</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ind w:left="360"/>
              <w:spacing w:after="0" w:line="158" w:lineRule="exact"/>
              <w:rPr>
                <w:sz w:val="20"/>
                <w:szCs w:val="20"/>
                <w:color w:val="auto"/>
              </w:rPr>
            </w:pPr>
            <w:r>
              <w:rPr>
                <w:rFonts w:ascii="Arial" w:cs="Arial" w:eastAsia="Arial" w:hAnsi="Arial"/>
                <w:sz w:val="14"/>
                <w:szCs w:val="14"/>
                <w:color w:val="auto"/>
              </w:rPr>
              <w:t>Construction</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1,518</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722</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622</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1,771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1,677</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6,310</w:t>
            </w:r>
          </w:p>
        </w:tc>
        <w:tc>
          <w:tcPr>
            <w:tcW w:w="480" w:type="dxa"/>
            <w:vAlign w:val="bottom"/>
          </w:tcPr>
          <w:p>
            <w:pPr>
              <w:spacing w:after="0"/>
              <w:rPr>
                <w:sz w:val="13"/>
                <w:szCs w:val="13"/>
                <w:color w:val="auto"/>
              </w:rPr>
            </w:pPr>
          </w:p>
        </w:tc>
        <w:tc>
          <w:tcPr>
            <w:tcW w:w="9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360"/>
              <w:spacing w:after="0" w:line="158" w:lineRule="exact"/>
              <w:rPr>
                <w:sz w:val="20"/>
                <w:szCs w:val="20"/>
                <w:color w:val="auto"/>
              </w:rPr>
            </w:pPr>
            <w:r>
              <w:rPr>
                <w:rFonts w:ascii="Arial" w:cs="Arial" w:eastAsia="Arial" w:hAnsi="Arial"/>
                <w:sz w:val="14"/>
                <w:szCs w:val="14"/>
                <w:color w:val="auto"/>
              </w:rPr>
              <w:t>Land/Land development</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268</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34</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24</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196</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121</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643</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400" w:type="dxa"/>
            <w:vAlign w:val="bottom"/>
            <w:gridSpan w:val="3"/>
          </w:tcPr>
          <w:p>
            <w:pPr>
              <w:ind w:left="240"/>
              <w:spacing w:after="0" w:line="139" w:lineRule="exact"/>
              <w:rPr>
                <w:sz w:val="20"/>
                <w:szCs w:val="20"/>
                <w:color w:val="auto"/>
              </w:rPr>
            </w:pPr>
            <w:r>
              <w:rPr>
                <w:rFonts w:ascii="Arial" w:cs="Arial" w:eastAsia="Arial" w:hAnsi="Arial"/>
                <w:sz w:val="14"/>
                <w:szCs w:val="14"/>
                <w:color w:val="auto"/>
              </w:rPr>
              <w:t>Residential builder and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400" w:type="dxa"/>
            <w:vAlign w:val="bottom"/>
            <w:gridSpan w:val="3"/>
          </w:tcPr>
          <w:p>
            <w:pPr>
              <w:ind w:left="360"/>
              <w:spacing w:after="0"/>
              <w:rPr>
                <w:sz w:val="20"/>
                <w:szCs w:val="20"/>
                <w:color w:val="auto"/>
              </w:rPr>
            </w:pPr>
            <w:r>
              <w:rPr>
                <w:rFonts w:ascii="Arial" w:cs="Arial" w:eastAsia="Arial" w:hAnsi="Arial"/>
                <w:sz w:val="14"/>
                <w:szCs w:val="14"/>
                <w:color w:val="auto"/>
              </w:rPr>
              <w:t>developer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360"/>
              <w:spacing w:after="0" w:line="158" w:lineRule="exact"/>
              <w:rPr>
                <w:sz w:val="20"/>
                <w:szCs w:val="20"/>
                <w:color w:val="auto"/>
              </w:rPr>
            </w:pPr>
            <w:r>
              <w:rPr>
                <w:rFonts w:ascii="Arial" w:cs="Arial" w:eastAsia="Arial" w:hAnsi="Arial"/>
                <w:sz w:val="14"/>
                <w:szCs w:val="14"/>
                <w:color w:val="auto"/>
              </w:rPr>
              <w:t>Construction</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252</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40</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259</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510</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1,069</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tcBorders>
              <w:bottom w:val="single" w:sz="8" w:color="CFF0FC"/>
            </w:tcBorders>
            <w:gridSpan w:val="3"/>
          </w:tcPr>
          <w:p>
            <w:pPr>
              <w:ind w:left="360"/>
              <w:spacing w:after="0" w:line="158" w:lineRule="exact"/>
              <w:rPr>
                <w:sz w:val="20"/>
                <w:szCs w:val="20"/>
                <w:color w:val="auto"/>
              </w:rPr>
            </w:pPr>
            <w:r>
              <w:rPr>
                <w:rFonts w:ascii="Arial" w:cs="Arial" w:eastAsia="Arial" w:hAnsi="Arial"/>
                <w:sz w:val="14"/>
                <w:szCs w:val="14"/>
                <w:color w:val="auto"/>
              </w:rPr>
              <w:t>Land/Land development</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32</w:t>
            </w: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17</w:t>
            </w:r>
          </w:p>
        </w:tc>
        <w:tc>
          <w:tcPr>
            <w:tcW w:w="4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41</w:t>
            </w: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130</w:t>
            </w:r>
          </w:p>
        </w:tc>
        <w:tc>
          <w:tcPr>
            <w:tcW w:w="3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259</w:t>
            </w:r>
          </w:p>
        </w:tc>
        <w:tc>
          <w:tcPr>
            <w:tcW w:w="4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479</w:t>
            </w:r>
          </w:p>
        </w:tc>
        <w:tc>
          <w:tcPr>
            <w:tcW w:w="48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w:t>
            </w: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400" w:type="dxa"/>
            <w:vAlign w:val="bottom"/>
            <w:gridSpan w:val="3"/>
            <w:shd w:val="clear" w:color="auto" w:fill="CFF0FC"/>
          </w:tcPr>
          <w:p>
            <w:pPr>
              <w:ind w:left="460"/>
              <w:spacing w:after="0" w:line="133" w:lineRule="exact"/>
              <w:rPr>
                <w:sz w:val="20"/>
                <w:szCs w:val="20"/>
                <w:color w:val="auto"/>
              </w:rPr>
            </w:pPr>
            <w:r>
              <w:rPr>
                <w:rFonts w:ascii="Arial" w:cs="Arial" w:eastAsia="Arial" w:hAnsi="Arial"/>
                <w:sz w:val="14"/>
                <w:szCs w:val="14"/>
                <w:color w:val="auto"/>
              </w:rPr>
              <w:t>Total construction/</w:t>
            </w: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400" w:type="dxa"/>
            <w:vAlign w:val="bottom"/>
            <w:gridSpan w:val="3"/>
            <w:shd w:val="clear" w:color="auto" w:fill="CFF0FC"/>
          </w:tcPr>
          <w:p>
            <w:pPr>
              <w:ind w:left="580"/>
              <w:spacing w:after="0"/>
              <w:rPr>
                <w:sz w:val="20"/>
                <w:szCs w:val="20"/>
                <w:color w:val="auto"/>
              </w:rPr>
            </w:pPr>
            <w:r>
              <w:rPr>
                <w:rFonts w:ascii="Arial" w:cs="Arial" w:eastAsia="Arial" w:hAnsi="Arial"/>
                <w:sz w:val="14"/>
                <w:szCs w:val="14"/>
                <w:color w:val="auto"/>
              </w:rPr>
              <w:t>development</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2,070</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781</w:t>
            </w: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727</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2,356</w:t>
            </w: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2,567</w:t>
            </w: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8,501</w:t>
            </w:r>
          </w:p>
        </w:tc>
        <w:tc>
          <w:tcPr>
            <w:tcW w:w="4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
        </w:trPr>
        <w:tc>
          <w:tcPr>
            <w:tcW w:w="3400" w:type="dxa"/>
            <w:vAlign w:val="bottom"/>
            <w:gridSpan w:val="3"/>
            <w:vMerge w:val="restart"/>
          </w:tcPr>
          <w:p>
            <w:pPr>
              <w:spacing w:after="0"/>
              <w:rPr>
                <w:sz w:val="20"/>
                <w:szCs w:val="20"/>
                <w:color w:val="auto"/>
              </w:rPr>
            </w:pPr>
            <w:r>
              <w:rPr>
                <w:rFonts w:ascii="Arial" w:cs="Arial" w:eastAsia="Arial" w:hAnsi="Arial"/>
                <w:sz w:val="14"/>
                <w:szCs w:val="14"/>
                <w:color w:val="auto"/>
              </w:rPr>
              <w:t>Total investor-owned</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1" w:lineRule="exact"/>
              <w:rPr>
                <w:sz w:val="20"/>
                <w:szCs w:val="20"/>
                <w:color w:val="auto"/>
              </w:rPr>
            </w:pPr>
            <w:r>
              <w:rPr>
                <w:rFonts w:ascii="Arial" w:cs="Arial" w:eastAsia="Arial" w:hAnsi="Arial"/>
                <w:sz w:val="14"/>
                <w:szCs w:val="14"/>
                <w:color w:val="auto"/>
              </w:rPr>
              <w:t>7,840</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1" w:lineRule="exact"/>
              <w:rPr>
                <w:sz w:val="20"/>
                <w:szCs w:val="20"/>
                <w:color w:val="auto"/>
              </w:rPr>
            </w:pPr>
            <w:r>
              <w:rPr>
                <w:rFonts w:ascii="Arial" w:cs="Arial" w:eastAsia="Arial" w:hAnsi="Arial"/>
                <w:sz w:val="14"/>
                <w:szCs w:val="14"/>
                <w:color w:val="auto"/>
              </w:rPr>
              <w:t>4,468</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1" w:lineRule="exact"/>
              <w:rPr>
                <w:sz w:val="20"/>
                <w:szCs w:val="20"/>
                <w:color w:val="auto"/>
              </w:rPr>
            </w:pPr>
            <w:r>
              <w:rPr>
                <w:rFonts w:ascii="Arial" w:cs="Arial" w:eastAsia="Arial" w:hAnsi="Arial"/>
                <w:sz w:val="14"/>
                <w:szCs w:val="14"/>
                <w:color w:val="auto"/>
              </w:rPr>
              <w:t>3,085</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1" w:lineRule="exact"/>
              <w:rPr>
                <w:sz w:val="20"/>
                <w:szCs w:val="20"/>
                <w:color w:val="auto"/>
              </w:rPr>
            </w:pPr>
            <w:r>
              <w:rPr>
                <w:rFonts w:ascii="Arial" w:cs="Arial" w:eastAsia="Arial" w:hAnsi="Arial"/>
                <w:sz w:val="14"/>
                <w:szCs w:val="14"/>
                <w:color w:val="auto"/>
              </w:rPr>
              <w:t>6,776</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1" w:lineRule="exact"/>
              <w:rPr>
                <w:sz w:val="20"/>
                <w:szCs w:val="20"/>
                <w:color w:val="auto"/>
              </w:rPr>
            </w:pPr>
            <w:r>
              <w:rPr>
                <w:rFonts w:ascii="Arial" w:cs="Arial" w:eastAsia="Arial" w:hAnsi="Arial"/>
                <w:sz w:val="14"/>
                <w:szCs w:val="14"/>
                <w:color w:val="auto"/>
              </w:rPr>
              <w:t>6,211</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1" w:lineRule="exact"/>
              <w:rPr>
                <w:sz w:val="20"/>
                <w:szCs w:val="20"/>
                <w:color w:val="auto"/>
              </w:rPr>
            </w:pPr>
            <w:r>
              <w:rPr>
                <w:rFonts w:ascii="Arial" w:cs="Arial" w:eastAsia="Arial" w:hAnsi="Arial"/>
                <w:sz w:val="14"/>
                <w:szCs w:val="14"/>
                <w:color w:val="auto"/>
              </w:rPr>
              <w:t>28,380</w:t>
            </w:r>
          </w:p>
        </w:tc>
        <w:tc>
          <w:tcPr>
            <w:tcW w:w="480" w:type="dxa"/>
            <w:vAlign w:val="bottom"/>
          </w:tcPr>
          <w:p>
            <w:pPr>
              <w:spacing w:after="0"/>
              <w:rPr>
                <w:sz w:val="13"/>
                <w:szCs w:val="13"/>
                <w:color w:val="auto"/>
              </w:rPr>
            </w:pPr>
          </w:p>
        </w:tc>
        <w:tc>
          <w:tcPr>
            <w:tcW w:w="92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51"/>
        </w:trPr>
        <w:tc>
          <w:tcPr>
            <w:tcW w:w="3400" w:type="dxa"/>
            <w:vAlign w:val="bottom"/>
            <w:tcBorders>
              <w:top w:val="single" w:sz="8" w:color="CFF0FC"/>
            </w:tcBorders>
            <w:gridSpan w:val="3"/>
            <w:shd w:val="clear" w:color="auto" w:fill="CFF0FC"/>
          </w:tcPr>
          <w:p>
            <w:pPr>
              <w:spacing w:after="0" w:line="151" w:lineRule="exact"/>
              <w:rPr>
                <w:sz w:val="20"/>
                <w:szCs w:val="20"/>
                <w:color w:val="auto"/>
              </w:rPr>
            </w:pPr>
            <w:r>
              <w:rPr>
                <w:rFonts w:ascii="Arial" w:cs="Arial" w:eastAsia="Arial" w:hAnsi="Arial"/>
                <w:sz w:val="14"/>
                <w:szCs w:val="14"/>
                <w:color w:val="auto"/>
              </w:rPr>
              <w:t>Owner-occupied by industry(b)</w:t>
            </w:r>
          </w:p>
        </w:tc>
        <w:tc>
          <w:tcPr>
            <w:tcW w:w="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Other services</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218</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429</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186</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580</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54</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1,467</w:t>
            </w:r>
          </w:p>
        </w:tc>
        <w:tc>
          <w:tcPr>
            <w:tcW w:w="480" w:type="dxa"/>
            <w:vAlign w:val="bottom"/>
          </w:tcPr>
          <w:p>
            <w:pPr>
              <w:spacing w:after="0"/>
              <w:rPr>
                <w:sz w:val="13"/>
                <w:szCs w:val="13"/>
                <w:color w:val="auto"/>
              </w:rPr>
            </w:pPr>
          </w:p>
        </w:tc>
        <w:tc>
          <w:tcPr>
            <w:tcW w:w="9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9"/>
        </w:trPr>
        <w:tc>
          <w:tcPr>
            <w:tcW w:w="3400" w:type="dxa"/>
            <w:vAlign w:val="bottom"/>
            <w:gridSpan w:val="3"/>
            <w:shd w:val="clear" w:color="auto" w:fill="CFF0FC"/>
          </w:tcPr>
          <w:p>
            <w:pPr>
              <w:ind w:left="240"/>
              <w:spacing w:after="0" w:line="139" w:lineRule="exact"/>
              <w:rPr>
                <w:sz w:val="20"/>
                <w:szCs w:val="20"/>
                <w:color w:val="auto"/>
              </w:rPr>
            </w:pPr>
            <w:r>
              <w:rPr>
                <w:rFonts w:ascii="Arial" w:cs="Arial" w:eastAsia="Arial" w:hAnsi="Arial"/>
                <w:sz w:val="14"/>
                <w:szCs w:val="14"/>
                <w:color w:val="auto"/>
              </w:rPr>
              <w:t>Motor vehicle and recreational</w:t>
            </w: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400" w:type="dxa"/>
            <w:vAlign w:val="bottom"/>
            <w:gridSpan w:val="3"/>
            <w:shd w:val="clear" w:color="auto" w:fill="CFF0FC"/>
          </w:tcPr>
          <w:p>
            <w:pPr>
              <w:ind w:left="320"/>
              <w:spacing w:after="0"/>
              <w:rPr>
                <w:sz w:val="20"/>
                <w:szCs w:val="20"/>
                <w:color w:val="auto"/>
              </w:rPr>
            </w:pPr>
            <w:r>
              <w:rPr>
                <w:rFonts w:ascii="Arial" w:cs="Arial" w:eastAsia="Arial" w:hAnsi="Arial"/>
                <w:sz w:val="14"/>
                <w:szCs w:val="14"/>
                <w:color w:val="auto"/>
              </w:rPr>
              <w:t>finance dealers</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w:t>
            </w: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322</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w:t>
            </w: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w:t>
            </w: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1,164</w:t>
            </w:r>
          </w:p>
        </w:tc>
        <w:tc>
          <w:tcPr>
            <w:tcW w:w="4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Retail</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150</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152</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307</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412</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136</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1,157</w:t>
            </w:r>
          </w:p>
        </w:tc>
        <w:tc>
          <w:tcPr>
            <w:tcW w:w="48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Health services</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125</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382</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168</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200</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28</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903</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Wholesale</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106</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80</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113</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354</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128</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781</w:t>
            </w:r>
          </w:p>
        </w:tc>
        <w:tc>
          <w:tcPr>
            <w:tcW w:w="48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Manufacturing</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95</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201</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113</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140</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42</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591</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Real estate investors</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11</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42</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59</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92</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5</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209</w:t>
            </w:r>
          </w:p>
        </w:tc>
        <w:tc>
          <w:tcPr>
            <w:tcW w:w="48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130</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186</w:t>
            </w:r>
          </w:p>
        </w:tc>
        <w:tc>
          <w:tcPr>
            <w:tcW w:w="48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242</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322</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10</w:t>
            </w:r>
          </w:p>
        </w:tc>
        <w:tc>
          <w:tcPr>
            <w:tcW w:w="46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890</w:t>
            </w:r>
          </w:p>
        </w:tc>
        <w:tc>
          <w:tcPr>
            <w:tcW w:w="48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2</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0" w:type="dxa"/>
            <w:vAlign w:val="bottom"/>
            <w:gridSpan w:val="3"/>
          </w:tcPr>
          <w:p>
            <w:pPr>
              <w:ind w:left="460"/>
              <w:spacing w:after="0" w:line="151" w:lineRule="exact"/>
              <w:rPr>
                <w:sz w:val="20"/>
                <w:szCs w:val="20"/>
                <w:color w:val="auto"/>
              </w:rPr>
            </w:pPr>
            <w:r>
              <w:rPr>
                <w:rFonts w:ascii="Arial" w:cs="Arial" w:eastAsia="Arial" w:hAnsi="Arial"/>
                <w:sz w:val="14"/>
                <w:szCs w:val="14"/>
                <w:color w:val="auto"/>
              </w:rPr>
              <w:t>Total owner-occupied</w:t>
            </w:r>
          </w:p>
        </w:tc>
        <w:tc>
          <w:tcPr>
            <w:tcW w:w="80" w:type="dxa"/>
            <w:vAlign w:val="bottom"/>
          </w:tcPr>
          <w:p>
            <w:pPr>
              <w:spacing w:after="0"/>
              <w:rPr>
                <w:sz w:val="13"/>
                <w:szCs w:val="13"/>
                <w:color w:val="auto"/>
              </w:rPr>
            </w:pPr>
          </w:p>
        </w:tc>
        <w:tc>
          <w:tcPr>
            <w:tcW w:w="620" w:type="dxa"/>
            <w:vAlign w:val="bottom"/>
          </w:tcPr>
          <w:p>
            <w:pPr>
              <w:jc w:val="right"/>
              <w:spacing w:after="0" w:line="151" w:lineRule="exact"/>
              <w:rPr>
                <w:sz w:val="20"/>
                <w:szCs w:val="20"/>
                <w:color w:val="auto"/>
              </w:rPr>
            </w:pPr>
            <w:r>
              <w:rPr>
                <w:rFonts w:ascii="Arial" w:cs="Arial" w:eastAsia="Arial" w:hAnsi="Arial"/>
                <w:sz w:val="14"/>
                <w:szCs w:val="14"/>
                <w:color w:val="auto"/>
              </w:rPr>
              <w:t>1,004</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1" w:lineRule="exact"/>
              <w:rPr>
                <w:sz w:val="20"/>
                <w:szCs w:val="20"/>
                <w:color w:val="auto"/>
              </w:rPr>
            </w:pPr>
            <w:r>
              <w:rPr>
                <w:rFonts w:ascii="Arial" w:cs="Arial" w:eastAsia="Arial" w:hAnsi="Arial"/>
                <w:sz w:val="14"/>
                <w:szCs w:val="14"/>
                <w:color w:val="auto"/>
              </w:rPr>
              <w:t>1,671</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1" w:lineRule="exact"/>
              <w:rPr>
                <w:sz w:val="20"/>
                <w:szCs w:val="20"/>
                <w:color w:val="auto"/>
              </w:rPr>
            </w:pPr>
            <w:r>
              <w:rPr>
                <w:rFonts w:ascii="Arial" w:cs="Arial" w:eastAsia="Arial" w:hAnsi="Arial"/>
                <w:sz w:val="14"/>
                <w:szCs w:val="14"/>
                <w:color w:val="auto"/>
              </w:rPr>
              <w:t>1,510</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1" w:lineRule="exact"/>
              <w:rPr>
                <w:sz w:val="20"/>
                <w:szCs w:val="20"/>
                <w:color w:val="auto"/>
              </w:rPr>
            </w:pPr>
            <w:r>
              <w:rPr>
                <w:rFonts w:ascii="Arial" w:cs="Arial" w:eastAsia="Arial" w:hAnsi="Arial"/>
                <w:sz w:val="14"/>
                <w:szCs w:val="14"/>
                <w:color w:val="auto"/>
              </w:rPr>
              <w:t>2,313</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1" w:lineRule="exact"/>
              <w:rPr>
                <w:sz w:val="20"/>
                <w:szCs w:val="20"/>
                <w:color w:val="auto"/>
              </w:rPr>
            </w:pPr>
            <w:r>
              <w:rPr>
                <w:rFonts w:ascii="Arial" w:cs="Arial" w:eastAsia="Arial" w:hAnsi="Arial"/>
                <w:sz w:val="14"/>
                <w:szCs w:val="14"/>
                <w:color w:val="auto"/>
              </w:rPr>
              <w:t>664</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1" w:lineRule="exact"/>
              <w:rPr>
                <w:sz w:val="20"/>
                <w:szCs w:val="20"/>
                <w:color w:val="auto"/>
              </w:rPr>
            </w:pPr>
            <w:r>
              <w:rPr>
                <w:rFonts w:ascii="Arial" w:cs="Arial" w:eastAsia="Arial" w:hAnsi="Arial"/>
                <w:sz w:val="14"/>
                <w:szCs w:val="14"/>
                <w:color w:val="auto"/>
              </w:rPr>
              <w:t>7,162</w:t>
            </w:r>
          </w:p>
        </w:tc>
        <w:tc>
          <w:tcPr>
            <w:tcW w:w="480" w:type="dxa"/>
            <w:vAlign w:val="bottom"/>
          </w:tcPr>
          <w:p>
            <w:pPr>
              <w:spacing w:after="0"/>
              <w:rPr>
                <w:sz w:val="13"/>
                <w:szCs w:val="13"/>
                <w:color w:val="auto"/>
              </w:rPr>
            </w:pPr>
          </w:p>
        </w:tc>
        <w:tc>
          <w:tcPr>
            <w:tcW w:w="92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3400" w:type="dxa"/>
            <w:vAlign w:val="bottom"/>
            <w:gridSpan w:val="3"/>
            <w:vMerge w:val="restart"/>
            <w:shd w:val="clear" w:color="auto" w:fill="CFF0FC"/>
          </w:tcPr>
          <w:p>
            <w:pPr>
              <w:spacing w:after="0"/>
              <w:rPr>
                <w:sz w:val="20"/>
                <w:szCs w:val="20"/>
                <w:color w:val="auto"/>
              </w:rPr>
            </w:pPr>
            <w:r>
              <w:rPr>
                <w:rFonts w:ascii="Arial" w:cs="Arial" w:eastAsia="Arial" w:hAnsi="Arial"/>
                <w:sz w:val="14"/>
                <w:szCs w:val="14"/>
                <w:color w:val="auto"/>
              </w:rPr>
              <w:t>Total commercial real estate</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00" w:type="dxa"/>
            <w:vAlign w:val="bottom"/>
            <w:gridSpan w:val="3"/>
            <w:vMerge w:val="continue"/>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8,844</w:t>
            </w:r>
          </w:p>
        </w:tc>
        <w:tc>
          <w:tcPr>
            <w:tcW w:w="300" w:type="dxa"/>
            <w:vAlign w:val="bottom"/>
            <w:shd w:val="clear" w:color="auto" w:fill="CFF0FC"/>
          </w:tcPr>
          <w:p>
            <w:pPr>
              <w:spacing w:after="0"/>
              <w:rPr>
                <w:sz w:val="13"/>
                <w:szCs w:val="13"/>
                <w:color w:val="auto"/>
              </w:rPr>
            </w:pPr>
          </w:p>
        </w:tc>
        <w:tc>
          <w:tcPr>
            <w:tcW w:w="18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6,139</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4,595</w:t>
            </w:r>
          </w:p>
        </w:tc>
        <w:tc>
          <w:tcPr>
            <w:tcW w:w="180" w:type="dxa"/>
            <w:vAlign w:val="bottom"/>
            <w:shd w:val="clear" w:color="auto" w:fill="CFF0FC"/>
          </w:tcPr>
          <w:p>
            <w:pPr>
              <w:spacing w:after="0"/>
              <w:rPr>
                <w:sz w:val="13"/>
                <w:szCs w:val="13"/>
                <w:color w:val="auto"/>
              </w:rPr>
            </w:pPr>
          </w:p>
        </w:tc>
        <w:tc>
          <w:tcPr>
            <w:tcW w:w="30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9,089</w:t>
            </w:r>
          </w:p>
        </w:tc>
        <w:tc>
          <w:tcPr>
            <w:tcW w:w="360" w:type="dxa"/>
            <w:vAlign w:val="bottom"/>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jc w:val="right"/>
              <w:ind w:right="10"/>
              <w:spacing w:after="0" w:line="151"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6,875</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0"/>
              <w:spacing w:after="0" w:line="151"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35,542</w:t>
            </w:r>
          </w:p>
        </w:tc>
        <w:tc>
          <w:tcPr>
            <w:tcW w:w="4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line="151"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4"/>
                <w:szCs w:val="14"/>
                <w:color w:val="auto"/>
              </w:rPr>
              <w:t>Percent of total</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4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80"/>
              <w:spacing w:after="0" w:line="137" w:lineRule="exact"/>
              <w:rPr>
                <w:sz w:val="20"/>
                <w:szCs w:val="20"/>
                <w:color w:val="auto"/>
              </w:rPr>
            </w:pPr>
            <w:r>
              <w:rPr>
                <w:rFonts w:ascii="Arial" w:cs="Arial" w:eastAsia="Arial" w:hAnsi="Arial"/>
                <w:sz w:val="14"/>
                <w:szCs w:val="14"/>
                <w:color w:val="auto"/>
              </w:rPr>
              <w:t>25%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360"/>
              <w:spacing w:after="0" w:line="137"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760" w:type="dxa"/>
            <w:vAlign w:val="bottom"/>
            <w:gridSpan w:val="2"/>
          </w:tcPr>
          <w:p>
            <w:pPr>
              <w:jc w:val="right"/>
              <w:ind w:right="60"/>
              <w:spacing w:after="0" w:line="137" w:lineRule="exact"/>
              <w:rPr>
                <w:sz w:val="20"/>
                <w:szCs w:val="20"/>
                <w:color w:val="auto"/>
              </w:rPr>
            </w:pPr>
            <w:r>
              <w:rPr>
                <w:rFonts w:ascii="Arial" w:cs="Arial" w:eastAsia="Arial" w:hAnsi="Arial"/>
                <w:sz w:val="14"/>
                <w:szCs w:val="14"/>
                <w:color w:val="auto"/>
              </w:rPr>
              <w:t>13%</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60"/>
              <w:spacing w:after="0" w:line="137" w:lineRule="exact"/>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340"/>
              <w:spacing w:after="0" w:line="137" w:lineRule="exact"/>
              <w:rPr>
                <w:sz w:val="20"/>
                <w:szCs w:val="20"/>
                <w:color w:val="auto"/>
              </w:rPr>
            </w:pPr>
            <w:r>
              <w:rPr>
                <w:rFonts w:ascii="Arial" w:cs="Arial" w:eastAsia="Arial" w:hAnsi="Arial"/>
                <w:sz w:val="14"/>
                <w:szCs w:val="14"/>
                <w:color w:val="auto"/>
              </w:rPr>
              <w:t>19%</w:t>
            </w:r>
          </w:p>
        </w:tc>
        <w:tc>
          <w:tcPr>
            <w:tcW w:w="180" w:type="dxa"/>
            <w:vAlign w:val="bottom"/>
          </w:tcPr>
          <w:p>
            <w:pPr>
              <w:spacing w:after="0"/>
              <w:rPr>
                <w:sz w:val="15"/>
                <w:szCs w:val="15"/>
                <w:color w:val="auto"/>
              </w:rPr>
            </w:pPr>
          </w:p>
        </w:tc>
        <w:tc>
          <w:tcPr>
            <w:tcW w:w="1020" w:type="dxa"/>
            <w:vAlign w:val="bottom"/>
            <w:gridSpan w:val="2"/>
          </w:tcPr>
          <w:p>
            <w:pPr>
              <w:jc w:val="right"/>
              <w:ind w:right="360"/>
              <w:spacing w:after="0" w:line="137" w:lineRule="exact"/>
              <w:rPr>
                <w:sz w:val="20"/>
                <w:szCs w:val="20"/>
                <w:color w:val="auto"/>
              </w:rPr>
            </w:pPr>
            <w:r>
              <w:rPr>
                <w:rFonts w:ascii="Arial" w:cs="Arial" w:eastAsia="Arial" w:hAnsi="Arial"/>
                <w:sz w:val="14"/>
                <w:szCs w:val="14"/>
                <w:color w:val="auto"/>
              </w:rPr>
              <w:t>100%</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400" w:type="dxa"/>
            <w:vAlign w:val="bottom"/>
            <w:tcBorders>
              <w:top w:val="single" w:sz="8" w:color="CFF0FC"/>
            </w:tcBorders>
            <w:gridSpan w:val="3"/>
            <w:shd w:val="clear" w:color="auto" w:fill="CFF0FC"/>
          </w:tcPr>
          <w:p>
            <w:pPr>
              <w:spacing w:after="0" w:line="119" w:lineRule="exact"/>
              <w:rPr>
                <w:sz w:val="20"/>
                <w:szCs w:val="20"/>
                <w:color w:val="auto"/>
              </w:rPr>
            </w:pPr>
            <w:r>
              <w:rPr>
                <w:rFonts w:ascii="Arial" w:cs="Arial" w:eastAsia="Arial" w:hAnsi="Arial"/>
                <w:sz w:val="13"/>
                <w:szCs w:val="13"/>
                <w:color w:val="auto"/>
              </w:rPr>
              <w:t>Percent of dollars outstanding by</w:t>
            </w:r>
          </w:p>
        </w:tc>
        <w:tc>
          <w:tcPr>
            <w:tcW w:w="8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3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40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size of loan</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spacing w:after="0" w:line="158" w:lineRule="exact"/>
              <w:rPr>
                <w:sz w:val="20"/>
                <w:szCs w:val="20"/>
                <w:color w:val="auto"/>
              </w:rPr>
            </w:pPr>
            <w:r>
              <w:rPr>
                <w:rFonts w:ascii="Arial" w:cs="Arial" w:eastAsia="Arial" w:hAnsi="Arial"/>
                <w:sz w:val="14"/>
                <w:szCs w:val="14"/>
                <w:color w:val="auto"/>
              </w:rPr>
              <w:t>Less than $1 million</w:t>
            </w:r>
          </w:p>
        </w:tc>
        <w:tc>
          <w:tcPr>
            <w:tcW w:w="80" w:type="dxa"/>
            <w:vAlign w:val="bottom"/>
          </w:tcPr>
          <w:p>
            <w:pPr>
              <w:spacing w:after="0"/>
              <w:rPr>
                <w:sz w:val="13"/>
                <w:szCs w:val="13"/>
                <w:color w:val="auto"/>
              </w:rPr>
            </w:pPr>
          </w:p>
        </w:tc>
        <w:tc>
          <w:tcPr>
            <w:tcW w:w="9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3"/>
                <w:szCs w:val="13"/>
                <w:color w:val="auto"/>
              </w:rPr>
            </w:pPr>
          </w:p>
        </w:tc>
        <w:tc>
          <w:tcPr>
            <w:tcW w:w="7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12%</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40"/>
              <w:spacing w:after="0" w:line="158" w:lineRule="exact"/>
              <w:rPr>
                <w:sz w:val="20"/>
                <w:szCs w:val="20"/>
                <w:color w:val="auto"/>
              </w:rPr>
            </w:pPr>
            <w:r>
              <w:rPr>
                <w:rFonts w:ascii="Arial" w:cs="Arial" w:eastAsia="Arial" w:hAnsi="Arial"/>
                <w:sz w:val="14"/>
                <w:szCs w:val="14"/>
                <w:color w:val="auto"/>
              </w:rPr>
              <w:t>8%</w:t>
            </w:r>
          </w:p>
        </w:tc>
        <w:tc>
          <w:tcPr>
            <w:tcW w:w="180" w:type="dxa"/>
            <w:vAlign w:val="bottom"/>
          </w:tcPr>
          <w:p>
            <w:pPr>
              <w:spacing w:after="0"/>
              <w:rPr>
                <w:sz w:val="13"/>
                <w:szCs w:val="13"/>
                <w:color w:val="auto"/>
              </w:rPr>
            </w:pPr>
          </w:p>
        </w:tc>
        <w:tc>
          <w:tcPr>
            <w:tcW w:w="102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9%</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spacing w:after="0" w:line="158" w:lineRule="exact"/>
              <w:rPr>
                <w:sz w:val="20"/>
                <w:szCs w:val="20"/>
                <w:color w:val="auto"/>
              </w:rPr>
            </w:pPr>
            <w:r>
              <w:rPr>
                <w:rFonts w:ascii="Arial" w:cs="Arial" w:eastAsia="Arial" w:hAnsi="Arial"/>
                <w:sz w:val="14"/>
                <w:szCs w:val="14"/>
                <w:color w:val="auto"/>
              </w:rPr>
              <w:t>$1 million to $5 million</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15</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25</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22</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19</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12</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18</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spacing w:after="0" w:line="158" w:lineRule="exact"/>
              <w:rPr>
                <w:sz w:val="20"/>
                <w:szCs w:val="20"/>
                <w:color w:val="auto"/>
              </w:rPr>
            </w:pPr>
            <w:r>
              <w:rPr>
                <w:rFonts w:ascii="Arial" w:cs="Arial" w:eastAsia="Arial" w:hAnsi="Arial"/>
                <w:sz w:val="14"/>
                <w:szCs w:val="14"/>
                <w:color w:val="auto"/>
              </w:rPr>
              <w:t>$5 million to $10 million</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14</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19</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19</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17</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14</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16</w:t>
            </w: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spacing w:after="0" w:line="158" w:lineRule="exact"/>
              <w:rPr>
                <w:sz w:val="20"/>
                <w:szCs w:val="20"/>
                <w:color w:val="auto"/>
              </w:rPr>
            </w:pPr>
            <w:r>
              <w:rPr>
                <w:rFonts w:ascii="Arial" w:cs="Arial" w:eastAsia="Arial" w:hAnsi="Arial"/>
                <w:sz w:val="14"/>
                <w:szCs w:val="14"/>
                <w:color w:val="auto"/>
              </w:rPr>
              <w:t>$10 million to $30 million</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33</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32</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29</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29</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40</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33</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spacing w:after="0" w:line="158" w:lineRule="exact"/>
              <w:rPr>
                <w:sz w:val="20"/>
                <w:szCs w:val="20"/>
                <w:color w:val="auto"/>
              </w:rPr>
            </w:pPr>
            <w:r>
              <w:rPr>
                <w:rFonts w:ascii="Arial" w:cs="Arial" w:eastAsia="Arial" w:hAnsi="Arial"/>
                <w:sz w:val="14"/>
                <w:szCs w:val="14"/>
                <w:color w:val="auto"/>
              </w:rPr>
              <w:t>$30 million to $50 million</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15</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7</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11</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14</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15</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13</w:t>
            </w: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spacing w:after="0" w:line="158" w:lineRule="exact"/>
              <w:rPr>
                <w:sz w:val="20"/>
                <w:szCs w:val="20"/>
                <w:color w:val="auto"/>
              </w:rPr>
            </w:pPr>
            <w:r>
              <w:rPr>
                <w:rFonts w:ascii="Arial" w:cs="Arial" w:eastAsia="Arial" w:hAnsi="Arial"/>
                <w:sz w:val="14"/>
                <w:szCs w:val="14"/>
                <w:color w:val="auto"/>
              </w:rPr>
              <w:t>$50 million to $100 million</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10</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11</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10</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tcBorders>
              <w:bottom w:val="single" w:sz="8" w:color="CFF0FC"/>
            </w:tcBorders>
            <w:gridSpan w:val="3"/>
          </w:tcPr>
          <w:p>
            <w:pPr>
              <w:spacing w:after="0" w:line="158" w:lineRule="exact"/>
              <w:rPr>
                <w:sz w:val="20"/>
                <w:szCs w:val="20"/>
                <w:color w:val="auto"/>
              </w:rPr>
            </w:pPr>
            <w:r>
              <w:rPr>
                <w:rFonts w:ascii="Arial" w:cs="Arial" w:eastAsia="Arial" w:hAnsi="Arial"/>
                <w:sz w:val="14"/>
                <w:szCs w:val="14"/>
                <w:color w:val="auto"/>
              </w:rPr>
              <w:t>Greater than $100 million</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w:t>
            </w: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w:t>
            </w:r>
          </w:p>
        </w:tc>
        <w:tc>
          <w:tcPr>
            <w:tcW w:w="4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w:t>
            </w:r>
          </w:p>
        </w:tc>
        <w:tc>
          <w:tcPr>
            <w:tcW w:w="48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0" w:type="dxa"/>
            <w:vAlign w:val="bottom"/>
            <w:gridSpan w:val="3"/>
            <w:shd w:val="clear" w:color="auto" w:fill="CFF0FC"/>
          </w:tcPr>
          <w:p>
            <w:pPr>
              <w:spacing w:after="0" w:line="151" w:lineRule="exact"/>
              <w:rPr>
                <w:sz w:val="20"/>
                <w:szCs w:val="20"/>
                <w:color w:val="auto"/>
              </w:rPr>
            </w:pPr>
            <w:r>
              <w:rPr>
                <w:rFonts w:ascii="Arial" w:cs="Arial" w:eastAsia="Arial" w:hAnsi="Arial"/>
                <w:sz w:val="14"/>
                <w:szCs w:val="14"/>
                <w:color w:val="auto"/>
              </w:rPr>
              <w:t>Total</w:t>
            </w: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80"/>
              <w:spacing w:after="0" w:line="151" w:lineRule="exact"/>
              <w:rPr>
                <w:sz w:val="20"/>
                <w:szCs w:val="20"/>
                <w:color w:val="auto"/>
              </w:rPr>
            </w:pPr>
            <w:r>
              <w:rPr>
                <w:rFonts w:ascii="Arial" w:cs="Arial" w:eastAsia="Arial" w:hAnsi="Arial"/>
                <w:sz w:val="14"/>
                <w:szCs w:val="14"/>
                <w:color w:val="auto"/>
              </w:rPr>
              <w:t>100%</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360"/>
              <w:spacing w:after="0" w:line="151" w:lineRule="exact"/>
              <w:rPr>
                <w:sz w:val="20"/>
                <w:szCs w:val="20"/>
                <w:color w:val="auto"/>
              </w:rPr>
            </w:pPr>
            <w:r>
              <w:rPr>
                <w:rFonts w:ascii="Arial" w:cs="Arial" w:eastAsia="Arial" w:hAnsi="Arial"/>
                <w:sz w:val="14"/>
                <w:szCs w:val="14"/>
                <w:color w:val="auto"/>
              </w:rPr>
              <w:t>100%</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60"/>
              <w:spacing w:after="0" w:line="151" w:lineRule="exact"/>
              <w:rPr>
                <w:sz w:val="20"/>
                <w:szCs w:val="20"/>
                <w:color w:val="auto"/>
              </w:rPr>
            </w:pPr>
            <w:r>
              <w:rPr>
                <w:rFonts w:ascii="Arial" w:cs="Arial" w:eastAsia="Arial" w:hAnsi="Arial"/>
                <w:sz w:val="14"/>
                <w:szCs w:val="14"/>
                <w:color w:val="auto"/>
              </w:rPr>
              <w:t>100%</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60"/>
              <w:spacing w:after="0" w:line="151" w:lineRule="exact"/>
              <w:rPr>
                <w:sz w:val="20"/>
                <w:szCs w:val="20"/>
                <w:color w:val="auto"/>
              </w:rPr>
            </w:pPr>
            <w:r>
              <w:rPr>
                <w:rFonts w:ascii="Arial" w:cs="Arial" w:eastAsia="Arial" w:hAnsi="Arial"/>
                <w:sz w:val="14"/>
                <w:szCs w:val="14"/>
                <w:color w:val="auto"/>
              </w:rPr>
              <w:t>100%</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340"/>
              <w:spacing w:after="0" w:line="151" w:lineRule="exact"/>
              <w:rPr>
                <w:sz w:val="20"/>
                <w:szCs w:val="20"/>
                <w:color w:val="auto"/>
              </w:rPr>
            </w:pPr>
            <w:r>
              <w:rPr>
                <w:rFonts w:ascii="Arial" w:cs="Arial" w:eastAsia="Arial" w:hAnsi="Arial"/>
                <w:sz w:val="14"/>
                <w:szCs w:val="14"/>
                <w:color w:val="auto"/>
              </w:rPr>
              <w:t>100%</w:t>
            </w:r>
          </w:p>
        </w:tc>
        <w:tc>
          <w:tcPr>
            <w:tcW w:w="18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360"/>
              <w:spacing w:after="0" w:line="151" w:lineRule="exact"/>
              <w:rPr>
                <w:sz w:val="20"/>
                <w:szCs w:val="20"/>
                <w:color w:val="auto"/>
              </w:rPr>
            </w:pPr>
            <w:r>
              <w:rPr>
                <w:rFonts w:ascii="Arial" w:cs="Arial" w:eastAsia="Arial" w:hAnsi="Arial"/>
                <w:sz w:val="14"/>
                <w:szCs w:val="14"/>
                <w:color w:val="auto"/>
              </w:rPr>
              <w:t>100%</w:t>
            </w: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140" w:type="dxa"/>
            <w:vAlign w:val="bottom"/>
            <w:tcBorders>
              <w:bottom w:val="single" w:sz="8" w:color="auto"/>
            </w:tcBorders>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600" w:hanging="595"/>
        <w:spacing w:after="0"/>
        <w:tabs>
          <w:tab w:leader="none" w:pos="60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Delaware, Maryland, New Jersey, Virginia, West Virginia and the District of Columbia.</w:t>
      </w:r>
    </w:p>
    <w:p>
      <w:pPr>
        <w:ind w:left="600" w:hanging="595"/>
        <w:spacing w:after="0"/>
        <w:tabs>
          <w:tab w:leader="none" w:pos="60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$383 million of construction loans.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60" w:name="page61"/>
    <w:bookmarkEnd w:id="60"/>
    <w:p>
      <w:pPr>
        <w:ind w:right="60" w:firstLine="598"/>
        <w:spacing w:after="0" w:line="263" w:lineRule="auto"/>
        <w:rPr>
          <w:sz w:val="20"/>
          <w:szCs w:val="20"/>
          <w:color w:val="auto"/>
        </w:rPr>
      </w:pPr>
      <w:r>
        <w:rPr>
          <w:rFonts w:ascii="Arial" w:cs="Arial" w:eastAsia="Arial" w:hAnsi="Arial"/>
          <w:sz w:val="19"/>
          <w:szCs w:val="19"/>
          <w:color w:val="auto"/>
        </w:rPr>
        <w:t>Commercial real estate loans secured by properties located in other parts of New York State, Pennsylvania and the Mid-Atlantic area tend to have a greater diversity of collateral types and include a significant amount of lending to customers who use the mortgaged property in their trade or business (owner-occupied). Approximately 90% of the aggregate dollar amount of commercial real estate loans in New York State secured by properties located outside of the New York City area were for loans with outstanding balances of $30 million or less. Of the outstanding balances of commercial real estate loans in Pennsylvania and the Mid-Atlantic area, approximately 82% and 76%, respectively, were for loans with outstanding balances of $30 million or less.</w:t>
      </w:r>
    </w:p>
    <w:p>
      <w:pPr>
        <w:ind w:right="600" w:firstLine="598"/>
        <w:spacing w:after="0" w:line="246" w:lineRule="auto"/>
        <w:rPr>
          <w:sz w:val="20"/>
          <w:szCs w:val="20"/>
          <w:color w:val="auto"/>
        </w:rPr>
      </w:pPr>
      <w:r>
        <w:rPr>
          <w:rFonts w:ascii="Arial" w:cs="Arial" w:eastAsia="Arial" w:hAnsi="Arial"/>
          <w:sz w:val="20"/>
          <w:szCs w:val="20"/>
          <w:color w:val="auto"/>
        </w:rPr>
        <w:t>Commercial real estate loans secured by properties located outside of Pennsylvania, the Mid-Atlantic area and New York State comprised 19% of total commercial real estate loans as of December 31, 2019.</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Commercial real estate construction and development loans made to investors presented in table 6 totaled $8.5 billion at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or 9% of total loans and leases. Approximately 98% of those construction loans had adjustable interest rates. Included in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such loans at the 2019 year-end were $1.5 billion of loans to builders and developers of residential real estate properties. The remainder of</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commercial real estate construction loan portfolio was comprised of loans made for various purposes, including the construction of office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buildings, multifamily residential housing, retail space and other commercial development.</w:t>
      </w:r>
    </w:p>
    <w:p>
      <w:pPr>
        <w:spacing w:after="0" w:line="7"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M&amp;T Realty Capital Corporation, a commercial real estate lending subsidiary of M&amp;T Bank, participates in the Delegated Underwriting and Servicing (“DUS”) program of Fannie Mae, pursuant to which commercial real estate loans are originated in accordance with terms and conditions specified by Fannie Mae and sold. Under this program, loans are sold with partial credit recourse to M&amp;T Realty Capital Corporation. The amount of recourse is generally limited to one-third of any credit loss incurred by the purchaser on an individual loan, although in some cases the recourse amount is less than one-third of the outstanding principal balance. The Company’s maximum credit risk for recourse associated with sold commercial real estate loans was approximately $3.9 billion and $3.4 billion at December 31, 2019 and 2018, respectively. There have been no material losses incurred as a result of those recourse arrangements. At December 31, 2019 and 2018, commercial real estate loans serviced by the Company for other investors were $21.0 billion and $18.2 billion, respectively. Reflected in commercial real estate loans serviced for others were loans sub-serviced for others that had outstanding balances of $3.4 billion and $2.7 billion at December 31, 2019 and 2018, respectively.</w:t>
      </w:r>
    </w:p>
    <w:p>
      <w:pPr>
        <w:spacing w:after="0" w:line="7" w:lineRule="exact"/>
        <w:rPr>
          <w:sz w:val="20"/>
          <w:szCs w:val="20"/>
          <w:color w:val="auto"/>
        </w:rPr>
      </w:pPr>
    </w:p>
    <w:p>
      <w:pPr>
        <w:ind w:right="40" w:firstLine="598"/>
        <w:spacing w:after="0" w:line="261" w:lineRule="auto"/>
        <w:rPr>
          <w:sz w:val="20"/>
          <w:szCs w:val="20"/>
          <w:color w:val="auto"/>
        </w:rPr>
      </w:pPr>
      <w:r>
        <w:rPr>
          <w:rFonts w:ascii="Arial" w:cs="Arial" w:eastAsia="Arial" w:hAnsi="Arial"/>
          <w:sz w:val="19"/>
          <w:szCs w:val="19"/>
          <w:color w:val="auto"/>
        </w:rPr>
        <w:t>Real estate loans secured by one-to-four family residential properties were $16.2 billion at December 31, 2019, including approximately 36% secured by properties located in New York State, 7% secured by properties located in Pennsylvania, 24% secured by properties in New Jersey and 14% secured by properties located in other Mid-Atlantic areas. The Company’s portfolio of alternative (“Alt-A”) residential real estate loans (referred to as “limited documentation loans”) held for investment totaled $2.1 billion at December 31, 2019, down from $2.5 billion at December 31, 2018. That portfolio consisted predominantly of limited documentation loans acquired with the Hudson City transaction. Alt-A loans represent loans that at origination typically included some form of limited borrower documentation requirements as compared with more traditional residential real estate loans. Hudson City loans that were eligible for limited documentation processing were available in amounts up to 65% of the lower of the appraised value or purchase price of the property. Hudson City discontinued its limited documentation loan program in January 2014. Loans to individuals to finance the construction of one-to-four family residential properties totaled $94 million at December 31, 2019 and $41 million at December 31, 2018, or approximately .1% of total loans and leases at each of those dates. Information about the credit performance of the Company’s residential real estate loans is included herein under the heading “Provision For Credit Losses.”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61" w:name="page62"/>
    <w:bookmarkEnd w:id="61"/>
    <w:p>
      <w:pPr>
        <w:ind w:right="100" w:firstLine="598"/>
        <w:spacing w:after="0" w:line="262" w:lineRule="auto"/>
        <w:rPr>
          <w:sz w:val="20"/>
          <w:szCs w:val="20"/>
          <w:color w:val="auto"/>
        </w:rPr>
      </w:pPr>
      <w:r>
        <w:rPr>
          <w:rFonts w:ascii="Arial" w:cs="Arial" w:eastAsia="Arial" w:hAnsi="Arial"/>
          <w:sz w:val="19"/>
          <w:szCs w:val="19"/>
          <w:color w:val="auto"/>
        </w:rPr>
        <w:t>Consumer loans comprised approximately 17% and 16% of total loans and leases at December 31, 2019 and 2018, respectively. Outstanding balances of recreational finance loans represented the largest component of the consumer loan portfolio at December 31, 2019 and totaled $5.5 billion or approximately 6% of total loans, up from $4.1 billion or 5% at December 31, 2018. That growth was due largely to originations through new dealer relationships. Home equity loans and lines of credit outstanding at December 31, 2019 and December 31, 2018 were $4.5 billion and $4.9 billion, respectively. Approximately 40% of home equity loans and lines of credit outstanding at December 31, 2019 were secured by properties in New York State, 24% in Maryland, 21% in Pennsylvania and 4% in New Jersey. Outstanding automobile loan balances rose to $3.9 billion at December 31, 2019 from $3.7 billion at December 31, 2018. That increase reflects continued consumer demand for motor vehicles.</w:t>
      </w:r>
    </w:p>
    <w:p>
      <w:pPr>
        <w:spacing w:after="0" w:line="2" w:lineRule="exact"/>
        <w:rPr>
          <w:sz w:val="20"/>
          <w:szCs w:val="20"/>
          <w:color w:val="auto"/>
        </w:rPr>
      </w:pPr>
    </w:p>
    <w:p>
      <w:pPr>
        <w:ind w:right="440" w:firstLine="598"/>
        <w:spacing w:after="0" w:line="256" w:lineRule="auto"/>
        <w:rPr>
          <w:sz w:val="20"/>
          <w:szCs w:val="20"/>
          <w:color w:val="auto"/>
        </w:rPr>
      </w:pPr>
      <w:r>
        <w:rPr>
          <w:rFonts w:ascii="Arial" w:cs="Arial" w:eastAsia="Arial" w:hAnsi="Arial"/>
          <w:sz w:val="20"/>
          <w:szCs w:val="20"/>
          <w:color w:val="auto"/>
        </w:rPr>
        <w:t>Table 7 presents the composition of the Company’s loan and lease portfolio at the end of 2019, including outstanding balances to businesses and consumers in New York State, Pennsylvania, the Mid-Atlantic area and other states.</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7</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LOANS AND LEASES, NET OF UNEARNED DISCOUNT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31, 2019</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rPr>
              <w:t>Percent of Dollars Outstanding</w:t>
            </w: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New</w:t>
            </w:r>
          </w:p>
        </w:tc>
        <w:tc>
          <w:tcPr>
            <w:tcW w:w="10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87"/>
              </w:rPr>
              <w:t>Penn-</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6"/>
          </w:tcPr>
          <w:p>
            <w:pPr>
              <w:ind w:left="220"/>
              <w:spacing w:after="0" w:line="151" w:lineRule="exact"/>
              <w:rPr>
                <w:sz w:val="20"/>
                <w:szCs w:val="20"/>
                <w:color w:val="auto"/>
              </w:rPr>
            </w:pPr>
            <w:r>
              <w:rPr>
                <w:rFonts w:ascii="Arial" w:cs="Arial" w:eastAsia="Arial" w:hAnsi="Arial"/>
                <w:sz w:val="14"/>
                <w:szCs w:val="14"/>
                <w:b w:val="1"/>
                <w:bCs w:val="1"/>
                <w:color w:val="auto"/>
              </w:rPr>
              <w:t>Mid-Atlantic</w:t>
            </w:r>
          </w:p>
        </w:tc>
        <w:tc>
          <w:tcPr>
            <w:tcW w:w="4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jc w:val="center"/>
              <w:ind w:right="380"/>
              <w:spacing w:after="0" w:line="141" w:lineRule="exact"/>
              <w:rPr>
                <w:sz w:val="20"/>
                <w:szCs w:val="20"/>
                <w:color w:val="auto"/>
              </w:rPr>
            </w:pPr>
            <w:r>
              <w:rPr>
                <w:rFonts w:ascii="Arial" w:cs="Arial" w:eastAsia="Arial" w:hAnsi="Arial"/>
                <w:sz w:val="14"/>
                <w:szCs w:val="14"/>
                <w:b w:val="1"/>
                <w:bCs w:val="1"/>
                <w:color w:val="auto"/>
                <w:w w:val="90"/>
              </w:rPr>
              <w:t>New</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gridSpan w:val="4"/>
          </w:tcPr>
          <w:p>
            <w:pPr>
              <w:ind w:left="100"/>
              <w:spacing w:after="0"/>
              <w:rPr>
                <w:sz w:val="20"/>
                <w:szCs w:val="20"/>
                <w:color w:val="auto"/>
              </w:rPr>
            </w:pPr>
            <w:r>
              <w:rPr>
                <w:rFonts w:ascii="Arial" w:cs="Arial" w:eastAsia="Arial" w:hAnsi="Arial"/>
                <w:sz w:val="14"/>
                <w:szCs w:val="14"/>
                <w:b w:val="1"/>
                <w:bCs w:val="1"/>
                <w:color w:val="auto"/>
              </w:rPr>
              <w:t>Outstandings</w:t>
            </w:r>
          </w:p>
        </w:tc>
        <w:tc>
          <w:tcPr>
            <w:tcW w:w="1000" w:type="dxa"/>
            <w:vAlign w:val="bottom"/>
            <w:gridSpan w:val="4"/>
          </w:tcPr>
          <w:p>
            <w:pPr>
              <w:ind w:left="160"/>
              <w:spacing w:after="0"/>
              <w:rPr>
                <w:sz w:val="20"/>
                <w:szCs w:val="20"/>
                <w:color w:val="auto"/>
              </w:rPr>
            </w:pPr>
            <w:r>
              <w:rPr>
                <w:rFonts w:ascii="Arial" w:cs="Arial" w:eastAsia="Arial" w:hAnsi="Arial"/>
                <w:sz w:val="14"/>
                <w:szCs w:val="14"/>
                <w:b w:val="1"/>
                <w:bCs w:val="1"/>
                <w:color w:val="auto"/>
              </w:rPr>
              <w:t>York</w:t>
            </w: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sylvania</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Maryland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5"/>
              </w:rPr>
              <w:t>Jersey</w:t>
            </w:r>
          </w:p>
        </w:tc>
        <w:tc>
          <w:tcPr>
            <w:tcW w:w="1080" w:type="dxa"/>
            <w:vAlign w:val="bottom"/>
            <w:gridSpan w:val="4"/>
          </w:tcPr>
          <w:p>
            <w:pPr>
              <w:ind w:left="40"/>
              <w:spacing w:after="0"/>
              <w:rPr>
                <w:sz w:val="20"/>
                <w:szCs w:val="20"/>
                <w:color w:val="auto"/>
              </w:rPr>
            </w:pPr>
            <w:r>
              <w:rPr>
                <w:rFonts w:ascii="Arial" w:cs="Arial" w:eastAsia="Arial" w:hAnsi="Arial"/>
                <w:sz w:val="14"/>
                <w:szCs w:val="14"/>
                <w:b w:val="1"/>
                <w:bCs w:val="1"/>
                <w:color w:val="auto"/>
              </w:rPr>
              <w:t>Other(a)</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76"/>
        </w:trPr>
        <w:tc>
          <w:tcPr>
            <w:tcW w:w="3240" w:type="dxa"/>
            <w:vAlign w:val="bottom"/>
            <w:vMerge w:val="restart"/>
          </w:tcPr>
          <w:p>
            <w:pPr>
              <w:spacing w:after="0"/>
              <w:rPr>
                <w:sz w:val="20"/>
                <w:szCs w:val="20"/>
                <w:color w:val="auto"/>
              </w:rPr>
            </w:pPr>
            <w:r>
              <w:rPr>
                <w:rFonts w:ascii="Arial" w:cs="Arial" w:eastAsia="Arial" w:hAnsi="Arial"/>
                <w:sz w:val="20"/>
                <w:szCs w:val="20"/>
                <w:color w:val="auto"/>
              </w:rPr>
              <w:t>Real estate</w:t>
            </w:r>
          </w:p>
        </w:tc>
        <w:tc>
          <w:tcPr>
            <w:tcW w:w="7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24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Residential</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16,156</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36%</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7%</w:t>
            </w:r>
          </w:p>
        </w:tc>
        <w:tc>
          <w:tcPr>
            <w:tcW w:w="26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ind w:right="100"/>
              <w:spacing w:after="0"/>
              <w:rPr>
                <w:sz w:val="20"/>
                <w:szCs w:val="20"/>
                <w:color w:val="auto"/>
              </w:rPr>
            </w:pPr>
            <w:r>
              <w:rPr>
                <w:rFonts w:ascii="Arial" w:cs="Arial" w:eastAsia="Arial" w:hAnsi="Arial"/>
                <w:sz w:val="20"/>
                <w:szCs w:val="20"/>
                <w:color w:val="auto"/>
              </w:rPr>
              <w:t>7%</w:t>
            </w:r>
          </w:p>
        </w:tc>
        <w:tc>
          <w:tcPr>
            <w:tcW w:w="1100" w:type="dxa"/>
            <w:vAlign w:val="bottom"/>
            <w:gridSpan w:val="4"/>
            <w:shd w:val="clear" w:color="auto" w:fill="CFF0FC"/>
          </w:tcPr>
          <w:p>
            <w:pPr>
              <w:jc w:val="right"/>
              <w:ind w:right="80"/>
              <w:spacing w:after="0"/>
              <w:rPr>
                <w:sz w:val="20"/>
                <w:szCs w:val="20"/>
                <w:color w:val="auto"/>
              </w:rPr>
            </w:pPr>
            <w:r>
              <w:rPr>
                <w:rFonts w:ascii="Arial" w:cs="Arial" w:eastAsia="Arial" w:hAnsi="Arial"/>
                <w:sz w:val="20"/>
                <w:szCs w:val="20"/>
                <w:color w:val="auto"/>
              </w:rPr>
              <w:t>24%</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7%</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Commercial</w:t>
            </w:r>
          </w:p>
        </w:tc>
        <w:tc>
          <w:tcPr>
            <w:tcW w:w="7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35,542</w:t>
            </w:r>
          </w:p>
        </w:tc>
        <w:tc>
          <w:tcPr>
            <w:tcW w:w="3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20"/>
                <w:szCs w:val="20"/>
                <w:color w:val="auto"/>
                <w:w w:val="80"/>
              </w:rPr>
              <w:t>42</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w:t>
            </w:r>
          </w:p>
        </w:tc>
        <w:tc>
          <w:tcPr>
            <w:tcW w:w="260" w:type="dxa"/>
            <w:vAlign w:val="bottom"/>
            <w:tcBorders>
              <w:bottom w:val="single" w:sz="8" w:color="CFF0FC"/>
            </w:tcBorders>
          </w:tcPr>
          <w:p>
            <w:pPr>
              <w:spacing w:after="0"/>
              <w:rPr>
                <w:sz w:val="21"/>
                <w:szCs w:val="21"/>
                <w:color w:val="auto"/>
              </w:rPr>
            </w:pPr>
          </w:p>
        </w:tc>
        <w:tc>
          <w:tcPr>
            <w:tcW w:w="400" w:type="dxa"/>
            <w:vAlign w:val="bottom"/>
            <w:tcBorders>
              <w:bottom w:val="single" w:sz="8" w:color="CFF0FC"/>
            </w:tcBorders>
            <w:gridSpan w:val="2"/>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w:t>
            </w:r>
          </w:p>
        </w:tc>
        <w:tc>
          <w:tcPr>
            <w:tcW w:w="2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shd w:val="clear" w:color="auto" w:fill="CFF0FC"/>
          </w:tcPr>
          <w:p>
            <w:pPr>
              <w:ind w:left="480"/>
              <w:spacing w:after="0"/>
              <w:rPr>
                <w:sz w:val="20"/>
                <w:szCs w:val="20"/>
                <w:color w:val="auto"/>
              </w:rPr>
            </w:pPr>
            <w:r>
              <w:rPr>
                <w:rFonts w:ascii="Arial" w:cs="Arial" w:eastAsia="Arial" w:hAnsi="Arial"/>
                <w:sz w:val="20"/>
                <w:szCs w:val="20"/>
                <w:color w:val="auto"/>
              </w:rPr>
              <w:t>Total real estate</w:t>
            </w: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51,698</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40%</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11%</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9%</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12%</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9%</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20"/>
                <w:szCs w:val="20"/>
                <w:color w:val="auto"/>
              </w:rPr>
              <w:t>Commercial, financial, etc.</w:t>
            </w: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4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22,564</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ind w:left="240"/>
              <w:spacing w:after="0"/>
              <w:rPr>
                <w:sz w:val="20"/>
                <w:szCs w:val="20"/>
                <w:color w:val="auto"/>
              </w:rPr>
            </w:pPr>
            <w:r>
              <w:rPr>
                <w:rFonts w:ascii="Arial" w:cs="Arial" w:eastAsia="Arial" w:hAnsi="Arial"/>
                <w:sz w:val="20"/>
                <w:szCs w:val="20"/>
                <w:color w:val="auto"/>
              </w:rPr>
              <w:t>35%</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20"/>
                <w:szCs w:val="20"/>
                <w:color w:val="auto"/>
              </w:rPr>
              <w:t>22%</w:t>
            </w:r>
          </w:p>
        </w:tc>
        <w:tc>
          <w:tcPr>
            <w:tcW w:w="260" w:type="dxa"/>
            <w:vAlign w:val="bottom"/>
          </w:tcPr>
          <w:p>
            <w:pPr>
              <w:spacing w:after="0"/>
              <w:rPr>
                <w:sz w:val="21"/>
                <w:szCs w:val="21"/>
                <w:color w:val="auto"/>
              </w:rPr>
            </w:pPr>
          </w:p>
        </w:tc>
        <w:tc>
          <w:tcPr>
            <w:tcW w:w="80" w:type="dxa"/>
            <w:vAlign w:val="bottom"/>
            <w:vMerge w:val="continue"/>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12%</w:t>
            </w:r>
          </w:p>
        </w:tc>
        <w:tc>
          <w:tcPr>
            <w:tcW w:w="32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20"/>
                <w:szCs w:val="20"/>
                <w:color w:val="auto"/>
              </w:rPr>
              <w:t>7%</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20"/>
                <w:szCs w:val="20"/>
                <w:color w:val="auto"/>
              </w:rPr>
              <w:t>7%</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50"/>
        </w:trPr>
        <w:tc>
          <w:tcPr>
            <w:tcW w:w="3240" w:type="dxa"/>
            <w:vAlign w:val="bottom"/>
            <w:shd w:val="clear" w:color="auto" w:fill="CFF0FC"/>
          </w:tcPr>
          <w:p>
            <w:pPr>
              <w:spacing w:after="0"/>
              <w:rPr>
                <w:sz w:val="20"/>
                <w:szCs w:val="20"/>
                <w:color w:val="auto"/>
              </w:rPr>
            </w:pPr>
            <w:r>
              <w:rPr>
                <w:rFonts w:ascii="Arial" w:cs="Arial" w:eastAsia="Arial" w:hAnsi="Arial"/>
                <w:sz w:val="20"/>
                <w:szCs w:val="20"/>
                <w:color w:val="auto"/>
              </w:rPr>
              <w:t>Consumer</w:t>
            </w: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40" w:type="dxa"/>
            <w:vAlign w:val="bottom"/>
          </w:tcPr>
          <w:p>
            <w:pPr>
              <w:ind w:left="240"/>
              <w:spacing w:after="0"/>
              <w:rPr>
                <w:sz w:val="20"/>
                <w:szCs w:val="20"/>
                <w:color w:val="auto"/>
              </w:rPr>
            </w:pPr>
            <w:r>
              <w:rPr>
                <w:rFonts w:ascii="Arial" w:cs="Arial" w:eastAsia="Arial" w:hAnsi="Arial"/>
                <w:sz w:val="20"/>
                <w:szCs w:val="20"/>
                <w:color w:val="auto"/>
              </w:rPr>
              <w:t>Recreational finance</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5,536</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ind w:left="240"/>
              <w:spacing w:after="0"/>
              <w:rPr>
                <w:sz w:val="20"/>
                <w:szCs w:val="20"/>
                <w:color w:val="auto"/>
              </w:rPr>
            </w:pPr>
            <w:r>
              <w:rPr>
                <w:rFonts w:ascii="Arial" w:cs="Arial" w:eastAsia="Arial" w:hAnsi="Arial"/>
                <w:sz w:val="20"/>
                <w:szCs w:val="20"/>
                <w:color w:val="auto"/>
              </w:rPr>
              <w:t>13%</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20"/>
                <w:szCs w:val="20"/>
                <w:color w:val="auto"/>
              </w:rPr>
              <w:t>6%</w:t>
            </w:r>
          </w:p>
        </w:tc>
        <w:tc>
          <w:tcPr>
            <w:tcW w:w="260" w:type="dxa"/>
            <w:vAlign w:val="bottom"/>
          </w:tcPr>
          <w:p>
            <w:pPr>
              <w:spacing w:after="0"/>
              <w:rPr>
                <w:sz w:val="21"/>
                <w:szCs w:val="21"/>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20"/>
                <w:szCs w:val="20"/>
                <w:color w:val="auto"/>
              </w:rPr>
              <w:t>4%</w:t>
            </w:r>
          </w:p>
        </w:tc>
        <w:tc>
          <w:tcPr>
            <w:tcW w:w="1100" w:type="dxa"/>
            <w:vAlign w:val="bottom"/>
            <w:gridSpan w:val="4"/>
          </w:tcPr>
          <w:p>
            <w:pPr>
              <w:jc w:val="right"/>
              <w:ind w:right="80"/>
              <w:spacing w:after="0"/>
              <w:rPr>
                <w:sz w:val="20"/>
                <w:szCs w:val="20"/>
                <w:color w:val="auto"/>
              </w:rPr>
            </w:pPr>
            <w:r>
              <w:rPr>
                <w:rFonts w:ascii="Arial" w:cs="Arial" w:eastAsia="Arial" w:hAnsi="Arial"/>
                <w:sz w:val="20"/>
                <w:szCs w:val="20"/>
                <w:color w:val="auto"/>
              </w:rPr>
              <w:t>4%</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20"/>
                <w:szCs w:val="20"/>
                <w:color w:val="auto"/>
              </w:rPr>
              <w:t>5%</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68%</w:t>
            </w:r>
          </w:p>
        </w:tc>
        <w:tc>
          <w:tcPr>
            <w:tcW w:w="0" w:type="dxa"/>
            <w:vAlign w:val="bottom"/>
          </w:tcPr>
          <w:p>
            <w:pPr>
              <w:spacing w:after="0"/>
              <w:rPr>
                <w:sz w:val="1"/>
                <w:szCs w:val="1"/>
                <w:color w:val="auto"/>
              </w:rPr>
            </w:pPr>
          </w:p>
        </w:tc>
      </w:tr>
      <w:tr>
        <w:trPr>
          <w:trHeight w:val="250"/>
        </w:trPr>
        <w:tc>
          <w:tcPr>
            <w:tcW w:w="32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Home equity lines and loans</w:t>
            </w: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4,482</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ind w:left="240"/>
              <w:spacing w:after="0"/>
              <w:rPr>
                <w:sz w:val="20"/>
                <w:szCs w:val="20"/>
                <w:color w:val="auto"/>
              </w:rPr>
            </w:pPr>
            <w:r>
              <w:rPr>
                <w:rFonts w:ascii="Arial" w:cs="Arial" w:eastAsia="Arial" w:hAnsi="Arial"/>
                <w:sz w:val="20"/>
                <w:szCs w:val="20"/>
                <w:color w:val="auto"/>
                <w:w w:val="80"/>
              </w:rPr>
              <w:t>40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24</w:t>
            </w:r>
          </w:p>
        </w:tc>
        <w:tc>
          <w:tcPr>
            <w:tcW w:w="260" w:type="dxa"/>
            <w:vAlign w:val="bottom"/>
            <w:shd w:val="clear" w:color="auto" w:fill="CFF0FC"/>
          </w:tcPr>
          <w:p>
            <w:pPr>
              <w:spacing w:after="0"/>
              <w:rPr>
                <w:sz w:val="21"/>
                <w:szCs w:val="21"/>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40" w:type="dxa"/>
            <w:vAlign w:val="bottom"/>
          </w:tcPr>
          <w:p>
            <w:pPr>
              <w:ind w:left="240"/>
              <w:spacing w:after="0"/>
              <w:rPr>
                <w:sz w:val="20"/>
                <w:szCs w:val="20"/>
                <w:color w:val="auto"/>
              </w:rPr>
            </w:pPr>
            <w:r>
              <w:rPr>
                <w:rFonts w:ascii="Arial" w:cs="Arial" w:eastAsia="Arial" w:hAnsi="Arial"/>
                <w:sz w:val="20"/>
                <w:szCs w:val="20"/>
                <w:color w:val="auto"/>
              </w:rPr>
              <w:t>Automobile</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3,887</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ind w:left="240"/>
              <w:spacing w:after="0"/>
              <w:rPr>
                <w:sz w:val="20"/>
                <w:szCs w:val="20"/>
                <w:color w:val="auto"/>
              </w:rPr>
            </w:pPr>
            <w:r>
              <w:rPr>
                <w:rFonts w:ascii="Arial" w:cs="Arial" w:eastAsia="Arial" w:hAnsi="Arial"/>
                <w:sz w:val="20"/>
                <w:szCs w:val="20"/>
                <w:color w:val="auto"/>
                <w:w w:val="80"/>
              </w:rPr>
              <w:t>25</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17</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20"/>
                <w:szCs w:val="20"/>
                <w:color w:val="auto"/>
              </w:rPr>
              <w:t>11</w:t>
            </w:r>
          </w:p>
        </w:tc>
        <w:tc>
          <w:tcPr>
            <w:tcW w:w="26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20"/>
                <w:szCs w:val="20"/>
                <w:color w:val="auto"/>
              </w:rPr>
              <w:t>7</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15</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rPr>
              <w:t>25</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Other secured or guaranteed</w:t>
            </w: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392</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ind w:left="240"/>
              <w:spacing w:after="0"/>
              <w:rPr>
                <w:sz w:val="20"/>
                <w:szCs w:val="20"/>
                <w:color w:val="auto"/>
              </w:rPr>
            </w:pPr>
            <w:r>
              <w:rPr>
                <w:rFonts w:ascii="Arial" w:cs="Arial" w:eastAsia="Arial" w:hAnsi="Arial"/>
                <w:sz w:val="20"/>
                <w:szCs w:val="20"/>
                <w:color w:val="auto"/>
                <w:w w:val="80"/>
              </w:rPr>
              <w:t>21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13</w:t>
            </w:r>
          </w:p>
        </w:tc>
        <w:tc>
          <w:tcPr>
            <w:tcW w:w="260" w:type="dxa"/>
            <w:vAlign w:val="bottom"/>
            <w:shd w:val="clear" w:color="auto" w:fill="CFF0FC"/>
          </w:tcPr>
          <w:p>
            <w:pPr>
              <w:spacing w:after="0"/>
              <w:rPr>
                <w:sz w:val="21"/>
                <w:szCs w:val="21"/>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w:t>
            </w: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Other unsecured</w:t>
            </w:r>
          </w:p>
        </w:tc>
        <w:tc>
          <w:tcPr>
            <w:tcW w:w="7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1,090</w:t>
            </w:r>
          </w:p>
        </w:tc>
        <w:tc>
          <w:tcPr>
            <w:tcW w:w="3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20"/>
                <w:szCs w:val="20"/>
                <w:color w:val="auto"/>
                <w:w w:val="80"/>
              </w:rPr>
              <w:t>39</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w:t>
            </w: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w:t>
            </w:r>
          </w:p>
        </w:tc>
        <w:tc>
          <w:tcPr>
            <w:tcW w:w="260" w:type="dxa"/>
            <w:vAlign w:val="bottom"/>
            <w:tcBorders>
              <w:bottom w:val="single" w:sz="8" w:color="CFF0FC"/>
            </w:tcBorders>
          </w:tcPr>
          <w:p>
            <w:pPr>
              <w:spacing w:after="0"/>
              <w:rPr>
                <w:sz w:val="21"/>
                <w:szCs w:val="21"/>
                <w:color w:val="auto"/>
              </w:rPr>
            </w:pPr>
          </w:p>
        </w:tc>
        <w:tc>
          <w:tcPr>
            <w:tcW w:w="400" w:type="dxa"/>
            <w:vAlign w:val="bottom"/>
            <w:tcBorders>
              <w:bottom w:val="single" w:sz="8" w:color="CFF0FC"/>
            </w:tcBorders>
            <w:gridSpan w:val="2"/>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2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shd w:val="clear" w:color="auto" w:fill="CFF0FC"/>
          </w:tcPr>
          <w:p>
            <w:pPr>
              <w:ind w:left="480"/>
              <w:spacing w:after="0"/>
              <w:rPr>
                <w:sz w:val="20"/>
                <w:szCs w:val="20"/>
                <w:color w:val="auto"/>
              </w:rPr>
            </w:pPr>
            <w:r>
              <w:rPr>
                <w:rFonts w:ascii="Arial" w:cs="Arial" w:eastAsia="Arial" w:hAnsi="Arial"/>
                <w:sz w:val="20"/>
                <w:szCs w:val="20"/>
                <w:color w:val="auto"/>
              </w:rPr>
              <w:t>Total consumer</w:t>
            </w: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15,387</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26%</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14%</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13%</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5%</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10%</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720"/>
              <w:spacing w:after="0"/>
              <w:rPr>
                <w:sz w:val="20"/>
                <w:szCs w:val="20"/>
                <w:color w:val="auto"/>
              </w:rPr>
            </w:pPr>
            <w:r>
              <w:rPr>
                <w:rFonts w:ascii="Arial" w:cs="Arial" w:eastAsia="Arial" w:hAnsi="Arial"/>
                <w:sz w:val="20"/>
                <w:szCs w:val="20"/>
                <w:color w:val="auto"/>
              </w:rPr>
              <w:t>Total loans</w:t>
            </w: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4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89,649</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ind w:left="240"/>
              <w:spacing w:after="0"/>
              <w:rPr>
                <w:sz w:val="20"/>
                <w:szCs w:val="20"/>
                <w:color w:val="auto"/>
              </w:rPr>
            </w:pPr>
            <w:r>
              <w:rPr>
                <w:rFonts w:ascii="Arial" w:cs="Arial" w:eastAsia="Arial" w:hAnsi="Arial"/>
                <w:sz w:val="20"/>
                <w:szCs w:val="20"/>
                <w:color w:val="auto"/>
              </w:rPr>
              <w:t>36%</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20"/>
                <w:szCs w:val="20"/>
                <w:color w:val="auto"/>
              </w:rPr>
              <w:t>15%</w:t>
            </w:r>
          </w:p>
        </w:tc>
        <w:tc>
          <w:tcPr>
            <w:tcW w:w="260" w:type="dxa"/>
            <w:vAlign w:val="bottom"/>
          </w:tcPr>
          <w:p>
            <w:pPr>
              <w:spacing w:after="0"/>
              <w:rPr>
                <w:sz w:val="21"/>
                <w:szCs w:val="21"/>
                <w:color w:val="auto"/>
              </w:rPr>
            </w:pPr>
          </w:p>
        </w:tc>
        <w:tc>
          <w:tcPr>
            <w:tcW w:w="80" w:type="dxa"/>
            <w:vAlign w:val="bottom"/>
            <w:vMerge w:val="continue"/>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10%</w:t>
            </w:r>
          </w:p>
        </w:tc>
        <w:tc>
          <w:tcPr>
            <w:tcW w:w="32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20"/>
                <w:szCs w:val="20"/>
                <w:color w:val="auto"/>
              </w:rPr>
              <w:t>10%</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20"/>
                <w:szCs w:val="20"/>
                <w:color w:val="auto"/>
              </w:rPr>
              <w:t>8%</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0"/>
        </w:trPr>
        <w:tc>
          <w:tcPr>
            <w:tcW w:w="3240" w:type="dxa"/>
            <w:vAlign w:val="bottom"/>
            <w:vMerge w:val="restart"/>
            <w:shd w:val="clear" w:color="auto" w:fill="CFF0FC"/>
          </w:tcPr>
          <w:p>
            <w:pPr>
              <w:spacing w:after="0"/>
              <w:rPr>
                <w:sz w:val="20"/>
                <w:szCs w:val="20"/>
                <w:color w:val="auto"/>
              </w:rPr>
            </w:pPr>
            <w:r>
              <w:rPr>
                <w:rFonts w:ascii="Arial" w:cs="Arial" w:eastAsia="Arial" w:hAnsi="Arial"/>
                <w:sz w:val="20"/>
                <w:szCs w:val="20"/>
                <w:color w:val="auto"/>
              </w:rPr>
              <w:t>Commercial leases</w:t>
            </w:r>
          </w:p>
        </w:tc>
        <w:tc>
          <w:tcPr>
            <w:tcW w:w="7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40" w:type="dxa"/>
            <w:vAlign w:val="bottom"/>
            <w:vMerge w:val="continue"/>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1,274</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51%</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13%</w:t>
            </w:r>
          </w:p>
        </w:tc>
        <w:tc>
          <w:tcPr>
            <w:tcW w:w="260" w:type="dxa"/>
            <w:vAlign w:val="bottom"/>
            <w:shd w:val="clear" w:color="auto" w:fill="CFF0FC"/>
          </w:tcPr>
          <w:p>
            <w:pPr>
              <w:spacing w:after="0"/>
              <w:rPr>
                <w:sz w:val="21"/>
                <w:szCs w:val="21"/>
                <w:color w:val="auto"/>
              </w:rPr>
            </w:pPr>
          </w:p>
        </w:tc>
        <w:tc>
          <w:tcPr>
            <w:tcW w:w="80" w:type="dxa"/>
            <w:vAlign w:val="bottom"/>
            <w:vMerge w:val="continue"/>
            <w:shd w:val="clear" w:color="auto" w:fill="CFF0FC"/>
          </w:tcPr>
          <w:p>
            <w:pPr>
              <w:spacing w:after="0"/>
              <w:rPr>
                <w:sz w:val="21"/>
                <w:szCs w:val="21"/>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10%</w:t>
            </w:r>
          </w:p>
        </w:tc>
        <w:tc>
          <w:tcPr>
            <w:tcW w:w="320" w:type="dxa"/>
            <w:vAlign w:val="bottom"/>
            <w:vMerge w:val="continue"/>
            <w:shd w:val="clear" w:color="auto" w:fill="CFF0FC"/>
          </w:tcPr>
          <w:p>
            <w:pPr>
              <w:spacing w:after="0"/>
              <w:rPr>
                <w:sz w:val="21"/>
                <w:szCs w:val="21"/>
                <w:color w:val="auto"/>
              </w:rPr>
            </w:pPr>
          </w:p>
        </w:tc>
        <w:tc>
          <w:tcPr>
            <w:tcW w:w="80" w:type="dxa"/>
            <w:vAlign w:val="bottom"/>
            <w:vMerge w:val="continue"/>
            <w:shd w:val="clear" w:color="auto" w:fill="CFF0FC"/>
          </w:tcPr>
          <w:p>
            <w:pPr>
              <w:spacing w:after="0"/>
              <w:rPr>
                <w:sz w:val="21"/>
                <w:szCs w:val="21"/>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6%</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2%</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720"/>
              <w:spacing w:after="0"/>
              <w:rPr>
                <w:sz w:val="20"/>
                <w:szCs w:val="20"/>
                <w:color w:val="auto"/>
              </w:rPr>
            </w:pPr>
            <w:r>
              <w:rPr>
                <w:rFonts w:ascii="Arial" w:cs="Arial" w:eastAsia="Arial" w:hAnsi="Arial"/>
                <w:sz w:val="20"/>
                <w:szCs w:val="20"/>
                <w:color w:val="auto"/>
              </w:rPr>
              <w:t>Total loans and leases</w:t>
            </w:r>
          </w:p>
        </w:tc>
        <w:tc>
          <w:tcPr>
            <w:tcW w:w="7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4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90,923</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ind w:left="240"/>
              <w:spacing w:after="0"/>
              <w:rPr>
                <w:sz w:val="20"/>
                <w:szCs w:val="20"/>
                <w:color w:val="auto"/>
              </w:rPr>
            </w:pPr>
            <w:r>
              <w:rPr>
                <w:rFonts w:ascii="Arial" w:cs="Arial" w:eastAsia="Arial" w:hAnsi="Arial"/>
                <w:sz w:val="20"/>
                <w:szCs w:val="20"/>
                <w:color w:val="auto"/>
              </w:rPr>
              <w:t>37%</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20"/>
                <w:szCs w:val="20"/>
                <w:color w:val="auto"/>
              </w:rPr>
              <w:t>15%</w:t>
            </w:r>
          </w:p>
        </w:tc>
        <w:tc>
          <w:tcPr>
            <w:tcW w:w="260" w:type="dxa"/>
            <w:vAlign w:val="bottom"/>
          </w:tcPr>
          <w:p>
            <w:pPr>
              <w:spacing w:after="0"/>
              <w:rPr>
                <w:sz w:val="21"/>
                <w:szCs w:val="21"/>
                <w:color w:val="auto"/>
              </w:rPr>
            </w:pPr>
          </w:p>
        </w:tc>
        <w:tc>
          <w:tcPr>
            <w:tcW w:w="80" w:type="dxa"/>
            <w:vAlign w:val="bottom"/>
            <w:vMerge w:val="continue"/>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0"/>
                <w:szCs w:val="20"/>
                <w:color w:val="auto"/>
              </w:rPr>
              <w:t>10%</w:t>
            </w:r>
          </w:p>
        </w:tc>
        <w:tc>
          <w:tcPr>
            <w:tcW w:w="32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20"/>
                <w:szCs w:val="20"/>
                <w:color w:val="auto"/>
              </w:rPr>
              <w:t>9%</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20"/>
                <w:szCs w:val="20"/>
                <w:color w:val="auto"/>
              </w:rPr>
              <w:t>8%</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ind w:left="600" w:hanging="595"/>
        <w:spacing w:after="0"/>
        <w:tabs>
          <w:tab w:leader="none" w:pos="600" w:val="left"/>
        </w:tabs>
        <w:numPr>
          <w:ilvl w:val="0"/>
          <w:numId w:val="25"/>
        </w:numPr>
        <w:rPr>
          <w:rFonts w:ascii="Arial" w:cs="Arial" w:eastAsia="Arial" w:hAnsi="Arial"/>
          <w:sz w:val="20"/>
          <w:szCs w:val="20"/>
          <w:i w:val="1"/>
          <w:iCs w:val="1"/>
          <w:color w:val="auto"/>
        </w:rPr>
      </w:pPr>
      <w:r>
        <w:rPr>
          <w:rFonts w:ascii="Arial" w:cs="Arial" w:eastAsia="Arial" w:hAnsi="Arial"/>
          <w:sz w:val="20"/>
          <w:szCs w:val="20"/>
          <w:i w:val="1"/>
          <w:iCs w:val="1"/>
          <w:color w:val="auto"/>
        </w:rPr>
        <w:t>Includes Delaware, Virginia, West Virginia and the District of Columbia.</w:t>
      </w:r>
    </w:p>
    <w:p>
      <w:pPr>
        <w:spacing w:after="0" w:line="230" w:lineRule="exact"/>
        <w:rPr>
          <w:sz w:val="20"/>
          <w:szCs w:val="20"/>
          <w:color w:val="auto"/>
        </w:rPr>
      </w:pPr>
    </w:p>
    <w:p>
      <w:pPr>
        <w:ind w:right="40" w:firstLine="598"/>
        <w:spacing w:after="0" w:line="256" w:lineRule="auto"/>
        <w:rPr>
          <w:sz w:val="20"/>
          <w:szCs w:val="20"/>
          <w:color w:val="auto"/>
        </w:rPr>
      </w:pPr>
      <w:r>
        <w:rPr>
          <w:rFonts w:ascii="Arial" w:cs="Arial" w:eastAsia="Arial" w:hAnsi="Arial"/>
          <w:sz w:val="20"/>
          <w:szCs w:val="20"/>
          <w:color w:val="auto"/>
        </w:rPr>
        <w:t>The investment securities portfolio averaged $11.6 billion in 2019, down from $13.7 billion and $15.5 billion in 2018 and 2017, respectively. The decline in average balances of investment securities in 2019 and 2018 was predominantly due to maturities and pay downs of mortgage-backed securities and maturities of U.S. Treasury notes. During 2019 and 2018, the Company purchased $500 million and $450 million, respectively, of U.S. Treasury notes. During 2017,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2" w:name="page63"/>
    <w:bookmarkEnd w:id="62"/>
    <w:p>
      <w:pPr>
        <w:spacing w:after="0" w:line="248" w:lineRule="auto"/>
        <w:rPr>
          <w:sz w:val="20"/>
          <w:szCs w:val="20"/>
          <w:color w:val="auto"/>
        </w:rPr>
      </w:pPr>
      <w:r>
        <w:rPr>
          <w:rFonts w:ascii="Arial" w:cs="Arial" w:eastAsia="Arial" w:hAnsi="Arial"/>
          <w:sz w:val="20"/>
          <w:szCs w:val="20"/>
          <w:color w:val="auto"/>
        </w:rPr>
        <w:t>purchased $1.4 billion of mortgage-backed securities, predominantly Ginnie Mae and Freddie Mac securities, and $219 million of U.S. Treasury notes. The Company sold $512 million of available-for-sale Fannie Mae and Freddie Mac mortgage-backed securities during 2017 largely due to the limitations on the amount of those types of securities that were permitted to be included in the highest tier of “high quality liquid assets” for the Liquidity Coverage Ratio (“LCR”) calculation. The Company also sold a portion of its holdings of Fannie Mae and Freddie Mac preferred stock during December 2017 for a gain of $18 million. The preferred stock sold had a cost basis (after previous write-downs) of $3 million. Sales of investment securities were not significant in 2019 or 2018. The Company routinely has increases and decreases in its holdings of capital stock of the Federal Home Loan Bank (“FHLB”) of New York and the Federal Reserve Bank of New York. Those holdings are accounted for at cost and are adjusted based on the amounts of outstanding borrowings and available lines of credit with those entities.</w:t>
      </w:r>
    </w:p>
    <w:p>
      <w:pPr>
        <w:spacing w:after="0" w:line="8" w:lineRule="exact"/>
        <w:rPr>
          <w:sz w:val="20"/>
          <w:szCs w:val="20"/>
          <w:color w:val="auto"/>
        </w:rPr>
      </w:pPr>
    </w:p>
    <w:p>
      <w:pPr>
        <w:ind w:right="40" w:firstLine="598"/>
        <w:spacing w:after="0" w:line="246" w:lineRule="auto"/>
        <w:rPr>
          <w:sz w:val="20"/>
          <w:szCs w:val="20"/>
          <w:color w:val="auto"/>
        </w:rPr>
      </w:pPr>
      <w:r>
        <w:rPr>
          <w:rFonts w:ascii="Arial" w:cs="Arial" w:eastAsia="Arial" w:hAnsi="Arial"/>
          <w:sz w:val="20"/>
          <w:szCs w:val="20"/>
          <w:color w:val="auto"/>
        </w:rPr>
        <w:t>The investment securities portfolio is largely comprised of residential mortgage-backed securities and shorter-term U.S. Treasury and federal agency notes. When purchasing investment securities, the Company considers its liquidity position and its overall interest-rate risk profile as well as the adequacy of expected returns relative to risks assumed, including prepayments. The Company may occasionally sell investment securities as a result of changes in interest rates and spreads, actual or anticipated prepayments, credit risk associated with a particular security, or as a result of restructuring its investment securities portfolio in connection with a business combination. The amounts of investment securities held by the Company are influenced by such factors as demand for loans, which generally yield more than investment securities, ongoing repayments, the levels of deposits, and management of liquidity and balance sheet size and resulting capital ratios.</w:t>
      </w:r>
    </w:p>
    <w:p>
      <w:pPr>
        <w:spacing w:after="0" w:line="6" w:lineRule="exact"/>
        <w:rPr>
          <w:sz w:val="20"/>
          <w:szCs w:val="20"/>
          <w:color w:val="auto"/>
        </w:rPr>
      </w:pPr>
    </w:p>
    <w:p>
      <w:pPr>
        <w:ind w:right="40" w:firstLine="598"/>
        <w:spacing w:after="0" w:line="246" w:lineRule="auto"/>
        <w:rPr>
          <w:sz w:val="20"/>
          <w:szCs w:val="20"/>
          <w:color w:val="auto"/>
        </w:rPr>
      </w:pPr>
      <w:r>
        <w:rPr>
          <w:rFonts w:ascii="Arial" w:cs="Arial" w:eastAsia="Arial" w:hAnsi="Arial"/>
          <w:sz w:val="20"/>
          <w:szCs w:val="20"/>
          <w:color w:val="auto"/>
        </w:rPr>
        <w:t>Effective January 1, 2018, fair value changes in equity securities with readily determinable fair values are recognized in the consolidated statement of income. Net unrealized gains on such equity securities were $18 million in 2019, compared with net unrealized losses of $6 million in 2018. Those gains and losses were predominantly related to the Company’s holdings of Fannie Mae and Freddie Mac preferred stock.</w:t>
      </w:r>
    </w:p>
    <w:p>
      <w:pPr>
        <w:spacing w:after="0" w:line="3"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The Company regularly reviews its investment securities for declines in value below amortized cost that might be characterized as “other than temporary.” There were no other-than-temporary impairment charges recognized in the investment securities portfolio in 2019, 2018 or 2017. Based on management’s assessment of future cash flows associated with individual investment securities as of December 31, 2019, the Company concluded that declines in value below amortized cost associated with the investment securities portfolio were temporary in nature. A further discussion of fair values of investment securities is included herein under the heading “Capital.” Additional information about the investment securities portfolio is included in notes 2 and 20 of Notes to Financial Statements.</w:t>
      </w:r>
    </w:p>
    <w:p>
      <w:pPr>
        <w:spacing w:after="0" w:line="4" w:lineRule="exact"/>
        <w:rPr>
          <w:sz w:val="20"/>
          <w:szCs w:val="20"/>
          <w:color w:val="auto"/>
        </w:rPr>
      </w:pPr>
    </w:p>
    <w:p>
      <w:pPr>
        <w:ind w:right="60" w:firstLine="598"/>
        <w:spacing w:after="0" w:line="274" w:lineRule="auto"/>
        <w:rPr>
          <w:sz w:val="20"/>
          <w:szCs w:val="20"/>
          <w:color w:val="auto"/>
        </w:rPr>
      </w:pPr>
      <w:r>
        <w:rPr>
          <w:rFonts w:ascii="Arial" w:cs="Arial" w:eastAsia="Arial" w:hAnsi="Arial"/>
          <w:sz w:val="18"/>
          <w:szCs w:val="18"/>
          <w:color w:val="auto"/>
        </w:rPr>
        <w:t>Other earning assets include interest-bearing deposits at the Federal Reserve Bank of New York and other banks, trading account assets, federal funds sold and agreements to resell securities. Those other earning assets in the aggregate averaged $7.2 billion in 2019, $5.7 billion in 2018 and $5.6 billion in 2017. Interest-bearing deposits at banks averaged $6.8 billion in 2019, compared with $5.6 billion in each of 2018 and 2017. The amounts of interest-bearing deposits at banks at the respective dates were predominantly comprised of deposits held at the Federal Reserve Bank of New York. The levels of those deposits often fluctuate due to changes in trust-related deposits of commercial entities, purchases or maturities of investment securities, or borrowings to manage the Company’s liquidity.</w:t>
      </w:r>
    </w:p>
    <w:p>
      <w:pPr>
        <w:spacing w:after="0" w:line="1" w:lineRule="exact"/>
        <w:rPr>
          <w:sz w:val="20"/>
          <w:szCs w:val="20"/>
          <w:color w:val="auto"/>
        </w:rPr>
      </w:pPr>
    </w:p>
    <w:p>
      <w:pPr>
        <w:ind w:right="340" w:firstLine="598"/>
        <w:spacing w:after="0" w:line="249" w:lineRule="auto"/>
        <w:rPr>
          <w:sz w:val="20"/>
          <w:szCs w:val="20"/>
          <w:color w:val="auto"/>
        </w:rPr>
      </w:pPr>
      <w:r>
        <w:rPr>
          <w:rFonts w:ascii="Arial" w:cs="Arial" w:eastAsia="Arial" w:hAnsi="Arial"/>
          <w:sz w:val="20"/>
          <w:szCs w:val="20"/>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were $87.9 billion in 2019, compared with $87.3 billion in 2018 and $92.1 billion in 2017. Average balances of savings and interest-checking core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00"/>
          </w:cols>
          <w:pgMar w:left="240" w:top="546" w:right="259" w:bottom="1440" w:gutter="0" w:footer="0" w:header="0"/>
        </w:sectPr>
      </w:pPr>
    </w:p>
    <w:bookmarkStart w:id="63" w:name="page64"/>
    <w:bookmarkEnd w:id="63"/>
    <w:p>
      <w:pPr>
        <w:ind w:right="20"/>
        <w:spacing w:after="0" w:line="279" w:lineRule="auto"/>
        <w:rPr>
          <w:sz w:val="20"/>
          <w:szCs w:val="20"/>
          <w:color w:val="auto"/>
        </w:rPr>
      </w:pPr>
      <w:r>
        <w:rPr>
          <w:rFonts w:ascii="Arial" w:cs="Arial" w:eastAsia="Arial" w:hAnsi="Arial"/>
          <w:sz w:val="18"/>
          <w:szCs w:val="18"/>
          <w:color w:val="auto"/>
        </w:rPr>
        <w:t>deposits rose $1.7 billion or 3% in 2019 to $51.9 billion from $50.1 billion in 2018. That increase was predominantly due to higher residential mortgage escrow deposits, resulting from additions to the Company’s servicing and sub-servicing portfolios in 2019, and higher commercial and trust deposits. Average noninterest-bearing deposits declined $1.1 billion or 4% to $30.8 billion in 2019 from $31.9 billion in 2018. Contributing to that decline were lower deposits associated with commercial and trust customers, partially offset by higher mortgage escrow deposits. The lower commercial deposits were largely due to a shift of such deposits from noninterest-bearing to interest-bearing products. Average core deposits in 2018 declined $4.7 billion or 5% as compared with 2017. Average savings and interest-checking core deposit balances decreased $2.1 billion or 4% in 2018 from 2017, largely due to lower money-market savings deposit balances associated with commercial and consumer customers. Average balances of core time deposits in 2018 decreased $2.0 billion or 27% from 2017 predominantly related to maturities of relatively high-rate time deposits, in part, obtained in the Hudson City acquisition. Reflecting lower commercial and trust customer deposits, average noninterest-bearing deposits in 2018 declined $627 million or 2% from 2017. Funding provided by core deposits represented 81% of average earning assets in 2019, compared with 82% in 2018 and 84% in 2017. Table 8 summarizes average core deposits in 2019 and percentage changes in the components of such deposits over the past two years. Core deposits totaled $89.5 billion and $85.5 billion at December 31, 2019 and 2018,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8</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AVERAGE CORE DEPOSITS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9"/>
              </w:rPr>
              <w:t>Percent Increase</w:t>
            </w:r>
          </w:p>
        </w:tc>
        <w:tc>
          <w:tcPr>
            <w:tcW w:w="0" w:type="dxa"/>
            <w:vAlign w:val="bottom"/>
          </w:tcPr>
          <w:p>
            <w:pPr>
              <w:spacing w:after="0"/>
              <w:rPr>
                <w:sz w:val="1"/>
                <w:szCs w:val="1"/>
                <w:color w:val="auto"/>
              </w:rPr>
            </w:pPr>
          </w:p>
        </w:tc>
      </w:tr>
      <w:tr>
        <w:trPr>
          <w:trHeight w:val="167"/>
        </w:trPr>
        <w:tc>
          <w:tcPr>
            <w:tcW w:w="49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28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0"/>
              </w:rPr>
              <w:t>(Decrease) from</w:t>
            </w:r>
          </w:p>
        </w:tc>
        <w:tc>
          <w:tcPr>
            <w:tcW w:w="0" w:type="dxa"/>
            <w:vAlign w:val="bottom"/>
          </w:tcPr>
          <w:p>
            <w:pPr>
              <w:spacing w:after="0"/>
              <w:rPr>
                <w:sz w:val="1"/>
                <w:szCs w:val="1"/>
                <w:color w:val="auto"/>
              </w:rPr>
            </w:pPr>
          </w:p>
        </w:tc>
      </w:tr>
      <w:tr>
        <w:trPr>
          <w:trHeight w:val="151"/>
        </w:trPr>
        <w:tc>
          <w:tcPr>
            <w:tcW w:w="49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60"/>
              <w:spacing w:after="0" w:line="151" w:lineRule="exact"/>
              <w:rPr>
                <w:sz w:val="20"/>
                <w:szCs w:val="20"/>
                <w:color w:val="auto"/>
              </w:rPr>
            </w:pPr>
            <w:r>
              <w:rPr>
                <w:rFonts w:ascii="Arial" w:cs="Arial" w:eastAsia="Arial" w:hAnsi="Arial"/>
                <w:sz w:val="14"/>
                <w:szCs w:val="14"/>
                <w:b w:val="1"/>
                <w:bCs w:val="1"/>
                <w:color w:val="auto"/>
              </w:rPr>
              <w:t>2018 to 2019</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ind w:left="140"/>
              <w:spacing w:after="0" w:line="151" w:lineRule="exact"/>
              <w:rPr>
                <w:sz w:val="20"/>
                <w:szCs w:val="20"/>
                <w:color w:val="auto"/>
              </w:rPr>
            </w:pPr>
            <w:r>
              <w:rPr>
                <w:rFonts w:ascii="Arial" w:cs="Arial" w:eastAsia="Arial" w:hAnsi="Arial"/>
                <w:sz w:val="14"/>
                <w:szCs w:val="14"/>
                <w:b w:val="1"/>
                <w:bCs w:val="1"/>
                <w:color w:val="auto"/>
              </w:rPr>
              <w:t>2017 to 2018</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980" w:type="dxa"/>
            <w:vAlign w:val="bottom"/>
          </w:tcPr>
          <w:p>
            <w:pPr>
              <w:spacing w:after="0"/>
              <w:rPr>
                <w:sz w:val="20"/>
                <w:szCs w:val="20"/>
                <w:color w:val="auto"/>
              </w:rPr>
            </w:pPr>
          </w:p>
        </w:tc>
        <w:tc>
          <w:tcPr>
            <w:tcW w:w="3640" w:type="dxa"/>
            <w:vAlign w:val="bottom"/>
            <w:gridSpan w:val="4"/>
          </w:tcPr>
          <w:p>
            <w:pPr>
              <w:ind w:left="224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4980" w:type="dxa"/>
            <w:vAlign w:val="bottom"/>
          </w:tcPr>
          <w:p>
            <w:pPr>
              <w:spacing w:after="0"/>
              <w:rPr>
                <w:sz w:val="20"/>
                <w:szCs w:val="20"/>
                <w:color w:val="auto"/>
              </w:rPr>
            </w:pPr>
            <w:r>
              <w:rPr>
                <w:rFonts w:ascii="Arial" w:cs="Arial" w:eastAsia="Arial" w:hAnsi="Arial"/>
                <w:sz w:val="18"/>
                <w:szCs w:val="18"/>
                <w:color w:val="auto"/>
              </w:rPr>
              <w:t>Savings and interest-checking deposits</w:t>
            </w:r>
          </w:p>
        </w:tc>
        <w:tc>
          <w:tcPr>
            <w:tcW w:w="2460" w:type="dxa"/>
            <w:vAlign w:val="bottom"/>
            <w:gridSpan w:val="2"/>
          </w:tcPr>
          <w:p>
            <w:pPr>
              <w:ind w:left="2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51,881</w:t>
            </w: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4"/>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Time deposits</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5,238</w:t>
            </w:r>
          </w:p>
        </w:tc>
        <w:tc>
          <w:tcPr>
            <w:tcW w:w="3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30,763</w:t>
            </w:r>
          </w:p>
        </w:tc>
        <w:tc>
          <w:tcPr>
            <w:tcW w:w="3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2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vMerge w:val="restart"/>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80" w:type="dxa"/>
            <w:vAlign w:val="bottom"/>
            <w:vMerge w:val="continue"/>
            <w:shd w:val="clear" w:color="auto" w:fill="CFF0FC"/>
          </w:tcPr>
          <w:p>
            <w:pPr>
              <w:spacing w:after="0"/>
              <w:rPr>
                <w:sz w:val="18"/>
                <w:szCs w:val="18"/>
                <w:color w:val="auto"/>
              </w:rPr>
            </w:pPr>
          </w:p>
        </w:tc>
        <w:tc>
          <w:tcPr>
            <w:tcW w:w="2460" w:type="dxa"/>
            <w:vAlign w:val="bottom"/>
            <w:gridSpan w:val="2"/>
            <w:shd w:val="clear" w:color="auto" w:fill="CFF0FC"/>
          </w:tcPr>
          <w:p>
            <w:pPr>
              <w:ind w:left="2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87,882</w:t>
            </w: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2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right="60" w:firstLine="598"/>
        <w:spacing w:after="0" w:line="280" w:lineRule="auto"/>
        <w:rPr>
          <w:sz w:val="20"/>
          <w:szCs w:val="20"/>
          <w:color w:val="auto"/>
        </w:rPr>
      </w:pPr>
      <w:r>
        <w:rPr>
          <w:rFonts w:ascii="Arial" w:cs="Arial" w:eastAsia="Arial" w:hAnsi="Arial"/>
          <w:sz w:val="18"/>
          <w:szCs w:val="18"/>
          <w:color w:val="auto"/>
        </w:rPr>
        <w:t>The Company also receives funding from other deposit sources, including branch-related time deposits over $250,000, deposits associated with the Company’s Cayman Islands office, and brokered deposits. Time deposits over $250,000, excluding brokered deposits, averaged $956 million in 2019, $675 million in 2018 and $775 million in 2017. The increase in such deposits from 2018 to 2019 was predominantly the result of the generally higher interest rate environment and customers’ desire to earn a higher return on their deposits. The decline in such deposits in 2018 from 2017 was predominantly the result of maturities of higher-rate time deposits. Cayman Islands office deposits averaged $1.4 billion in 2019, $394 million in 2018 and $185 million in 2017. The increase in such deposits in 2019 from the prior years resulted from customers’ desire to sweep their deposit balances into higher earning products. The Company had brokered savings and interest-bearing transaction accounts that averaged $2.7 billion in 2019, $2.0 billion in 2018 and $1.2 billion in 2017. Additional amounts of Cayman Islands office deposits or brokered deposits may be added in the future depending on market conditions, including demand by customers and other investors for those deposits, and the cost of funds available from alternative sources at the time.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4" w:name="page65"/>
    <w:bookmarkEnd w:id="64"/>
    <w:p>
      <w:pPr>
        <w:ind w:left="600"/>
        <w:spacing w:after="0"/>
        <w:rPr>
          <w:sz w:val="20"/>
          <w:szCs w:val="20"/>
          <w:color w:val="auto"/>
        </w:rPr>
      </w:pPr>
      <w:r>
        <w:rPr>
          <w:rFonts w:ascii="Arial" w:cs="Arial" w:eastAsia="Arial" w:hAnsi="Arial"/>
          <w:sz w:val="20"/>
          <w:szCs w:val="20"/>
          <w:color w:val="auto"/>
        </w:rPr>
        <w:t>Table 9 summarizes average total deposits for 2019, 2018 and 2017.</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9</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AVERAGE DEPOSITS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14"/>
                <w:szCs w:val="14"/>
                <w:color w:val="auto"/>
              </w:rPr>
            </w:pPr>
          </w:p>
        </w:tc>
        <w:tc>
          <w:tcPr>
            <w:tcW w:w="7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Trust</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Commercial</w:t>
            </w:r>
          </w:p>
        </w:tc>
        <w:tc>
          <w:tcPr>
            <w:tcW w:w="180" w:type="dxa"/>
            <w:vAlign w:val="bottom"/>
          </w:tcPr>
          <w:p>
            <w:pPr>
              <w:spacing w:after="0"/>
              <w:rPr>
                <w:sz w:val="14"/>
                <w:szCs w:val="14"/>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44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and Other</w:t>
            </w: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480" w:type="dxa"/>
            <w:vAlign w:val="bottom"/>
            <w:vMerge w:val="restart"/>
          </w:tcPr>
          <w:p>
            <w:pPr>
              <w:spacing w:after="0"/>
              <w:rPr>
                <w:sz w:val="20"/>
                <w:szCs w:val="20"/>
                <w:color w:val="auto"/>
              </w:rPr>
            </w:pPr>
            <w:r>
              <w:rPr>
                <w:rFonts w:ascii="Arial" w:cs="Arial" w:eastAsia="Arial" w:hAnsi="Arial"/>
                <w:sz w:val="18"/>
                <w:szCs w:val="18"/>
                <w:b w:val="1"/>
                <w:bCs w:val="1"/>
                <w:color w:val="auto"/>
              </w:rPr>
              <w:t>2019</w:t>
            </w:r>
          </w:p>
        </w:tc>
        <w:tc>
          <w:tcPr>
            <w:tcW w:w="17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4"/>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48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1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26,814</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6,453</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21,343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Time deposits</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5,739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5,352</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21,192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 at Cayman Islands office</w:t>
            </w:r>
          </w:p>
        </w:tc>
        <w:tc>
          <w:tcPr>
            <w:tcW w:w="17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37,905</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10,718</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44,426</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2018</w:t>
            </w:r>
          </w:p>
        </w:tc>
        <w:tc>
          <w:tcPr>
            <w:tcW w:w="17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48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1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28,381</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5,445</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Time deposits</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5,656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5,064</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4,363</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 at Cayman Islands office</w:t>
            </w:r>
          </w:p>
        </w:tc>
        <w:tc>
          <w:tcPr>
            <w:tcW w:w="17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39,101</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9,842</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41,471</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2017</w:t>
            </w:r>
          </w:p>
        </w:tc>
        <w:tc>
          <w:tcPr>
            <w:tcW w:w="17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48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1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29,506</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4,793</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Time deposits</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7,737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4,803</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23,197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 at Cayman Islands office</w:t>
            </w:r>
          </w:p>
        </w:tc>
        <w:tc>
          <w:tcPr>
            <w:tcW w:w="17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42,046</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9,324</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42,895</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firstLine="598"/>
        <w:spacing w:after="0" w:line="261" w:lineRule="auto"/>
        <w:rPr>
          <w:sz w:val="20"/>
          <w:szCs w:val="20"/>
          <w:color w:val="auto"/>
        </w:rPr>
      </w:pPr>
      <w:r>
        <w:rPr>
          <w:rFonts w:ascii="Arial" w:cs="Arial" w:eastAsia="Arial" w:hAnsi="Arial"/>
          <w:sz w:val="19"/>
          <w:szCs w:val="19"/>
          <w:color w:val="auto"/>
        </w:rPr>
        <w:t>The Company also uses borrowings from banks, securities dealers, various FHLBs, the Federal Reserve Bank of New York and others as sources of funding. Short-term borrowings represent arrangements that at the time they were entered into had a contractual maturity of one year or less. Average short-term borrowings were $1.1 billion in 2019, $331 million in 2018 and $205 million in 2017. In December 2018, the Company borrowed $4.2 billion from the FHLB of New York for LCR and other liquidity purposes, $3.0 billion of which matured on the first business day of 2019 and $1.2 billion matured on February 1, 2019. The Federal Reserve and other Federal bank regulators finalized the Tailoring Rules in October 2019, as described in Part I, Item 1 of this Annual Report on Form 10-K under the heading “Enhanced Prudential Standards.” As a result, M&amp;T is classified as a Category IV firm and, as such, is no longer subject to LCR requirements as of December 31, 2019. However, M&amp;T will continue to remain subject to the internal liquidity stress test requirements under the Federal Reserve Board’s regulations, which include 30-day and 1-year planning horizons. Included in short-term borrowings were unsecured federal funds borrowings, which generally mature on the next business day, that averaged $207 million, $206 million and $132 million in 2019, 2018 and 2017, respectively. Overnight federal funds borrowings totaled $137 million at December 31, 2018. There were no overnight federal funds borrowings outstanding at December 31, 2019.</w:t>
      </w:r>
    </w:p>
    <w:p>
      <w:pPr>
        <w:spacing w:after="0" w:line="5" w:lineRule="exact"/>
        <w:rPr>
          <w:sz w:val="20"/>
          <w:szCs w:val="20"/>
          <w:color w:val="auto"/>
        </w:rPr>
      </w:pPr>
    </w:p>
    <w:p>
      <w:pPr>
        <w:jc w:val="both"/>
        <w:ind w:right="140" w:firstLine="598"/>
        <w:spacing w:after="0" w:line="293" w:lineRule="auto"/>
        <w:rPr>
          <w:sz w:val="20"/>
          <w:szCs w:val="20"/>
          <w:color w:val="auto"/>
        </w:rPr>
      </w:pPr>
      <w:r>
        <w:rPr>
          <w:rFonts w:ascii="Arial" w:cs="Arial" w:eastAsia="Arial" w:hAnsi="Arial"/>
          <w:sz w:val="18"/>
          <w:szCs w:val="18"/>
          <w:color w:val="auto"/>
        </w:rPr>
        <w:t>Long-term borrowings averaged $7.7 billion in 2019, $8.8 billion in 2018 and $8.3 billion in 2017. Average balances of outstanding senior notes were $5.3 billion in 2019, compared with $5.9 billion and $4.8 billion in 2018 and 2017, respectively. Unsecured senior notes totaled $4.9 billion and $5.5 billion at December 31, 2019 and 2018, respectively. During January 2018, M&amp;T Bank</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5" w:name="page66"/>
    <w:bookmarkEnd w:id="65"/>
    <w:p>
      <w:pPr>
        <w:spacing w:after="0"/>
        <w:rPr>
          <w:sz w:val="20"/>
          <w:szCs w:val="20"/>
          <w:color w:val="auto"/>
        </w:rPr>
      </w:pPr>
      <w:r>
        <w:rPr>
          <w:rFonts w:ascii="Arial" w:cs="Arial" w:eastAsia="Arial" w:hAnsi="Arial"/>
          <w:sz w:val="19"/>
          <w:szCs w:val="19"/>
          <w:color w:val="auto"/>
        </w:rPr>
        <w:t>issued $650 million of 2.625% fixed rate and $350 million of variable rate senior notes that pay interest quarterly and are indexed to the</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three-month LIBOR. Those fixed and variable rate notes mature in 2021. On December 31, 2018, M&amp;T Bank redeemed $750 million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fixed rate senior notes that were due to mature on January 31, 2019. In addition, in July 2018 M&amp;T issued $750 million of senior notes that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mature in July 2023, of which $500 million have a 3.55% fixed interest rate and $250 million have a variable rate paid quarterly at rates that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are indexed to the three-month LIBOR. On January 7, 2020, M&amp;T Bank redeemed $750 million of fixed rate senior notes that were due to</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mature on February 6, 2020. Also included in average long-term borrowings were amounts borrowed from the Federal Home Loan Banks of</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New York and Pittsburgh of $241 million in 2019, compared with $577 million and $820 million in 2018 and 2017, respectively, and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subordinated capital notes of $1.4 billion and $1.5 billion in 2019 and 2018, respectively, compared with $1.7 billion in 2017. During 2017,</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M&amp;T Bank issued $500 million of fixed rate subordinated capital notes that mature in 2027. Junior subordinated debentures associated with</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trust preferred securities that were included in average long-term borrowings were $524 million in 2019, $521 million in 2018 and $518</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million in 2017. Also included in long-term borrowings were agreements to repurchase securities, which averaged $245 million in 2019,</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$415 million in 2018 and $490 million during 2017. The repurchase agreement held at December 31, 2019 totaled $102 million and matures</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in 2020, however, the contractual maturities of the underlying securities extend beyond such repurchase date. Additional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regarding long-term borrowings, including information regarding contractual maturities of such borrowings, is provided in note 8 of Notes to</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Financial Statements.</w:t>
      </w:r>
    </w:p>
    <w:p>
      <w:pPr>
        <w:spacing w:after="0" w:line="7"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The Company has utilized interest rate swap agreements to modify the repricing characteristics of certain components of its loans and long-term debt. As of December 31, 2019, interest rate swap agreements were used as fair value hedges of approximately $3.8 billion of outstanding fixed rate long-term borrowings. Additionally, interest rate swap agreements with a notional amount of $13.4 billion were used as cash flow hedges of interest payments associated with variable rate commercial real estate loans. Further information on interest rate swap agreements is provided herein and in note 18 of Notes to Financial Statements.</w:t>
      </w:r>
    </w:p>
    <w:p>
      <w:pPr>
        <w:spacing w:after="0" w:line="4"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3.48% in 2019, compared with 3.55% in 2018 and 3.27% in 2017. The yield on the Company’s earning assets increased 20 basis points to 4.53% in 2019 from 4.33% in 2018 and the rate paid on interest-bearing liabilities increased 27 basis points to 1.05% in 2019 from .78% in 2018. During 2017, the yield on earning assets was 3.82% and the rate paid on interest-bearing liabilities was .55%. The higher rates earned on assets and paid on liabilities in each comparison predominantly reflect the effect of increases in short-term interest rates initiated by the Federal Reserve during 2017 and 2018, partially offset in 2019 by decreases in such rates initiated during 2019. The increase in rates paid in 2019 on interest-bearing liabilities also reflects higher rates paid on mortgage escrow deposits associated with growth in the Company’s residential mortgage servicing activities. The rates paid on those deposits are often indexed to the federal funds rate or LIBOR, and are higher than the rates paid on most other savings and interest-checking deposit accounts.</w:t>
      </w:r>
    </w:p>
    <w:p>
      <w:pPr>
        <w:spacing w:after="0" w:line="8" w:lineRule="exact"/>
        <w:rPr>
          <w:sz w:val="20"/>
          <w:szCs w:val="20"/>
          <w:color w:val="auto"/>
        </w:rPr>
      </w:pPr>
    </w:p>
    <w:p>
      <w:pPr>
        <w:ind w:right="80" w:firstLine="598"/>
        <w:spacing w:after="0" w:line="248" w:lineRule="auto"/>
        <w:rPr>
          <w:sz w:val="20"/>
          <w:szCs w:val="20"/>
          <w:color w:val="auto"/>
        </w:rPr>
      </w:pPr>
      <w:r>
        <w:rPr>
          <w:rFonts w:ascii="Arial" w:cs="Arial" w:eastAsia="Arial" w:hAnsi="Arial"/>
          <w:sz w:val="20"/>
          <w:szCs w:val="20"/>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$37.2 billion in 2019, compared with $39.1 billion in 2018 and $39.7 billion in 2017. The decreases in average net interest-free funds in 2019 as compared with 2018 and 2017 reflect declines in balances of noninterest-bearing deposits. Those deposits averaged $30.8 billion in 2019, $31.9 billion in 2018 and $32.5 billion in 2017. The declines in such balances since 2017 were largely due to lower levels of deposits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66" w:name="page67"/>
    <w:bookmarkEnd w:id="66"/>
    <w:p>
      <w:pPr>
        <w:spacing w:after="0" w:line="262" w:lineRule="auto"/>
        <w:rPr>
          <w:sz w:val="20"/>
          <w:szCs w:val="20"/>
          <w:color w:val="auto"/>
        </w:rPr>
      </w:pPr>
      <w:r>
        <w:rPr>
          <w:rFonts w:ascii="Arial" w:cs="Arial" w:eastAsia="Arial" w:hAnsi="Arial"/>
          <w:sz w:val="19"/>
          <w:szCs w:val="19"/>
          <w:color w:val="auto"/>
        </w:rPr>
        <w:t>of commercial and trust customers. Shareholders’ equity averaged $15.7 billion, $15.6 billion and $16.3 billion in 2019, 2018 and 2017, respectively. Those balances reflect the impact of common share repurchases as discussed herein under the heading “Capital.” Goodwill and core deposit and other intangible assets averaged $4.6 billion in 2019 and $4.7 billion in each of 2018 and 2017. The cash surrender value of bank owned life insurance averaged $1.8 billion in each of 2019, 2018 and 2017. Increases in the cash surrender value of bank owned life insurance are not included in interest income, but rather are recorded in “other revenues from operations.” The contribution of net interest-free funds to net interest margin was .36% in 2019, .28% in 2018 and .20% in 2017. The increases in that contribution since 2017 reflect the higher rates on interest-bearing liabilities used to value net interest-free funds.</w:t>
      </w:r>
    </w:p>
    <w:p>
      <w:pPr>
        <w:spacing w:after="0" w:line="4" w:lineRule="exact"/>
        <w:rPr>
          <w:sz w:val="20"/>
          <w:szCs w:val="20"/>
          <w:color w:val="auto"/>
        </w:rPr>
      </w:pPr>
    </w:p>
    <w:p>
      <w:pPr>
        <w:ind w:right="40" w:firstLine="598"/>
        <w:spacing w:after="0" w:line="246" w:lineRule="auto"/>
        <w:rPr>
          <w:sz w:val="20"/>
          <w:szCs w:val="20"/>
          <w:color w:val="auto"/>
        </w:rPr>
      </w:pPr>
      <w:r>
        <w:rPr>
          <w:rFonts w:ascii="Arial" w:cs="Arial" w:eastAsia="Arial" w:hAnsi="Arial"/>
          <w:sz w:val="20"/>
          <w:szCs w:val="20"/>
          <w:color w:val="auto"/>
        </w:rPr>
        <w:t>Reflecting the changes to the net interest spread and the contribution of net interest-free funds as described herein, the Company’s net interest margin was 3.84% in 2019, 3.83% in 2018 and 3.47% in 2017.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3"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earnings assets and interest-bearing liabilities. Periodic settlement amounts arising from these agreements are reflected in either the yields on earning assets or the rates paid on interest-bearing liabilities. The notional amount of interest rate swap agreements entered into for interest rate risk management purposes was $17.2 billion (excluding $40.4 billion of forward-starting swap agreements) at December 31, 2019, $7.3 billion (excluding $12.6 billion of forward-starting swap agreements) at December 31, 2018 and $7.4 billion (excluding $2.0 billion of forward-starting swap agreements) at December 31, 2017. Under the terms of those interest rate swap agreements, the Company received payments based on the outstanding notional amount at fixed rates and made payments at variable rates. At December 31, 2019, interest rate swap agreements with notional amounts of $13.35 billion were serving as cash flow hedges of interest payments associated with variable rate commercial real estate loans, compared with $2.85 billion at each of December 31, 2018 and 2017. At December 31, 2019, 2018 and 2017, interest swap agreements with notional amounts of $3.80 billion, $4.45 billion and $4.55 billion, respectively, were serving as fair value hedges of fixed rate long-term borrowings. The Company has entered into the forward-starting interest rate swap agreements predominantly to extend the term of its interest rate swap agreements serving as cash flow hedges, and provide a hedge against changing interest rates on certain of its variable rate loans.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67" w:name="page68"/>
    <w:bookmarkEnd w:id="67"/>
    <w:p>
      <w:pPr>
        <w:ind w:firstLine="598"/>
        <w:spacing w:after="0" w:line="278" w:lineRule="auto"/>
        <w:rPr>
          <w:sz w:val="20"/>
          <w:szCs w:val="20"/>
          <w:color w:val="auto"/>
        </w:rPr>
      </w:pPr>
      <w:r>
        <w:rPr>
          <w:rFonts w:ascii="Arial" w:cs="Arial" w:eastAsia="Arial" w:hAnsi="Arial"/>
          <w:sz w:val="18"/>
          <w:szCs w:val="18"/>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coincident with the Company’s adoption of amended hedge accounting guidance on January 1, 2018 is recorded as an adjustment to the interest income or interest expense of the respective hedged item. Prior to 2018, hedge ineffectiveness was recorded in “other revenues from operations” in the Company’s consolidated statement of income. In a cash flow hedge, the effective portion of the derivative’s gain or loss is initially reported as a component of other comprehensive income and subsequently reclassified into earnings when the forecasted transaction affects earnings. The ineffective portion of the derivative’s gain or loss on cash flow hedges is accounted for similar to that associated with fair value hedges. The amounts of hedge ineffectiveness recognized in 2019, 2018 and 2017 were not material to the Company’s consolidated results of operations. Information regarding the fair value of interest rate swap agreements and hedge ineffectiveness is presented in note 18 of Notes to Financial Statements. Information regarding the effective portion of cash flow hedges is presented in note 15 of Notes to Financial Statements. The changes in the fair values of the interest rate swap agreements and the hedged items primarily result from the effects of changing interest rates and spreads. The average notional amounts of interest rate swap agreements entered into for interest rate risk management purposes, the related effect on net interest income and margin, and the weighted-average interest rates paid or received on those swap agreements are presented in table 10.</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10</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INTEREST RATE SWAP AGREEMENTS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20" w:type="dxa"/>
            <w:vAlign w:val="bottom"/>
            <w:vMerge w:val="restart"/>
          </w:tcPr>
          <w:p>
            <w:pPr>
              <w:ind w:left="2200"/>
              <w:spacing w:after="0"/>
              <w:rPr>
                <w:sz w:val="20"/>
                <w:szCs w:val="20"/>
                <w:color w:val="auto"/>
              </w:rPr>
            </w:pPr>
            <w:r>
              <w:rPr>
                <w:rFonts w:ascii="Arial" w:cs="Arial" w:eastAsia="Arial" w:hAnsi="Arial"/>
                <w:sz w:val="14"/>
                <w:szCs w:val="14"/>
                <w:color w:val="auto"/>
              </w:rPr>
              <w:t>.</w:t>
            </w: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75"/>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42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left="321"/>
              <w:spacing w:after="0" w:line="151" w:lineRule="exact"/>
              <w:rPr>
                <w:sz w:val="20"/>
                <w:szCs w:val="20"/>
                <w:color w:val="auto"/>
              </w:rPr>
            </w:pPr>
            <w:r>
              <w:rPr>
                <w:rFonts w:ascii="Arial" w:cs="Arial" w:eastAsia="Arial" w:hAnsi="Arial"/>
                <w:sz w:val="14"/>
                <w:szCs w:val="14"/>
                <w:b w:val="1"/>
                <w:bCs w:val="1"/>
                <w:color w:val="auto"/>
                <w:w w:val="89"/>
              </w:rPr>
              <w:t>2018</w:t>
            </w:r>
          </w:p>
        </w:tc>
        <w:tc>
          <w:tcPr>
            <w:tcW w:w="5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220"/>
              <w:spacing w:after="0" w:line="151"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660"/>
              <w:spacing w:after="0" w:line="151" w:lineRule="exact"/>
              <w:rPr>
                <w:sz w:val="20"/>
                <w:szCs w:val="20"/>
                <w:color w:val="auto"/>
              </w:rPr>
            </w:pPr>
            <w:r>
              <w:rPr>
                <w:rFonts w:ascii="Arial" w:cs="Arial" w:eastAsia="Arial" w:hAnsi="Arial"/>
                <w:sz w:val="14"/>
                <w:szCs w:val="14"/>
                <w:b w:val="1"/>
                <w:bCs w:val="1"/>
                <w:color w:val="auto"/>
              </w:rPr>
              <w:t>Amount</w:t>
            </w:r>
          </w:p>
        </w:tc>
        <w:tc>
          <w:tcPr>
            <w:tcW w:w="5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6"/>
              </w:rPr>
              <w:t>Rate(a)</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640"/>
              <w:spacing w:after="0" w:line="151" w:lineRule="exact"/>
              <w:rPr>
                <w:sz w:val="20"/>
                <w:szCs w:val="20"/>
                <w:color w:val="auto"/>
              </w:rPr>
            </w:pPr>
            <w:r>
              <w:rPr>
                <w:rFonts w:ascii="Arial" w:cs="Arial" w:eastAsia="Arial" w:hAnsi="Arial"/>
                <w:sz w:val="14"/>
                <w:szCs w:val="14"/>
                <w:b w:val="1"/>
                <w:bCs w:val="1"/>
                <w:color w:val="auto"/>
              </w:rPr>
              <w:t>Amount</w:t>
            </w:r>
          </w:p>
        </w:tc>
        <w:tc>
          <w:tcPr>
            <w:tcW w:w="5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Rate(a)</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620"/>
              <w:spacing w:after="0" w:line="151" w:lineRule="exact"/>
              <w:rPr>
                <w:sz w:val="20"/>
                <w:szCs w:val="20"/>
                <w:color w:val="auto"/>
              </w:rPr>
            </w:pPr>
            <w:r>
              <w:rPr>
                <w:rFonts w:ascii="Arial" w:cs="Arial" w:eastAsia="Arial" w:hAnsi="Arial"/>
                <w:sz w:val="14"/>
                <w:szCs w:val="14"/>
                <w:b w:val="1"/>
                <w:bCs w:val="1"/>
                <w:color w:val="auto"/>
              </w:rPr>
              <w:t>Amount</w:t>
            </w:r>
          </w:p>
        </w:tc>
        <w:tc>
          <w:tcPr>
            <w:tcW w:w="5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Rate(a)</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3"/>
          </w:tcPr>
          <w:p>
            <w:pPr>
              <w:jc w:val="center"/>
              <w:ind w:right="75"/>
              <w:spacing w:after="0"/>
              <w:rPr>
                <w:sz w:val="20"/>
                <w:szCs w:val="20"/>
                <w:color w:val="auto"/>
              </w:rPr>
            </w:pPr>
            <w:r>
              <w:rPr>
                <w:rFonts w:ascii="Arial" w:cs="Arial" w:eastAsia="Arial" w:hAnsi="Arial"/>
                <w:sz w:val="14"/>
                <w:szCs w:val="14"/>
                <w:b w:val="1"/>
                <w:bCs w:val="1"/>
                <w:color w:val="auto"/>
                <w:w w:val="89"/>
              </w:rPr>
              <w:t>(Dollars in thousands)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w:t>
            </w: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13,011</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(13,339)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3,916</w:t>
            </w:r>
          </w:p>
        </w:tc>
        <w:tc>
          <w:tcPr>
            <w:tcW w:w="4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4"/>
        </w:trPr>
        <w:tc>
          <w:tcPr>
            <w:tcW w:w="3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15,136</w:t>
            </w:r>
          </w:p>
        </w:tc>
        <w:tc>
          <w:tcPr>
            <w:tcW w:w="4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11,418</w:t>
            </w:r>
          </w:p>
        </w:tc>
        <w:tc>
          <w:tcPr>
            <w:tcW w:w="4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(20,966)</w:t>
            </w: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ind w:left="240"/>
              <w:spacing w:after="0"/>
              <w:rPr>
                <w:sz w:val="20"/>
                <w:szCs w:val="20"/>
                <w:color w:val="auto"/>
              </w:rPr>
            </w:pPr>
            <w:r>
              <w:rPr>
                <w:rFonts w:ascii="Arial" w:cs="Arial" w:eastAsia="Arial" w:hAnsi="Arial"/>
                <w:sz w:val="18"/>
                <w:szCs w:val="18"/>
                <w:color w:val="auto"/>
              </w:rPr>
              <w:t>Net interest income/margin</w:t>
            </w: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36"/>
        </w:trPr>
        <w:tc>
          <w:tcPr>
            <w:tcW w:w="3420" w:type="dxa"/>
            <w:vAlign w:val="bottom"/>
            <w:vMerge w:val="continue"/>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(2,125)</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vMerge w:val="continue"/>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(24,757)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24,882</w:t>
            </w:r>
          </w:p>
        </w:tc>
        <w:tc>
          <w:tcPr>
            <w:tcW w:w="4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Average notional amount (c)</w:t>
            </w: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20" w:type="dxa"/>
            <w:vAlign w:val="bottom"/>
            <w:vMerge w:val="continue"/>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86"/>
              </w:rPr>
              <w:t>16,248,356</w:t>
            </w:r>
          </w:p>
        </w:tc>
        <w:tc>
          <w:tcPr>
            <w:tcW w:w="4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92"/>
              </w:rPr>
              <w:t>7,795,479</w:t>
            </w:r>
          </w:p>
        </w:tc>
        <w:tc>
          <w:tcPr>
            <w:tcW w:w="4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89"/>
              </w:rPr>
              <w:t>4,766,575</w:t>
            </w:r>
          </w:p>
        </w:tc>
        <w:tc>
          <w:tcPr>
            <w:tcW w:w="4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Rate received (b)</w:t>
            </w:r>
          </w:p>
        </w:tc>
        <w:tc>
          <w:tcPr>
            <w:tcW w:w="1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2.40</w:t>
            </w:r>
          </w:p>
        </w:tc>
        <w:tc>
          <w:tcPr>
            <w:tcW w:w="3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2.09</w:t>
            </w:r>
          </w:p>
        </w:tc>
        <w:tc>
          <w:tcPr>
            <w:tcW w:w="3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2.30</w:t>
            </w: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03"/>
        </w:trPr>
        <w:tc>
          <w:tcPr>
            <w:tcW w:w="342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Rate paid (b)</w:t>
            </w:r>
          </w:p>
        </w:tc>
        <w:tc>
          <w:tcPr>
            <w:tcW w:w="1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600" w:hanging="595"/>
        <w:spacing w:after="0"/>
        <w:tabs>
          <w:tab w:leader="none" w:pos="600" w:val="left"/>
        </w:tabs>
        <w:numPr>
          <w:ilvl w:val="0"/>
          <w:numId w:val="26"/>
        </w:numPr>
        <w:rPr>
          <w:rFonts w:ascii="Arial" w:cs="Arial" w:eastAsia="Arial" w:hAnsi="Arial"/>
          <w:sz w:val="20"/>
          <w:szCs w:val="20"/>
          <w:i w:val="1"/>
          <w:iCs w:val="1"/>
          <w:color w:val="auto"/>
        </w:rPr>
      </w:pPr>
      <w:r>
        <w:rPr>
          <w:rFonts w:ascii="Arial" w:cs="Arial" w:eastAsia="Arial" w:hAnsi="Arial"/>
          <w:sz w:val="20"/>
          <w:szCs w:val="20"/>
          <w:i w:val="1"/>
          <w:iCs w:val="1"/>
          <w:color w:val="auto"/>
        </w:rPr>
        <w:t>Computed as a percentage of average earning assets or interest-bearing liabilities.</w:t>
      </w:r>
    </w:p>
    <w:p>
      <w:pPr>
        <w:spacing w:after="0" w:line="24" w:lineRule="exact"/>
        <w:rPr>
          <w:rFonts w:ascii="Arial" w:cs="Arial" w:eastAsia="Arial" w:hAnsi="Arial"/>
          <w:sz w:val="20"/>
          <w:szCs w:val="20"/>
          <w:i w:val="1"/>
          <w:iCs w:val="1"/>
          <w:color w:val="auto"/>
        </w:rPr>
      </w:pPr>
    </w:p>
    <w:p>
      <w:pPr>
        <w:ind w:left="600" w:hanging="595"/>
        <w:spacing w:after="0"/>
        <w:tabs>
          <w:tab w:leader="none" w:pos="600" w:val="left"/>
        </w:tabs>
        <w:numPr>
          <w:ilvl w:val="0"/>
          <w:numId w:val="26"/>
        </w:numPr>
        <w:rPr>
          <w:rFonts w:ascii="Arial" w:cs="Arial" w:eastAsia="Arial" w:hAnsi="Arial"/>
          <w:sz w:val="20"/>
          <w:szCs w:val="20"/>
          <w:i w:val="1"/>
          <w:iCs w:val="1"/>
          <w:color w:val="auto"/>
        </w:rPr>
      </w:pPr>
      <w:r>
        <w:rPr>
          <w:rFonts w:ascii="Arial" w:cs="Arial" w:eastAsia="Arial" w:hAnsi="Arial"/>
          <w:sz w:val="20"/>
          <w:szCs w:val="20"/>
          <w:i w:val="1"/>
          <w:iCs w:val="1"/>
          <w:color w:val="auto"/>
        </w:rPr>
        <w:t>Weighted-average rate paid or received on interest rate swap agreements in effect during year.</w:t>
      </w:r>
    </w:p>
    <w:p>
      <w:pPr>
        <w:spacing w:after="0" w:line="6" w:lineRule="exact"/>
        <w:rPr>
          <w:rFonts w:ascii="Arial" w:cs="Arial" w:eastAsia="Arial" w:hAnsi="Arial"/>
          <w:sz w:val="20"/>
          <w:szCs w:val="20"/>
          <w:i w:val="1"/>
          <w:iCs w:val="1"/>
          <w:color w:val="auto"/>
        </w:rPr>
      </w:pPr>
    </w:p>
    <w:p>
      <w:pPr>
        <w:ind w:left="600" w:hanging="595"/>
        <w:spacing w:after="0"/>
        <w:tabs>
          <w:tab w:leader="none" w:pos="600" w:val="left"/>
        </w:tabs>
        <w:numPr>
          <w:ilvl w:val="0"/>
          <w:numId w:val="26"/>
        </w:numPr>
        <w:rPr>
          <w:rFonts w:ascii="Arial" w:cs="Arial" w:eastAsia="Arial" w:hAnsi="Arial"/>
          <w:sz w:val="20"/>
          <w:szCs w:val="20"/>
          <w:i w:val="1"/>
          <w:iCs w:val="1"/>
          <w:color w:val="auto"/>
        </w:rPr>
      </w:pPr>
      <w:r>
        <w:rPr>
          <w:rFonts w:ascii="Arial" w:cs="Arial" w:eastAsia="Arial" w:hAnsi="Arial"/>
          <w:sz w:val="20"/>
          <w:szCs w:val="20"/>
          <w:i w:val="1"/>
          <w:iCs w:val="1"/>
          <w:color w:val="auto"/>
        </w:rPr>
        <w:t>Excludes forward-starting interest rate swap agreements not in effect during the year.</w:t>
      </w:r>
    </w:p>
    <w:p>
      <w:pPr>
        <w:spacing w:after="0" w:line="186" w:lineRule="exact"/>
        <w:rPr>
          <w:sz w:val="20"/>
          <w:szCs w:val="20"/>
          <w:color w:val="auto"/>
        </w:rPr>
      </w:pPr>
    </w:p>
    <w:p>
      <w:pPr>
        <w:ind w:right="100" w:firstLine="598"/>
        <w:spacing w:after="0" w:line="268" w:lineRule="auto"/>
        <w:rPr>
          <w:sz w:val="20"/>
          <w:szCs w:val="20"/>
          <w:color w:val="auto"/>
        </w:rPr>
      </w:pPr>
      <w:r>
        <w:rPr>
          <w:rFonts w:ascii="Arial" w:cs="Arial" w:eastAsia="Arial" w:hAnsi="Arial"/>
          <w:sz w:val="19"/>
          <w:szCs w:val="19"/>
          <w:color w:val="auto"/>
        </w:rPr>
        <w:t>In addition to interest rate swap agreements, the Company has entered into interest rate floor agreements that are accounted for in the trading account rather than as hedging instruments but, nevertheless, provide the Company with protection against the possibility of future declines in interest rates on its earning assets. Outstanding notional amounts of such agreements totaled $15.6 billion at each of December 31, 2019 and December 31, 2018 and $6.3 billion at December 31, 2017. The agreements outstanding at the 2019 year-end matured in January and February 2020. The fair value of the interest rate floor agreements was $362 thousand at December 31, 2019, $1.9 million at December 31, 2018 and $3.7 million at December 31, 2017 and was included in trading account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8" w:name="page69"/>
    <w:bookmarkEnd w:id="68"/>
    <w:p>
      <w:pPr>
        <w:ind w:right="700"/>
        <w:spacing w:after="0" w:line="275" w:lineRule="auto"/>
        <w:rPr>
          <w:sz w:val="20"/>
          <w:szCs w:val="20"/>
          <w:color w:val="auto"/>
        </w:rPr>
      </w:pPr>
      <w:r>
        <w:rPr>
          <w:rFonts w:ascii="Arial" w:cs="Arial" w:eastAsia="Arial" w:hAnsi="Arial"/>
          <w:sz w:val="20"/>
          <w:szCs w:val="20"/>
          <w:color w:val="auto"/>
        </w:rPr>
        <w:t>assets in the consolidated balance sheet. Changes in the fair value of those agreements were recorded as “trading account and foreign exchange gains” in the consolidated statement of income.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Provision for Credit Losses</w:t>
      </w:r>
    </w:p>
    <w:p>
      <w:pPr>
        <w:spacing w:after="0" w:line="29" w:lineRule="exact"/>
        <w:rPr>
          <w:sz w:val="20"/>
          <w:szCs w:val="20"/>
          <w:color w:val="auto"/>
        </w:rPr>
      </w:pPr>
    </w:p>
    <w:p>
      <w:pPr>
        <w:ind w:right="40"/>
        <w:spacing w:after="0" w:line="281" w:lineRule="auto"/>
        <w:rPr>
          <w:sz w:val="20"/>
          <w:szCs w:val="20"/>
          <w:color w:val="auto"/>
        </w:rPr>
      </w:pPr>
      <w:r>
        <w:rPr>
          <w:rFonts w:ascii="Arial" w:cs="Arial" w:eastAsia="Arial" w:hAnsi="Arial"/>
          <w:sz w:val="18"/>
          <w:szCs w:val="18"/>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was $176 million in 2019, compared with $132 million in 2018 and $168 million in 2017. Net charge-offs of loans were $144 million in 2019, $130 million in 2018 and $140 million in 2017. Net charge-offs as a percentage of average loans and leases outstanding were .16% in each of 2019 and 2017, compared with .15% in 2018. A summary of the Company’s loan charge-offs, provision and allowance for credit losses is presented in table 11 and in note 4 of Notes to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LOAN CHARGE-OFFS, PROVISION AND ALLOWANCE FOR CREDIT LOSSES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00" w:type="dxa"/>
            <w:vAlign w:val="bottom"/>
          </w:tcPr>
          <w:p>
            <w:pPr>
              <w:spacing w:after="0"/>
              <w:rPr>
                <w:sz w:val="14"/>
                <w:szCs w:val="14"/>
                <w:color w:val="auto"/>
              </w:rPr>
            </w:pPr>
          </w:p>
        </w:tc>
        <w:tc>
          <w:tcPr>
            <w:tcW w:w="23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900" w:type="dxa"/>
            <w:vAlign w:val="bottom"/>
          </w:tcPr>
          <w:p>
            <w:pPr>
              <w:jc w:val="right"/>
              <w:ind w:right="229"/>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29"/>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29"/>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29"/>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r>
      <w:tr>
        <w:trPr>
          <w:trHeight w:val="151"/>
        </w:trPr>
        <w:tc>
          <w:tcPr>
            <w:tcW w:w="4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5"/>
          </w:tcPr>
          <w:p>
            <w:pPr>
              <w:jc w:val="right"/>
              <w:ind w:right="80"/>
              <w:spacing w:after="0" w:line="151"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201"/>
        </w:trPr>
        <w:tc>
          <w:tcPr>
            <w:tcW w:w="420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rPr>
              <w:t>Allowance for credit losses beginning</w:t>
            </w:r>
          </w:p>
        </w:tc>
        <w:tc>
          <w:tcPr>
            <w:tcW w:w="14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32"/>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balance</w:t>
            </w:r>
          </w:p>
        </w:tc>
        <w:tc>
          <w:tcPr>
            <w:tcW w:w="2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$ 1,019,444</w:t>
            </w: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$ 1,017,198</w:t>
            </w:r>
          </w:p>
        </w:tc>
        <w:tc>
          <w:tcPr>
            <w:tcW w:w="2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988,997</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955,992</w:t>
            </w:r>
          </w:p>
        </w:tc>
        <w:tc>
          <w:tcPr>
            <w:tcW w:w="2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919,562</w:t>
            </w:r>
          </w:p>
        </w:tc>
        <w:tc>
          <w:tcPr>
            <w:tcW w:w="160" w:type="dxa"/>
            <w:vAlign w:val="bottom"/>
            <w:shd w:val="clear" w:color="auto" w:fill="CFF0FC"/>
          </w:tcPr>
          <w:p>
            <w:pPr>
              <w:spacing w:after="0"/>
              <w:rPr>
                <w:sz w:val="20"/>
                <w:szCs w:val="20"/>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Charge-offs during year</w:t>
            </w: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1"/>
        </w:trPr>
        <w:tc>
          <w:tcPr>
            <w:tcW w:w="4200" w:type="dxa"/>
            <w:vAlign w:val="bottom"/>
            <w:shd w:val="clear" w:color="auto" w:fill="CFF0FC"/>
          </w:tcPr>
          <w:p>
            <w:pPr>
              <w:ind w:left="240"/>
              <w:spacing w:after="0" w:line="201" w:lineRule="exact"/>
              <w:rPr>
                <w:sz w:val="20"/>
                <w:szCs w:val="20"/>
                <w:color w:val="auto"/>
              </w:rPr>
            </w:pPr>
            <w:r>
              <w:rPr>
                <w:rFonts w:ascii="Arial" w:cs="Arial" w:eastAsia="Arial" w:hAnsi="Arial"/>
                <w:sz w:val="18"/>
                <w:szCs w:val="18"/>
                <w:color w:val="auto"/>
              </w:rPr>
              <w:t>Commercial, financial,</w:t>
            </w:r>
          </w:p>
        </w:tc>
        <w:tc>
          <w:tcPr>
            <w:tcW w:w="14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32"/>
        </w:trPr>
        <w:tc>
          <w:tcPr>
            <w:tcW w:w="4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leasing, etc.</w:t>
            </w:r>
          </w:p>
        </w:tc>
        <w:tc>
          <w:tcPr>
            <w:tcW w:w="2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58,244</w:t>
            </w: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60,414</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64,941</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59,244</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60,983</w:t>
            </w:r>
          </w:p>
        </w:tc>
        <w:tc>
          <w:tcPr>
            <w:tcW w:w="160" w:type="dxa"/>
            <w:vAlign w:val="bottom"/>
            <w:shd w:val="clear" w:color="auto" w:fill="CFF0FC"/>
          </w:tcPr>
          <w:p>
            <w:pPr>
              <w:spacing w:after="0"/>
              <w:rPr>
                <w:sz w:val="20"/>
                <w:szCs w:val="20"/>
                <w:color w:val="auto"/>
              </w:rPr>
            </w:pPr>
          </w:p>
        </w:tc>
      </w:tr>
      <w:tr>
        <w:trPr>
          <w:trHeight w:val="223"/>
        </w:trPr>
        <w:tc>
          <w:tcPr>
            <w:tcW w:w="4200" w:type="dxa"/>
            <w:vAlign w:val="bottom"/>
          </w:tcPr>
          <w:p>
            <w:pPr>
              <w:ind w:left="240"/>
              <w:spacing w:after="0"/>
              <w:rPr>
                <w:sz w:val="20"/>
                <w:szCs w:val="20"/>
                <w:color w:val="auto"/>
              </w:rPr>
            </w:pPr>
            <w:r>
              <w:rPr>
                <w:rFonts w:ascii="Arial" w:cs="Arial" w:eastAsia="Arial" w:hAnsi="Arial"/>
                <w:sz w:val="18"/>
                <w:szCs w:val="18"/>
                <w:color w:val="auto"/>
              </w:rPr>
              <w:t>Real estate — construction</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10,280</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3,221</w:t>
            </w:r>
          </w:p>
        </w:tc>
        <w:tc>
          <w:tcPr>
            <w:tcW w:w="160" w:type="dxa"/>
            <w:vAlign w:val="bottom"/>
          </w:tcPr>
          <w:p>
            <w:pPr>
              <w:spacing w:after="0"/>
              <w:rPr>
                <w:sz w:val="19"/>
                <w:szCs w:val="19"/>
                <w:color w:val="auto"/>
              </w:rPr>
            </w:pPr>
          </w:p>
        </w:tc>
      </w:tr>
      <w:tr>
        <w:trPr>
          <w:trHeight w:val="223"/>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Real estate — mortgage</w:t>
            </w:r>
          </w:p>
        </w:tc>
        <w:tc>
          <w:tcPr>
            <w:tcW w:w="2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15,095</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27,369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28,463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30,801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26,382</w:t>
            </w:r>
          </w:p>
        </w:tc>
        <w:tc>
          <w:tcPr>
            <w:tcW w:w="160" w:type="dxa"/>
            <w:vAlign w:val="bottom"/>
            <w:shd w:val="clear" w:color="auto" w:fill="CFF0FC"/>
          </w:tcPr>
          <w:p>
            <w:pPr>
              <w:spacing w:after="0"/>
              <w:rPr>
                <w:sz w:val="19"/>
                <w:szCs w:val="19"/>
                <w:color w:val="auto"/>
              </w:rPr>
            </w:pPr>
          </w:p>
        </w:tc>
      </w:tr>
      <w:tr>
        <w:trPr>
          <w:trHeight w:val="223"/>
        </w:trPr>
        <w:tc>
          <w:tcPr>
            <w:tcW w:w="4200" w:type="dxa"/>
            <w:vAlign w:val="bottom"/>
          </w:tcPr>
          <w:p>
            <w:pPr>
              <w:ind w:left="240"/>
              <w:spacing w:after="0"/>
              <w:rPr>
                <w:sz w:val="20"/>
                <w:szCs w:val="20"/>
                <w:color w:val="auto"/>
              </w:rPr>
            </w:pPr>
            <w:r>
              <w:rPr>
                <w:rFonts w:ascii="Arial" w:cs="Arial" w:eastAsia="Arial" w:hAnsi="Arial"/>
                <w:sz w:val="18"/>
                <w:szCs w:val="18"/>
                <w:color w:val="auto"/>
              </w:rPr>
              <w:t>Consumer</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154,089</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143,196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130,927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141,073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107,787</w:t>
            </w:r>
          </w:p>
        </w:tc>
        <w:tc>
          <w:tcPr>
            <w:tcW w:w="160" w:type="dxa"/>
            <w:vAlign w:val="bottom"/>
          </w:tcPr>
          <w:p>
            <w:pPr>
              <w:spacing w:after="0"/>
              <w:rPr>
                <w:sz w:val="19"/>
                <w:szCs w:val="19"/>
                <w:color w:val="auto"/>
              </w:rPr>
            </w:pPr>
          </w:p>
        </w:tc>
      </w:tr>
      <w:tr>
        <w:trPr>
          <w:trHeight w:val="217"/>
        </w:trPr>
        <w:tc>
          <w:tcPr>
            <w:tcW w:w="42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charge-offs</w:t>
            </w:r>
          </w:p>
        </w:tc>
        <w:tc>
          <w:tcPr>
            <w:tcW w:w="14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237,708</w:t>
            </w:r>
          </w:p>
        </w:tc>
        <w:tc>
          <w:tcPr>
            <w:tcW w:w="2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231,241</w:t>
            </w: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224,598</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231,255</w:t>
            </w: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198,373</w:t>
            </w:r>
          </w:p>
        </w:tc>
        <w:tc>
          <w:tcPr>
            <w:tcW w:w="160" w:type="dxa"/>
            <w:vAlign w:val="bottom"/>
            <w:tcBorders>
              <w:top w:val="single" w:sz="8" w:color="CFF0FC"/>
            </w:tcBorders>
            <w:shd w:val="clear" w:color="auto" w:fill="CFF0FC"/>
          </w:tcPr>
          <w:p>
            <w:pPr>
              <w:spacing w:after="0"/>
              <w:rPr>
                <w:sz w:val="18"/>
                <w:szCs w:val="18"/>
                <w:color w:val="auto"/>
              </w:rPr>
            </w:pPr>
          </w:p>
        </w:tc>
      </w:tr>
      <w:tr>
        <w:trPr>
          <w:trHeight w:val="217"/>
        </w:trPr>
        <w:tc>
          <w:tcPr>
            <w:tcW w:w="4200" w:type="dxa"/>
            <w:vAlign w:val="bottom"/>
          </w:tcPr>
          <w:p>
            <w:pPr>
              <w:spacing w:after="0"/>
              <w:rPr>
                <w:sz w:val="20"/>
                <w:szCs w:val="20"/>
                <w:color w:val="auto"/>
              </w:rPr>
            </w:pPr>
            <w:r>
              <w:rPr>
                <w:rFonts w:ascii="Arial" w:cs="Arial" w:eastAsia="Arial" w:hAnsi="Arial"/>
                <w:sz w:val="18"/>
                <w:szCs w:val="18"/>
                <w:color w:val="auto"/>
              </w:rPr>
              <w:t>Recoveries during year</w:t>
            </w: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1"/>
        </w:trPr>
        <w:tc>
          <w:tcPr>
            <w:tcW w:w="4200" w:type="dxa"/>
            <w:vAlign w:val="bottom"/>
            <w:shd w:val="clear" w:color="auto" w:fill="CFF0FC"/>
          </w:tcPr>
          <w:p>
            <w:pPr>
              <w:ind w:left="240"/>
              <w:spacing w:after="0" w:line="201" w:lineRule="exact"/>
              <w:rPr>
                <w:sz w:val="20"/>
                <w:szCs w:val="20"/>
                <w:color w:val="auto"/>
              </w:rPr>
            </w:pPr>
            <w:r>
              <w:rPr>
                <w:rFonts w:ascii="Arial" w:cs="Arial" w:eastAsia="Arial" w:hAnsi="Arial"/>
                <w:sz w:val="18"/>
                <w:szCs w:val="18"/>
                <w:color w:val="auto"/>
              </w:rPr>
              <w:t>Commercial, financial,</w:t>
            </w:r>
          </w:p>
        </w:tc>
        <w:tc>
          <w:tcPr>
            <w:tcW w:w="14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32"/>
        </w:trPr>
        <w:tc>
          <w:tcPr>
            <w:tcW w:w="4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leasing, etc.</w:t>
            </w:r>
          </w:p>
        </w:tc>
        <w:tc>
          <w:tcPr>
            <w:tcW w:w="2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24,581</w:t>
            </w: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27,903</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21,196</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30,167</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30,284</w:t>
            </w:r>
          </w:p>
        </w:tc>
        <w:tc>
          <w:tcPr>
            <w:tcW w:w="160" w:type="dxa"/>
            <w:vAlign w:val="bottom"/>
            <w:shd w:val="clear" w:color="auto" w:fill="CFF0FC"/>
          </w:tcPr>
          <w:p>
            <w:pPr>
              <w:spacing w:after="0"/>
              <w:rPr>
                <w:sz w:val="20"/>
                <w:szCs w:val="20"/>
                <w:color w:val="auto"/>
              </w:rPr>
            </w:pPr>
          </w:p>
        </w:tc>
      </w:tr>
      <w:tr>
        <w:trPr>
          <w:trHeight w:val="223"/>
        </w:trPr>
        <w:tc>
          <w:tcPr>
            <w:tcW w:w="4200" w:type="dxa"/>
            <w:vAlign w:val="bottom"/>
          </w:tcPr>
          <w:p>
            <w:pPr>
              <w:ind w:left="240"/>
              <w:spacing w:after="0"/>
              <w:rPr>
                <w:sz w:val="20"/>
                <w:szCs w:val="20"/>
                <w:color w:val="auto"/>
              </w:rPr>
            </w:pPr>
            <w:r>
              <w:rPr>
                <w:rFonts w:ascii="Arial" w:cs="Arial" w:eastAsia="Arial" w:hAnsi="Arial"/>
                <w:sz w:val="18"/>
                <w:szCs w:val="18"/>
                <w:color w:val="auto"/>
              </w:rPr>
              <w:t>Real estate — construction</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1,355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19,379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8,894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4,062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6,308</w:t>
            </w:r>
          </w:p>
        </w:tc>
        <w:tc>
          <w:tcPr>
            <w:tcW w:w="160" w:type="dxa"/>
            <w:vAlign w:val="bottom"/>
          </w:tcPr>
          <w:p>
            <w:pPr>
              <w:spacing w:after="0"/>
              <w:rPr>
                <w:sz w:val="19"/>
                <w:szCs w:val="19"/>
                <w:color w:val="auto"/>
              </w:rPr>
            </w:pPr>
          </w:p>
        </w:tc>
      </w:tr>
      <w:tr>
        <w:trPr>
          <w:trHeight w:val="223"/>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Real estate — mortgage</w:t>
            </w:r>
          </w:p>
        </w:tc>
        <w:tc>
          <w:tcPr>
            <w:tcW w:w="2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10,785</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7,626</w:t>
            </w:r>
          </w:p>
        </w:tc>
        <w:tc>
          <w:tcPr>
            <w:tcW w:w="160" w:type="dxa"/>
            <w:vAlign w:val="bottom"/>
            <w:shd w:val="clear" w:color="auto" w:fill="CFF0FC"/>
          </w:tcPr>
          <w:p>
            <w:pPr>
              <w:spacing w:after="0"/>
              <w:rPr>
                <w:sz w:val="19"/>
                <w:szCs w:val="19"/>
                <w:color w:val="auto"/>
              </w:rPr>
            </w:pPr>
          </w:p>
        </w:tc>
      </w:tr>
      <w:tr>
        <w:trPr>
          <w:trHeight w:val="223"/>
        </w:trPr>
        <w:tc>
          <w:tcPr>
            <w:tcW w:w="4200" w:type="dxa"/>
            <w:vAlign w:val="bottom"/>
          </w:tcPr>
          <w:p>
            <w:pPr>
              <w:ind w:left="240"/>
              <w:spacing w:after="0"/>
              <w:rPr>
                <w:sz w:val="20"/>
                <w:szCs w:val="20"/>
                <w:color w:val="auto"/>
              </w:rPr>
            </w:pPr>
            <w:r>
              <w:rPr>
                <w:rFonts w:ascii="Arial" w:cs="Arial" w:eastAsia="Arial" w:hAnsi="Arial"/>
                <w:sz w:val="18"/>
                <w:szCs w:val="18"/>
                <w:color w:val="auto"/>
              </w:rPr>
              <w:t>Consumer</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56,614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45,883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42,038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28,907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20,585</w:t>
            </w:r>
          </w:p>
        </w:tc>
        <w:tc>
          <w:tcPr>
            <w:tcW w:w="160" w:type="dxa"/>
            <w:vAlign w:val="bottom"/>
          </w:tcPr>
          <w:p>
            <w:pPr>
              <w:spacing w:after="0"/>
              <w:rPr>
                <w:sz w:val="19"/>
                <w:szCs w:val="19"/>
                <w:color w:val="auto"/>
              </w:rPr>
            </w:pPr>
          </w:p>
        </w:tc>
      </w:tr>
      <w:tr>
        <w:trPr>
          <w:trHeight w:val="217"/>
        </w:trPr>
        <w:tc>
          <w:tcPr>
            <w:tcW w:w="42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recoveries</w:t>
            </w:r>
          </w:p>
        </w:tc>
        <w:tc>
          <w:tcPr>
            <w:tcW w:w="14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93,335</w:t>
            </w:r>
          </w:p>
        </w:tc>
        <w:tc>
          <w:tcPr>
            <w:tcW w:w="2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101,487</w:t>
            </w: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84,799</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74,260</w:t>
            </w: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64,803</w:t>
            </w:r>
          </w:p>
        </w:tc>
        <w:tc>
          <w:tcPr>
            <w:tcW w:w="160" w:type="dxa"/>
            <w:vAlign w:val="bottom"/>
            <w:tcBorders>
              <w:top w:val="single" w:sz="8" w:color="CFF0FC"/>
            </w:tcBorders>
            <w:shd w:val="clear" w:color="auto" w:fill="CFF0FC"/>
          </w:tcPr>
          <w:p>
            <w:pPr>
              <w:spacing w:after="0"/>
              <w:rPr>
                <w:sz w:val="18"/>
                <w:szCs w:val="18"/>
                <w:color w:val="auto"/>
              </w:rPr>
            </w:pPr>
          </w:p>
        </w:tc>
      </w:tr>
      <w:tr>
        <w:trPr>
          <w:trHeight w:val="217"/>
        </w:trPr>
        <w:tc>
          <w:tcPr>
            <w:tcW w:w="4200" w:type="dxa"/>
            <w:vAlign w:val="bottom"/>
          </w:tcPr>
          <w:p>
            <w:pPr>
              <w:spacing w:after="0"/>
              <w:rPr>
                <w:sz w:val="20"/>
                <w:szCs w:val="20"/>
                <w:color w:val="auto"/>
              </w:rPr>
            </w:pPr>
            <w:r>
              <w:rPr>
                <w:rFonts w:ascii="Arial" w:cs="Arial" w:eastAsia="Arial" w:hAnsi="Arial"/>
                <w:sz w:val="18"/>
                <w:szCs w:val="18"/>
                <w:color w:val="auto"/>
              </w:rPr>
              <w:t>Net charge-offs</w:t>
            </w:r>
          </w:p>
        </w:tc>
        <w:tc>
          <w:tcPr>
            <w:tcW w:w="1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144,373</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129,754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139,799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156,995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133,570</w:t>
            </w:r>
          </w:p>
        </w:tc>
        <w:tc>
          <w:tcPr>
            <w:tcW w:w="160" w:type="dxa"/>
            <w:vAlign w:val="bottom"/>
          </w:tcPr>
          <w:p>
            <w:pPr>
              <w:spacing w:after="0"/>
              <w:rPr>
                <w:sz w:val="18"/>
                <w:szCs w:val="18"/>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2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176,000</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132,000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190,000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170,000</w:t>
            </w:r>
          </w:p>
        </w:tc>
        <w:tc>
          <w:tcPr>
            <w:tcW w:w="160" w:type="dxa"/>
            <w:vAlign w:val="bottom"/>
            <w:shd w:val="clear" w:color="auto" w:fill="CFF0FC"/>
          </w:tcPr>
          <w:p>
            <w:pPr>
              <w:spacing w:after="0"/>
              <w:rPr>
                <w:sz w:val="19"/>
                <w:szCs w:val="19"/>
                <w:color w:val="auto"/>
              </w:rPr>
            </w:pPr>
          </w:p>
        </w:tc>
      </w:tr>
      <w:tr>
        <w:trPr>
          <w:trHeight w:val="194"/>
        </w:trPr>
        <w:tc>
          <w:tcPr>
            <w:tcW w:w="4200" w:type="dxa"/>
            <w:vAlign w:val="bottom"/>
          </w:tcPr>
          <w:p>
            <w:pPr>
              <w:spacing w:after="0" w:line="195" w:lineRule="exact"/>
              <w:rPr>
                <w:sz w:val="20"/>
                <w:szCs w:val="20"/>
                <w:color w:val="auto"/>
              </w:rPr>
            </w:pPr>
            <w:r>
              <w:rPr>
                <w:rFonts w:ascii="Arial" w:cs="Arial" w:eastAsia="Arial" w:hAnsi="Arial"/>
                <w:sz w:val="18"/>
                <w:szCs w:val="18"/>
                <w:color w:val="auto"/>
              </w:rPr>
              <w:t>Allowance for credit losses ending</w:t>
            </w:r>
          </w:p>
        </w:tc>
        <w:tc>
          <w:tcPr>
            <w:tcW w:w="14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72"/>
        </w:trPr>
        <w:tc>
          <w:tcPr>
            <w:tcW w:w="4200" w:type="dxa"/>
            <w:vAlign w:val="bottom"/>
          </w:tcPr>
          <w:p>
            <w:pPr>
              <w:ind w:left="140"/>
              <w:spacing w:after="0"/>
              <w:rPr>
                <w:sz w:val="20"/>
                <w:szCs w:val="20"/>
                <w:color w:val="auto"/>
              </w:rPr>
            </w:pPr>
            <w:r>
              <w:rPr>
                <w:rFonts w:ascii="Arial" w:cs="Arial" w:eastAsia="Arial" w:hAnsi="Arial"/>
                <w:sz w:val="18"/>
                <w:szCs w:val="18"/>
                <w:color w:val="auto"/>
              </w:rPr>
              <w:t>balance</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$ 1,051,071</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2"/>
              </w:rPr>
              <w:t>$ 1,019,444</w:t>
            </w:r>
          </w:p>
        </w:tc>
        <w:tc>
          <w:tcPr>
            <w:tcW w:w="220" w:type="dxa"/>
            <w:vAlign w:val="bottom"/>
          </w:tcPr>
          <w:p>
            <w:pPr>
              <w:spacing w:after="0"/>
              <w:rPr>
                <w:sz w:val="23"/>
                <w:szCs w:val="23"/>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1,017,198</w:t>
            </w:r>
          </w:p>
        </w:tc>
        <w:tc>
          <w:tcPr>
            <w:tcW w:w="280" w:type="dxa"/>
            <w:vAlign w:val="bottom"/>
          </w:tcPr>
          <w:p>
            <w:pPr>
              <w:spacing w:after="0"/>
              <w:rPr>
                <w:sz w:val="23"/>
                <w:szCs w:val="23"/>
                <w:color w:val="auto"/>
              </w:rPr>
            </w:pPr>
          </w:p>
        </w:tc>
        <w:tc>
          <w:tcPr>
            <w:tcW w:w="200" w:type="dxa"/>
            <w:vAlign w:val="bottom"/>
          </w:tcPr>
          <w:p>
            <w:pPr>
              <w:jc w:val="right"/>
              <w:ind w:right="8"/>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988,997</w:t>
            </w:r>
          </w:p>
        </w:tc>
        <w:tc>
          <w:tcPr>
            <w:tcW w:w="220" w:type="dxa"/>
            <w:vAlign w:val="bottom"/>
          </w:tcPr>
          <w:p>
            <w:pPr>
              <w:spacing w:after="0"/>
              <w:rPr>
                <w:sz w:val="23"/>
                <w:szCs w:val="23"/>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955,992</w:t>
            </w:r>
          </w:p>
        </w:tc>
        <w:tc>
          <w:tcPr>
            <w:tcW w:w="160" w:type="dxa"/>
            <w:vAlign w:val="bottom"/>
          </w:tcPr>
          <w:p>
            <w:pPr>
              <w:spacing w:after="0"/>
              <w:rPr>
                <w:sz w:val="23"/>
                <w:szCs w:val="23"/>
                <w:color w:val="auto"/>
              </w:rPr>
            </w:pPr>
          </w:p>
        </w:tc>
      </w:tr>
      <w:tr>
        <w:trPr>
          <w:trHeight w:val="203"/>
        </w:trPr>
        <w:tc>
          <w:tcPr>
            <w:tcW w:w="420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Net charge-offs as a percent of:</w:t>
            </w:r>
          </w:p>
        </w:tc>
        <w:tc>
          <w:tcPr>
            <w:tcW w:w="142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r>
      <w:tr>
        <w:trPr>
          <w:trHeight w:val="223"/>
        </w:trPr>
        <w:tc>
          <w:tcPr>
            <w:tcW w:w="4200" w:type="dxa"/>
            <w:vAlign w:val="bottom"/>
          </w:tcPr>
          <w:p>
            <w:pPr>
              <w:ind w:left="240"/>
              <w:spacing w:after="0"/>
              <w:rPr>
                <w:sz w:val="20"/>
                <w:szCs w:val="20"/>
                <w:color w:val="auto"/>
              </w:rPr>
            </w:pPr>
            <w:r>
              <w:rPr>
                <w:rFonts w:ascii="Arial" w:cs="Arial" w:eastAsia="Arial" w:hAnsi="Arial"/>
                <w:sz w:val="18"/>
                <w:szCs w:val="18"/>
                <w:color w:val="auto"/>
              </w:rPr>
              <w:t>Provision for credit losses</w:t>
            </w:r>
          </w:p>
        </w:tc>
        <w:tc>
          <w:tcPr>
            <w:tcW w:w="2600" w:type="dxa"/>
            <w:vAlign w:val="bottom"/>
            <w:gridSpan w:val="3"/>
          </w:tcPr>
          <w:p>
            <w:pPr>
              <w:jc w:val="right"/>
              <w:ind w:right="120"/>
              <w:spacing w:after="0"/>
              <w:rPr>
                <w:sz w:val="20"/>
                <w:szCs w:val="20"/>
                <w:color w:val="auto"/>
              </w:rPr>
            </w:pPr>
            <w:r>
              <w:rPr>
                <w:rFonts w:ascii="Arial" w:cs="Arial" w:eastAsia="Arial" w:hAnsi="Arial"/>
                <w:sz w:val="18"/>
                <w:szCs w:val="18"/>
                <w:color w:val="auto"/>
              </w:rPr>
              <w:t>82.03%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98.30%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83.21%</w:t>
            </w: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82.63%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78.57%</w:t>
            </w:r>
          </w:p>
        </w:tc>
      </w:tr>
      <w:tr>
        <w:trPr>
          <w:trHeight w:val="201"/>
        </w:trPr>
        <w:tc>
          <w:tcPr>
            <w:tcW w:w="4200" w:type="dxa"/>
            <w:vAlign w:val="bottom"/>
            <w:shd w:val="clear" w:color="auto" w:fill="CFF0FC"/>
          </w:tcPr>
          <w:p>
            <w:pPr>
              <w:ind w:left="240"/>
              <w:spacing w:after="0" w:line="201" w:lineRule="exact"/>
              <w:rPr>
                <w:sz w:val="20"/>
                <w:szCs w:val="20"/>
                <w:color w:val="auto"/>
              </w:rPr>
            </w:pPr>
            <w:r>
              <w:rPr>
                <w:rFonts w:ascii="Arial" w:cs="Arial" w:eastAsia="Arial" w:hAnsi="Arial"/>
                <w:sz w:val="18"/>
                <w:szCs w:val="18"/>
                <w:color w:val="auto"/>
              </w:rPr>
              <w:t>Average loans and leases, net of</w:t>
            </w:r>
          </w:p>
        </w:tc>
        <w:tc>
          <w:tcPr>
            <w:tcW w:w="14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32"/>
        </w:trPr>
        <w:tc>
          <w:tcPr>
            <w:tcW w:w="4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unearned discount</w:t>
            </w:r>
          </w:p>
        </w:tc>
        <w:tc>
          <w:tcPr>
            <w:tcW w:w="26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r>
      <w:tr>
        <w:trPr>
          <w:trHeight w:val="201"/>
        </w:trPr>
        <w:tc>
          <w:tcPr>
            <w:tcW w:w="4200" w:type="dxa"/>
            <w:vAlign w:val="bottom"/>
          </w:tcPr>
          <w:p>
            <w:pPr>
              <w:spacing w:after="0" w:line="201" w:lineRule="exact"/>
              <w:rPr>
                <w:sz w:val="20"/>
                <w:szCs w:val="20"/>
                <w:color w:val="auto"/>
              </w:rPr>
            </w:pPr>
            <w:r>
              <w:rPr>
                <w:rFonts w:ascii="Arial" w:cs="Arial" w:eastAsia="Arial" w:hAnsi="Arial"/>
                <w:sz w:val="18"/>
                <w:szCs w:val="18"/>
                <w:color w:val="auto"/>
              </w:rPr>
              <w:t>Allowance for credit losses as a</w:t>
            </w:r>
          </w:p>
        </w:tc>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4200" w:type="dxa"/>
            <w:vAlign w:val="bottom"/>
          </w:tcPr>
          <w:p>
            <w:pPr>
              <w:ind w:left="140"/>
              <w:spacing w:after="0"/>
              <w:rPr>
                <w:sz w:val="20"/>
                <w:szCs w:val="20"/>
                <w:color w:val="auto"/>
              </w:rPr>
            </w:pPr>
            <w:r>
              <w:rPr>
                <w:rFonts w:ascii="Arial" w:cs="Arial" w:eastAsia="Arial" w:hAnsi="Arial"/>
                <w:sz w:val="18"/>
                <w:szCs w:val="18"/>
                <w:color w:val="auto"/>
              </w:rPr>
              <w:t>percent of loans and leases, net of</w:t>
            </w: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4200" w:type="dxa"/>
            <w:vAlign w:val="bottom"/>
          </w:tcPr>
          <w:p>
            <w:pPr>
              <w:ind w:left="140"/>
              <w:spacing w:after="0"/>
              <w:rPr>
                <w:sz w:val="20"/>
                <w:szCs w:val="20"/>
                <w:color w:val="auto"/>
              </w:rPr>
            </w:pPr>
            <w:r>
              <w:rPr>
                <w:rFonts w:ascii="Arial" w:cs="Arial" w:eastAsia="Arial" w:hAnsi="Arial"/>
                <w:sz w:val="18"/>
                <w:szCs w:val="18"/>
                <w:color w:val="auto"/>
              </w:rPr>
              <w:t>unearned discount, at year-end</w:t>
            </w:r>
          </w:p>
        </w:tc>
        <w:tc>
          <w:tcPr>
            <w:tcW w:w="2600" w:type="dxa"/>
            <w:vAlign w:val="bottom"/>
            <w:gridSpan w:val="3"/>
          </w:tcPr>
          <w:p>
            <w:pPr>
              <w:jc w:val="right"/>
              <w:ind w:right="120"/>
              <w:spacing w:after="0"/>
              <w:rPr>
                <w:sz w:val="20"/>
                <w:szCs w:val="20"/>
                <w:color w:val="auto"/>
              </w:rPr>
            </w:pPr>
            <w:r>
              <w:rPr>
                <w:rFonts w:ascii="Arial" w:cs="Arial" w:eastAsia="Arial" w:hAnsi="Arial"/>
                <w:sz w:val="18"/>
                <w:szCs w:val="18"/>
                <w:color w:val="auto"/>
              </w:rPr>
              <w:t>1.16%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r>
    </w:tbl>
    <w:p>
      <w:pPr>
        <w:spacing w:after="0" w:line="235" w:lineRule="exact"/>
        <w:rPr>
          <w:sz w:val="20"/>
          <w:szCs w:val="20"/>
          <w:color w:val="auto"/>
        </w:rPr>
      </w:pPr>
    </w:p>
    <w:p>
      <w:pPr>
        <w:jc w:val="both"/>
        <w:ind w:right="160" w:firstLine="598"/>
        <w:spacing w:after="0" w:line="261" w:lineRule="auto"/>
        <w:rPr>
          <w:sz w:val="20"/>
          <w:szCs w:val="20"/>
          <w:color w:val="auto"/>
        </w:rPr>
      </w:pPr>
      <w:r>
        <w:rPr>
          <w:rFonts w:ascii="Arial" w:cs="Arial" w:eastAsia="Arial" w:hAnsi="Arial"/>
          <w:sz w:val="20"/>
          <w:szCs w:val="20"/>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9" w:name="page70"/>
    <w:bookmarkEnd w:id="69"/>
    <w:p>
      <w:pPr>
        <w:spacing w:after="0" w:line="262" w:lineRule="auto"/>
        <w:rPr>
          <w:sz w:val="20"/>
          <w:szCs w:val="20"/>
          <w:color w:val="auto"/>
        </w:rPr>
      </w:pPr>
      <w:r>
        <w:rPr>
          <w:rFonts w:ascii="Arial" w:cs="Arial" w:eastAsia="Arial" w:hAnsi="Arial"/>
          <w:sz w:val="19"/>
          <w:szCs w:val="19"/>
          <w:color w:val="auto"/>
        </w:rPr>
        <w:t>and discounting those cash flows at then-current interest rates. For acquired loans where fair value was less than outstanding principal as of the acquisition date and the resulting discount was due, at least in part, to credit deterioration, the excess of expected cash flows over the carrying value of the loans was recognized as interest income over the lives of loans. The difference between contractually required payments and the cash flows expected to be collected was referred to as the nonaccretable balance and was not recorded on the consolidated balance sheet. The nonaccretable balance reflected estimated future credit losses and other contractually required payments that the Company did not expect to collect. The Company regularly evaluated the reasonableness of its cash flow projections associated with such loans, including its estimates of lifetime principal losses. Any decreases to the expected cash flows required the Company to evaluate the need for an additional allowance for credit losses. Any significant increases in expected cash flows resulted in additional interest income to be recognized over the then-remaining lives of the loans. The carrying amount of loans acquired at a discount subsequent to 2008 and accounted for based on expected cash flows was $536 million and $727 million at December 31, 2019 and 2018, respectively. The nonaccretable balance related to remaining principal losses associated with loans acquired at a discount as of December 31, 2019 and 2018 is presented in table 12.</w:t>
      </w:r>
    </w:p>
    <w:p>
      <w:pPr>
        <w:spacing w:after="0" w:line="2" w:lineRule="exact"/>
        <w:rPr>
          <w:sz w:val="20"/>
          <w:szCs w:val="20"/>
          <w:color w:val="auto"/>
        </w:rPr>
      </w:pPr>
    </w:p>
    <w:p>
      <w:pPr>
        <w:ind w:right="60" w:firstLine="598"/>
        <w:spacing w:after="0" w:line="288" w:lineRule="auto"/>
        <w:rPr>
          <w:sz w:val="20"/>
          <w:szCs w:val="20"/>
          <w:color w:val="auto"/>
        </w:rPr>
      </w:pPr>
      <w:r>
        <w:rPr>
          <w:rFonts w:ascii="Arial" w:cs="Arial" w:eastAsia="Arial" w:hAnsi="Arial"/>
          <w:sz w:val="18"/>
          <w:szCs w:val="18"/>
          <w:color w:val="auto"/>
        </w:rPr>
        <w:t>During each of the last three years, based largely on improving economic conditions and borrower repayment performance, the Company’s estimates of cash flows expected to be generated by loans acquired at a discount and accounted for based on expected cash flows improved, resulting in increases in the accretable yield. In 2019, estimated cash flows expected to be generated by acquired loans increased by $48 million, or approximately 5%, compared with increases of $55 million in 2018 and $66 million in 2017. Those improvements reflected higher estimated principal, interest and other recoveries, largely associated with commercial and residential real estate loans.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NONACCRETABLE BALANCE — PRINCIPAL</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jc w:val="center"/>
              <w:ind w:right="35"/>
              <w:spacing w:after="0"/>
              <w:rPr>
                <w:sz w:val="20"/>
                <w:szCs w:val="20"/>
                <w:color w:val="auto"/>
              </w:rPr>
            </w:pPr>
            <w:r>
              <w:rPr>
                <w:rFonts w:ascii="Arial" w:cs="Arial" w:eastAsia="Arial" w:hAnsi="Arial"/>
                <w:sz w:val="14"/>
                <w:szCs w:val="14"/>
                <w:b w:val="1"/>
                <w:bCs w:val="1"/>
                <w:color w:val="auto"/>
                <w:w w:val="89"/>
              </w:rPr>
              <w:t>Remaining balance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4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December 31, 2018</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4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4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3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5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1,620</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Residential real estate</w:t>
            </w:r>
          </w:p>
        </w:tc>
        <w:tc>
          <w:tcPr>
            <w:tcW w:w="2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15,830</w:t>
            </w:r>
          </w:p>
        </w:tc>
        <w:tc>
          <w:tcPr>
            <w:tcW w:w="5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29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5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3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18,475</w:t>
            </w:r>
          </w:p>
        </w:tc>
        <w:tc>
          <w:tcPr>
            <w:tcW w:w="5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tcBorders>
          </w:tcPr>
          <w:p>
            <w:pPr>
              <w:spacing w:after="0" w:line="20" w:lineRule="exact"/>
              <w:rPr>
                <w:sz w:val="1"/>
                <w:szCs w:val="1"/>
                <w:color w:val="auto"/>
              </w:rPr>
            </w:pPr>
          </w:p>
        </w:tc>
        <w:tc>
          <w:tcPr>
            <w:tcW w:w="29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right="20" w:firstLine="598"/>
        <w:spacing w:after="0" w:line="265" w:lineRule="auto"/>
        <w:rPr>
          <w:sz w:val="20"/>
          <w:szCs w:val="20"/>
          <w:color w:val="auto"/>
        </w:rPr>
      </w:pPr>
      <w:r>
        <w:rPr>
          <w:rFonts w:ascii="Arial" w:cs="Arial" w:eastAsia="Arial" w:hAnsi="Arial"/>
          <w:sz w:val="19"/>
          <w:szCs w:val="19"/>
          <w:color w:val="auto"/>
        </w:rPr>
        <w:t>For acquired loans where the fair value exceeded the outstanding principal balance, the resulting premium is recognized as a reduction of interest income over the lives of the loans. Immediately following the acquisition date and thereafter, an allowance for credit losses is recorded for incurred losses inherent in the portfolio, consistent with the accounting for originated loans and leases. The carrying amount of loans acquired in 2015 at a premium was $7.4 billion and $9.3 billion at December 31, 2019 and December 31, 2018, respectively. GAAP does not allow the credit loss component of the net premium associated with those loans to be bifurcated and accounted for as a nonaccreting balance as is the case with purchased impaired loans and other loans acquired at a discount. Rather, subsequent to the acquisition date, incurred losses associated with those loans are evaluated using methods consistent with those applied to originated loans and such losses are considered by management in evaluating the Company’s allowance for credit losses.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70" w:name="page71"/>
    <w:bookmarkEnd w:id="70"/>
    <w:p>
      <w:pPr>
        <w:ind w:right="60" w:firstLine="598"/>
        <w:spacing w:after="0" w:line="263" w:lineRule="auto"/>
        <w:rPr>
          <w:sz w:val="20"/>
          <w:szCs w:val="20"/>
          <w:color w:val="auto"/>
        </w:rPr>
      </w:pPr>
      <w:r>
        <w:rPr>
          <w:rFonts w:ascii="Arial" w:cs="Arial" w:eastAsia="Arial" w:hAnsi="Arial"/>
          <w:sz w:val="19"/>
          <w:szCs w:val="19"/>
          <w:color w:val="auto"/>
        </w:rPr>
        <w:t>Nonaccrual loans aggregated $963 million at December 31, 2019, compared with $894 million and $883 million at December 31, 2018 and 2017, respectively. As a percentage of total loans and leases outstanding, nonaccrual loans represented 1.06% at December 31, 2019, compared with 1.01% and 1.00% at December 31, 2018 and 2017, respectively. The higher level of nonaccrual loans at December 31, 2019 as compared with December 31, 2018 reflects the addition of a commercial loan to a wholesale distributor during the 2019’s third quarter that had an outstanding balance at the 2019 year-end of $89 million.</w:t>
      </w:r>
    </w:p>
    <w:p>
      <w:pPr>
        <w:spacing w:after="0" w:line="3"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Accruing loans past due 90 days or more (excluding loans acquired at a discount) were $519 million or .57% of total loans and leases at December 31, 2019, compared with $223 million or .25% at December 31, 2018 and $244 million or .28% at December 31, 2017. Those amounts included loans guaranteed by government-related entities of $480 million, $192 million and $235 million at December 31, 2019, 2018 and 2017, respectively.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guaranteed by government-related entities totaled $452 million at December 31, 2019, $165 million at December 31, 2018 and $207 million at December 31, 2017. The increase in such loans at December 31, 2019 as compared with the prior year-ends resulted from loans associated with servicing the Company added in 2019. The remaining accruing loans past due 90 days or more not guaranteed by government-related entities were loans considered to be with creditworthy borrowers that were in the process of collection or renewal. A summary of nonperforming assets and certain past due, renegotiated and impaired loan data and credit quality ratios is presented in table 13.</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360"/>
          </w:cols>
          <w:pgMar w:left="240" w:top="336" w:right="299" w:bottom="1440" w:gutter="0" w:footer="0" w:header="0"/>
        </w:sectPr>
      </w:pPr>
    </w:p>
    <w:bookmarkStart w:id="71" w:name="page72"/>
    <w:bookmarkEnd w:id="71"/>
    <w:p>
      <w:pPr>
        <w:spacing w:after="0"/>
        <w:rPr>
          <w:sz w:val="20"/>
          <w:szCs w:val="20"/>
          <w:color w:val="auto"/>
        </w:rPr>
      </w:pPr>
      <w:r>
        <w:rPr>
          <w:rFonts w:ascii="Arial" w:cs="Arial" w:eastAsia="Arial" w:hAnsi="Arial"/>
          <w:sz w:val="20"/>
          <w:szCs w:val="20"/>
          <w:b w:val="1"/>
          <w:bCs w:val="1"/>
          <w:color w:val="auto"/>
        </w:rPr>
        <w:t>Table 13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NONPERFORMING ASSET AND PAST DUE, RENEGOTIATED AND IMPAIRED LOAN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December 31</w:t>
            </w: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78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40" w:type="dxa"/>
            <w:vAlign w:val="bottom"/>
            <w:gridSpan w:val="3"/>
          </w:tcPr>
          <w:p>
            <w:pPr>
              <w:ind w:left="140"/>
              <w:spacing w:after="0"/>
              <w:rPr>
                <w:sz w:val="20"/>
                <w:szCs w:val="20"/>
                <w:color w:val="auto"/>
              </w:rPr>
            </w:pPr>
            <w:r>
              <w:rPr>
                <w:rFonts w:ascii="Arial" w:cs="Arial" w:eastAsia="Arial" w:hAnsi="Arial"/>
                <w:sz w:val="14"/>
                <w:szCs w:val="14"/>
                <w:b w:val="1"/>
                <w:bCs w:val="1"/>
                <w:color w:val="auto"/>
                <w:w w:val="93"/>
              </w:rPr>
              <w:t>(Dollars in thousands)</w:t>
            </w: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780" w:type="dxa"/>
            <w:vAlign w:val="bottom"/>
            <w:gridSpan w:val="2"/>
          </w:tcPr>
          <w:p>
            <w:pPr>
              <w:spacing w:after="0"/>
              <w:rPr>
                <w:sz w:val="20"/>
                <w:szCs w:val="20"/>
                <w:color w:val="auto"/>
              </w:rPr>
            </w:pPr>
            <w:r>
              <w:rPr>
                <w:rFonts w:ascii="Arial" w:cs="Arial" w:eastAsia="Arial" w:hAnsi="Arial"/>
                <w:sz w:val="18"/>
                <w:szCs w:val="18"/>
                <w:color w:val="auto"/>
              </w:rPr>
              <w:t>Nonaccrual loans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963,112</w:t>
            </w: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893,608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882,598</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920,015</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799,409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 and other foreclosed assets</w:t>
            </w:r>
          </w:p>
        </w:tc>
        <w:tc>
          <w:tcPr>
            <w:tcW w:w="9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85,646</w:t>
            </w:r>
          </w:p>
        </w:tc>
        <w:tc>
          <w:tcPr>
            <w:tcW w:w="4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78,375</w:t>
            </w:r>
          </w:p>
        </w:tc>
        <w:tc>
          <w:tcPr>
            <w:tcW w:w="4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111,910</w:t>
            </w:r>
          </w:p>
        </w:tc>
        <w:tc>
          <w:tcPr>
            <w:tcW w:w="4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139,206</w:t>
            </w:r>
          </w:p>
        </w:tc>
        <w:tc>
          <w:tcPr>
            <w:tcW w:w="3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195,085</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780" w:type="dxa"/>
            <w:vAlign w:val="bottom"/>
            <w:gridSpan w:val="2"/>
          </w:tcPr>
          <w:p>
            <w:pPr>
              <w:spacing w:after="0"/>
              <w:rPr>
                <w:sz w:val="20"/>
                <w:szCs w:val="20"/>
                <w:color w:val="auto"/>
              </w:rPr>
            </w:pPr>
            <w:r>
              <w:rPr>
                <w:rFonts w:ascii="Arial" w:cs="Arial" w:eastAsia="Arial" w:hAnsi="Arial"/>
                <w:sz w:val="18"/>
                <w:szCs w:val="18"/>
                <w:color w:val="auto"/>
              </w:rPr>
              <w:t>Total nonperforming assets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1,048,758</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971,983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994,508</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1,059,221</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994,494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gridSpan w:val="2"/>
            <w:vMerge w:val="restart"/>
            <w:shd w:val="clear" w:color="auto" w:fill="CFF0FC"/>
          </w:tcPr>
          <w:p>
            <w:pPr>
              <w:spacing w:after="0"/>
              <w:rPr>
                <w:sz w:val="20"/>
                <w:szCs w:val="20"/>
                <w:color w:val="auto"/>
              </w:rPr>
            </w:pPr>
            <w:r>
              <w:rPr>
                <w:rFonts w:ascii="Arial" w:cs="Arial" w:eastAsia="Arial" w:hAnsi="Arial"/>
                <w:sz w:val="18"/>
                <w:szCs w:val="18"/>
                <w:color w:val="auto"/>
              </w:rPr>
              <w:t>Accruing loans past due 90 days or more(a)</w:t>
            </w: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gridSpan w:val="2"/>
            <w:vMerge w:val="continue"/>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518,728</w:t>
            </w:r>
          </w:p>
        </w:tc>
        <w:tc>
          <w:tcPr>
            <w:tcW w:w="4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222,527</w:t>
            </w:r>
          </w:p>
        </w:tc>
        <w:tc>
          <w:tcPr>
            <w:tcW w:w="11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244,405</w:t>
            </w:r>
          </w:p>
        </w:tc>
        <w:tc>
          <w:tcPr>
            <w:tcW w:w="4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300,659</w:t>
            </w: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317,441</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9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Nonaccrual loans</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50,891</w:t>
            </w: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34,667</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35,677</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40,610</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47,052</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Accruing loans past due 90 days or more</w:t>
            </w:r>
          </w:p>
        </w:tc>
        <w:tc>
          <w:tcPr>
            <w:tcW w:w="9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479,829</w:t>
            </w:r>
          </w:p>
        </w:tc>
        <w:tc>
          <w:tcPr>
            <w:tcW w:w="400" w:type="dxa"/>
            <w:vAlign w:val="bottom"/>
            <w:tcBorders>
              <w:bottom w:val="single" w:sz="8" w:color="CFF0FC"/>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192,443</w:t>
            </w:r>
          </w:p>
        </w:tc>
        <w:tc>
          <w:tcPr>
            <w:tcW w:w="400" w:type="dxa"/>
            <w:vAlign w:val="bottom"/>
            <w:tcBorders>
              <w:bottom w:val="single" w:sz="8" w:color="CFF0FC"/>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235,489</w:t>
            </w:r>
          </w:p>
        </w:tc>
        <w:tc>
          <w:tcPr>
            <w:tcW w:w="400" w:type="dxa"/>
            <w:vAlign w:val="bottom"/>
            <w:tcBorders>
              <w:bottom w:val="single" w:sz="8" w:color="CFF0FC"/>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282,659</w:t>
            </w:r>
          </w:p>
        </w:tc>
        <w:tc>
          <w:tcPr>
            <w:tcW w:w="380" w:type="dxa"/>
            <w:vAlign w:val="bottom"/>
            <w:tcBorders>
              <w:bottom w:val="single" w:sz="8" w:color="CFF0FC"/>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276,285</w:t>
            </w:r>
          </w:p>
        </w:tc>
        <w:tc>
          <w:tcPr>
            <w:tcW w:w="1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Renegotiated loans</w:t>
            </w:r>
          </w:p>
        </w:tc>
        <w:tc>
          <w:tcPr>
            <w:tcW w:w="10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234,424</w:t>
            </w:r>
          </w:p>
        </w:tc>
        <w:tc>
          <w:tcPr>
            <w:tcW w:w="4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245,367</w:t>
            </w:r>
          </w:p>
        </w:tc>
        <w:tc>
          <w:tcPr>
            <w:tcW w:w="11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221,513</w:t>
            </w:r>
          </w:p>
        </w:tc>
        <w:tc>
          <w:tcPr>
            <w:tcW w:w="4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190,374</w:t>
            </w: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182,865</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Acquired accruing loans past due 90 days or more(b)</w:t>
            </w:r>
          </w:p>
        </w:tc>
        <w:tc>
          <w:tcPr>
            <w:tcW w:w="9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80" w:type="dxa"/>
            <w:vAlign w:val="bottom"/>
            <w:gridSpan w:val="2"/>
            <w:vMerge w:val="continue"/>
          </w:tcPr>
          <w:p>
            <w:pPr>
              <w:spacing w:after="0"/>
              <w:rPr>
                <w:sz w:val="21"/>
                <w:szCs w:val="21"/>
                <w:color w:val="auto"/>
              </w:rPr>
            </w:pPr>
          </w:p>
        </w:tc>
        <w:tc>
          <w:tcPr>
            <w:tcW w:w="10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39,632</w:t>
            </w:r>
          </w:p>
        </w:tc>
        <w:tc>
          <w:tcPr>
            <w:tcW w:w="400" w:type="dxa"/>
            <w:vAlign w:val="bottom"/>
          </w:tcPr>
          <w:p>
            <w:pPr>
              <w:spacing w:after="0"/>
              <w:rPr>
                <w:sz w:val="21"/>
                <w:szCs w:val="21"/>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39,750</w:t>
            </w:r>
          </w:p>
        </w:tc>
        <w:tc>
          <w:tcPr>
            <w:tcW w:w="11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47,418</w:t>
            </w:r>
          </w:p>
        </w:tc>
        <w:tc>
          <w:tcPr>
            <w:tcW w:w="400" w:type="dxa"/>
            <w:vAlign w:val="bottom"/>
          </w:tcPr>
          <w:p>
            <w:pPr>
              <w:spacing w:after="0"/>
              <w:rPr>
                <w:sz w:val="21"/>
                <w:szCs w:val="21"/>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61,144</w:t>
            </w:r>
          </w:p>
        </w:tc>
        <w:tc>
          <w:tcPr>
            <w:tcW w:w="380" w:type="dxa"/>
            <w:vAlign w:val="bottom"/>
          </w:tcPr>
          <w:p>
            <w:pPr>
              <w:spacing w:after="0"/>
              <w:rPr>
                <w:sz w:val="21"/>
                <w:szCs w:val="21"/>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68,473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780" w:type="dxa"/>
            <w:vAlign w:val="bottom"/>
            <w:tcBorders>
              <w:top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Purchased impaired loans(c):</w:t>
            </w:r>
          </w:p>
        </w:tc>
        <w:tc>
          <w:tcPr>
            <w:tcW w:w="9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ind w:left="240"/>
              <w:spacing w:after="0"/>
              <w:rPr>
                <w:sz w:val="20"/>
                <w:szCs w:val="20"/>
                <w:color w:val="auto"/>
              </w:rPr>
            </w:pPr>
            <w:r>
              <w:rPr>
                <w:rFonts w:ascii="Arial" w:cs="Arial" w:eastAsia="Arial" w:hAnsi="Arial"/>
                <w:sz w:val="18"/>
                <w:szCs w:val="18"/>
                <w:color w:val="auto"/>
              </w:rPr>
              <w:t>Outstanding customer balance</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415,413</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529,520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688,091</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927,446</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1,204,004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Carrying amount</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227,545</w:t>
            </w: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303,305</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410,015</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578,032</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768,329</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FF0FC"/>
            </w:tcBorders>
          </w:tcPr>
          <w:p>
            <w:pPr>
              <w:spacing w:after="0" w:line="20" w:lineRule="exact"/>
              <w:rPr>
                <w:sz w:val="1"/>
                <w:szCs w:val="1"/>
                <w:color w:val="auto"/>
              </w:rPr>
            </w:pPr>
          </w:p>
        </w:tc>
        <w:tc>
          <w:tcPr>
            <w:tcW w:w="38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Nonaccrual loans to total loans and leases, net of</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23"/>
        </w:trPr>
        <w:tc>
          <w:tcPr>
            <w:tcW w:w="5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unearned discount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1.06%</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1.01%</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1.01%</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w:t>
            </w:r>
          </w:p>
        </w:tc>
      </w:tr>
      <w:tr>
        <w:trPr>
          <w:trHeight w:val="211"/>
        </w:trPr>
        <w:tc>
          <w:tcPr>
            <w:tcW w:w="5700" w:type="dxa"/>
            <w:vAlign w:val="bottom"/>
          </w:tcPr>
          <w:p>
            <w:pPr>
              <w:spacing w:after="0"/>
              <w:rPr>
                <w:sz w:val="20"/>
                <w:szCs w:val="20"/>
                <w:color w:val="auto"/>
              </w:rPr>
            </w:pPr>
            <w:r>
              <w:rPr>
                <w:rFonts w:ascii="Arial" w:cs="Arial" w:eastAsia="Arial" w:hAnsi="Arial"/>
                <w:sz w:val="18"/>
                <w:szCs w:val="18"/>
                <w:color w:val="auto"/>
              </w:rPr>
              <w:t>Nonperforming assets to total net loans and leases and</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5700" w:type="dxa"/>
            <w:vAlign w:val="bottom"/>
          </w:tcPr>
          <w:p>
            <w:pPr>
              <w:ind w:left="140"/>
              <w:spacing w:after="0"/>
              <w:rPr>
                <w:sz w:val="20"/>
                <w:szCs w:val="20"/>
                <w:color w:val="auto"/>
              </w:rPr>
            </w:pPr>
            <w:r>
              <w:rPr>
                <w:rFonts w:ascii="Arial" w:cs="Arial" w:eastAsia="Arial" w:hAnsi="Arial"/>
                <w:sz w:val="18"/>
                <w:szCs w:val="18"/>
                <w:color w:val="auto"/>
              </w:rPr>
              <w:t>real estate and other foreclosed assets</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1.15%</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1.13%</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1.16%</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r>
      <w:tr>
        <w:trPr>
          <w:trHeight w:val="211"/>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Accruing loans past due 90 days or more(a) to total</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22"/>
        </w:trPr>
        <w:tc>
          <w:tcPr>
            <w:tcW w:w="5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loans and leases, net of unearned discount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.57%</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.28%</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.33%</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r>
      <w:tr>
        <w:trPr>
          <w:trHeight w:val="20"/>
        </w:trPr>
        <w:tc>
          <w:tcPr>
            <w:tcW w:w="57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hanging="595"/>
        <w:spacing w:after="0"/>
        <w:tabs>
          <w:tab w:leader="none" w:pos="60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Excludes loans acquired at a discount. Predominantly residential real estate loans.</w:t>
      </w:r>
    </w:p>
    <w:p>
      <w:pPr>
        <w:spacing w:after="0" w:line="16" w:lineRule="exact"/>
        <w:rPr>
          <w:rFonts w:ascii="Arial" w:cs="Arial" w:eastAsia="Arial" w:hAnsi="Arial"/>
          <w:sz w:val="18"/>
          <w:szCs w:val="18"/>
          <w:i w:val="1"/>
          <w:iCs w:val="1"/>
          <w:color w:val="auto"/>
        </w:rPr>
      </w:pPr>
    </w:p>
    <w:p>
      <w:pPr>
        <w:ind w:left="600" w:right="500" w:hanging="595"/>
        <w:spacing w:after="0" w:line="250" w:lineRule="auto"/>
        <w:tabs>
          <w:tab w:leader="none" w:pos="60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Loans acquired at a discount that were recorded at fair value at acquisition date. This category does not include purchased impaired loans that are presented separately.</w:t>
      </w:r>
    </w:p>
    <w:p>
      <w:pPr>
        <w:spacing w:after="0" w:line="1" w:lineRule="exact"/>
        <w:rPr>
          <w:rFonts w:ascii="Arial" w:cs="Arial" w:eastAsia="Arial" w:hAnsi="Arial"/>
          <w:sz w:val="18"/>
          <w:szCs w:val="18"/>
          <w:i w:val="1"/>
          <w:iCs w:val="1"/>
          <w:color w:val="auto"/>
        </w:rPr>
      </w:pPr>
    </w:p>
    <w:p>
      <w:pPr>
        <w:ind w:left="600" w:hanging="595"/>
        <w:spacing w:after="0"/>
        <w:tabs>
          <w:tab w:leader="none" w:pos="60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acquired at a discount that were impaired at acquisition date and recorded at fair value.</w:t>
      </w:r>
    </w:p>
    <w:p>
      <w:pPr>
        <w:spacing w:after="0" w:line="200" w:lineRule="exact"/>
        <w:rPr>
          <w:sz w:val="20"/>
          <w:szCs w:val="20"/>
          <w:color w:val="auto"/>
        </w:rPr>
      </w:pPr>
    </w:p>
    <w:p>
      <w:pPr>
        <w:ind w:firstLine="598"/>
        <w:spacing w:after="0" w:line="263" w:lineRule="auto"/>
        <w:rPr>
          <w:sz w:val="20"/>
          <w:szCs w:val="20"/>
          <w:color w:val="auto"/>
        </w:rPr>
      </w:pPr>
      <w:r>
        <w:rPr>
          <w:rFonts w:ascii="Arial" w:cs="Arial" w:eastAsia="Arial" w:hAnsi="Arial"/>
          <w:sz w:val="19"/>
          <w:szCs w:val="19"/>
          <w:color w:val="auto"/>
        </w:rPr>
        <w:t>Purchased impaired loans are loans obtained in acquisition transactions subsequent to 2008 that as of the acquisition date were specifically identified as displaying signs of credit deterioration and for which the Company did not expect to collect all contractually required principal and interest payments. Those loans were impaired at the date of acquisition, were recorded at estimated fair value and were generally delinquent in payments, but, in accordance with GAAP, the Company continued to accrue interest income on such loans based on the estimated expected cash flows associated with the loans. The carrying amount of such loans aggregated $228 million at December 31, 2019, or .3% of total loans. Purchased impaired loans totaled $303 million at December 31, 2018.</w:t>
      </w:r>
    </w:p>
    <w:p>
      <w:pPr>
        <w:ind w:firstLine="598"/>
        <w:spacing w:after="0" w:line="281" w:lineRule="auto"/>
        <w:rPr>
          <w:sz w:val="20"/>
          <w:szCs w:val="20"/>
          <w:color w:val="auto"/>
        </w:rPr>
      </w:pPr>
      <w:r>
        <w:rPr>
          <w:rFonts w:ascii="Arial" w:cs="Arial" w:eastAsia="Arial" w:hAnsi="Arial"/>
          <w:sz w:val="18"/>
          <w:szCs w:val="18"/>
          <w:color w:val="auto"/>
        </w:rPr>
        <w:t>The Company modified the terms of select loans in an effort to assist borrowers. If the borrower was experiencing financial difficulty and a concession was granted, the Company considered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3 of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72" w:name="page73"/>
    <w:bookmarkEnd w:id="72"/>
    <w:p>
      <w:pPr>
        <w:ind w:right="20" w:firstLine="598"/>
        <w:spacing w:after="0" w:line="251" w:lineRule="auto"/>
        <w:rPr>
          <w:sz w:val="20"/>
          <w:szCs w:val="20"/>
          <w:color w:val="auto"/>
        </w:rPr>
      </w:pPr>
      <w:r>
        <w:rPr>
          <w:rFonts w:ascii="Arial" w:cs="Arial" w:eastAsia="Arial" w:hAnsi="Arial"/>
          <w:sz w:val="20"/>
          <w:szCs w:val="20"/>
          <w:color w:val="auto"/>
        </w:rPr>
        <w:t>Residential real estate loans modified under specified loss mitigation programs prescribed by government guarantors have not been included in renegotiated loans because the loan guarantee remains in full force and, accordingly, the Company has not granted a concession with respect to the ultimate collection of the original loan balance. Such loans totaled $203 million and $179 million million at December 31, 2019 and December 31, 2018, respectively.</w:t>
      </w:r>
    </w:p>
    <w:p>
      <w:pPr>
        <w:spacing w:after="0" w:line="2"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Charge-offs of commercial loans and leases, net of recoveries, aggregated $34 million in 2019, $33 million in 2018 and $44 million in 2017. Commercial loans and leases in nonaccrual status were $347 million at December 31, 2019, $234 million at December 31, 2018 and $241 million at December 31, 2017. The higher balance in 2019 reflects the third quarter addition of a loan to a wholesale distributer with an outstanding balance of $89 million at December 31, 2019.</w:t>
      </w:r>
    </w:p>
    <w:p>
      <w:pPr>
        <w:spacing w:after="0" w:line="3" w:lineRule="exact"/>
        <w:rPr>
          <w:sz w:val="20"/>
          <w:szCs w:val="20"/>
          <w:color w:val="auto"/>
        </w:rPr>
      </w:pPr>
    </w:p>
    <w:p>
      <w:pPr>
        <w:ind w:right="60" w:firstLine="598"/>
        <w:spacing w:after="0" w:line="259" w:lineRule="auto"/>
        <w:rPr>
          <w:sz w:val="20"/>
          <w:szCs w:val="20"/>
          <w:color w:val="auto"/>
        </w:rPr>
      </w:pPr>
      <w:r>
        <w:rPr>
          <w:rFonts w:ascii="Arial" w:cs="Arial" w:eastAsia="Arial" w:hAnsi="Arial"/>
          <w:sz w:val="19"/>
          <w:szCs w:val="19"/>
          <w:color w:val="auto"/>
        </w:rPr>
        <w:t>Net charge-offs of commercial real estate loans totaled $9 million during 2019, compared with net recoveries of previously charged-off commercial real estate loans of $9 million during 2018 and $5 million in 2017. Reflected in the 2018 amount was a $13 million recovery associated with a hotel property. Commercial real estate loans classified as nonaccrual were $195 million at December 31, 2019, $231 million at December 31, 2018 and $202 million at December 31, 2017. Nonaccrual commercial real estate loans included construction-related loans of $37 million, $27 million and $17 million at the end of 2019, 2018 and 2017, respectively.</w:t>
      </w:r>
    </w:p>
    <w:p>
      <w:pPr>
        <w:spacing w:after="0" w:line="4" w:lineRule="exact"/>
        <w:rPr>
          <w:sz w:val="20"/>
          <w:szCs w:val="20"/>
          <w:color w:val="auto"/>
        </w:rPr>
      </w:pPr>
    </w:p>
    <w:p>
      <w:pPr>
        <w:ind w:firstLine="598"/>
        <w:spacing w:after="0" w:line="262" w:lineRule="auto"/>
        <w:rPr>
          <w:sz w:val="20"/>
          <w:szCs w:val="20"/>
          <w:color w:val="auto"/>
        </w:rPr>
      </w:pPr>
      <w:r>
        <w:rPr>
          <w:rFonts w:ascii="Arial" w:cs="Arial" w:eastAsia="Arial" w:hAnsi="Arial"/>
          <w:sz w:val="19"/>
          <w:szCs w:val="19"/>
          <w:color w:val="auto"/>
        </w:rPr>
        <w:t>Net charge-offs of residential real estate loans totaled $5 million in 2019, $9 million in 2018 and $12 million in 2017. Residential real estate loans in nonaccrual status at December 31, 2019 were $319 million, compared with $318 million and $332 million at December 31, 2018 and 2017, respectively. Nonaccrual limited documentation first mortgage loans aggregated $83 million at December 31, 2019, compared with $85 million and $96 million at December 31, 2018 and 2017, respectively. Limited documentation first mortgage loans represent loans secured by residential real estate that at origination typically included some form of limited borrower documentation requirements as compared with more traditional loans. The Company no longer originates limited documentation loans. Residential real estate loans past due 90 days or more and accruing interest (excluding loans acquired at a discount) totaled $487 million at December 31, 2019, $190 million at December 31, 2018 and $233 million at December 31, 2017. A substantial portion of such amounts related to guaranteed loans repurchased from government-related entities, including the previously noted repurchases of loans associated with servicing that the Company added in 2019. Information about the location of nonaccrual and charged-off residential real estate loans as of and for the year ended December 31, 2019 is presented in table 14.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73" w:name="page74"/>
    <w:bookmarkEnd w:id="73"/>
    <w:p>
      <w:pPr>
        <w:spacing w:after="0"/>
        <w:rPr>
          <w:sz w:val="20"/>
          <w:szCs w:val="20"/>
          <w:color w:val="auto"/>
        </w:rPr>
      </w:pPr>
      <w:r>
        <w:rPr>
          <w:rFonts w:ascii="Arial" w:cs="Arial" w:eastAsia="Arial" w:hAnsi="Arial"/>
          <w:sz w:val="20"/>
          <w:szCs w:val="20"/>
          <w:b w:val="1"/>
          <w:bCs w:val="1"/>
          <w:color w:val="auto"/>
        </w:rPr>
        <w:t>Table 14</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SELECTED RESIDENTIAL REAL ESTATE-RELATED LOAN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5"/>
              </w:rPr>
              <w:t>Year Ended</w:t>
            </w:r>
          </w:p>
        </w:tc>
        <w:tc>
          <w:tcPr>
            <w:tcW w:w="0" w:type="dxa"/>
            <w:vAlign w:val="bottom"/>
          </w:tcPr>
          <w:p>
            <w:pPr>
              <w:spacing w:after="0"/>
              <w:rPr>
                <w:sz w:val="1"/>
                <w:szCs w:val="1"/>
                <w:color w:val="auto"/>
              </w:rPr>
            </w:pPr>
          </w:p>
        </w:tc>
      </w:tr>
      <w:tr>
        <w:trPr>
          <w:trHeight w:val="157"/>
        </w:trPr>
        <w:tc>
          <w:tcPr>
            <w:tcW w:w="4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ind w:left="140"/>
              <w:spacing w:after="0"/>
              <w:rPr>
                <w:sz w:val="20"/>
                <w:szCs w:val="20"/>
                <w:color w:val="auto"/>
              </w:rPr>
            </w:pPr>
            <w:r>
              <w:rPr>
                <w:rFonts w:ascii="Arial" w:cs="Arial" w:eastAsia="Arial" w:hAnsi="Arial"/>
                <w:sz w:val="13"/>
                <w:szCs w:val="13"/>
                <w:b w:val="1"/>
                <w:bCs w:val="1"/>
                <w:color w:val="auto"/>
              </w:rPr>
              <w:t>December 31, 2019</w:t>
            </w: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3"/>
                <w:szCs w:val="13"/>
                <w:b w:val="1"/>
                <w:bCs w:val="1"/>
                <w:color w:val="auto"/>
                <w:w w:val="88"/>
              </w:rPr>
              <w:t>December 31, 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560"/>
              <w:spacing w:after="0"/>
              <w:rPr>
                <w:sz w:val="20"/>
                <w:szCs w:val="20"/>
                <w:color w:val="auto"/>
              </w:rPr>
            </w:pPr>
            <w:r>
              <w:rPr>
                <w:rFonts w:ascii="Arial" w:cs="Arial" w:eastAsia="Arial" w:hAnsi="Arial"/>
                <w:sz w:val="13"/>
                <w:szCs w:val="13"/>
                <w:b w:val="1"/>
                <w:bCs w:val="1"/>
                <w:color w:val="auto"/>
                <w:w w:val="90"/>
              </w:rPr>
              <w:t>Nonaccrual</w:t>
            </w: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3"/>
                <w:szCs w:val="13"/>
                <w:b w:val="1"/>
                <w:bCs w:val="1"/>
                <w:color w:val="auto"/>
                <w:w w:val="90"/>
              </w:rPr>
              <w:t>Net Charge-offs (Recoveries)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Percent of</w:t>
            </w: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1"/>
              </w:rPr>
              <w:t>Percent of</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30"/>
              <w:spacing w:after="0"/>
              <w:rPr>
                <w:sz w:val="20"/>
                <w:szCs w:val="20"/>
                <w:color w:val="auto"/>
              </w:rPr>
            </w:pPr>
            <w:r>
              <w:rPr>
                <w:rFonts w:ascii="Arial" w:cs="Arial" w:eastAsia="Arial" w:hAnsi="Arial"/>
                <w:sz w:val="13"/>
                <w:szCs w:val="13"/>
                <w:b w:val="1"/>
                <w:bCs w:val="1"/>
                <w:color w:val="auto"/>
                <w:w w:val="96"/>
              </w:rPr>
              <w:t>Outstanding</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1"/>
              </w:rPr>
              <w:t>Outstanding</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Outstanding</w:t>
            </w:r>
          </w:p>
        </w:tc>
        <w:tc>
          <w:tcPr>
            <w:tcW w:w="0" w:type="dxa"/>
            <w:vAlign w:val="bottom"/>
          </w:tcPr>
          <w:p>
            <w:pPr>
              <w:spacing w:after="0"/>
              <w:rPr>
                <w:sz w:val="1"/>
                <w:szCs w:val="1"/>
                <w:color w:val="auto"/>
              </w:rPr>
            </w:pPr>
          </w:p>
        </w:tc>
      </w:tr>
      <w:tr>
        <w:trPr>
          <w:trHeight w:val="157"/>
        </w:trPr>
        <w:tc>
          <w:tcPr>
            <w:tcW w:w="4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230"/>
              <w:spacing w:after="0"/>
              <w:rPr>
                <w:sz w:val="20"/>
                <w:szCs w:val="20"/>
                <w:color w:val="auto"/>
              </w:rPr>
            </w:pPr>
            <w:r>
              <w:rPr>
                <w:rFonts w:ascii="Arial" w:cs="Arial" w:eastAsia="Arial" w:hAnsi="Arial"/>
                <w:sz w:val="13"/>
                <w:szCs w:val="13"/>
                <w:b w:val="1"/>
                <w:bCs w:val="1"/>
                <w:color w:val="auto"/>
              </w:rPr>
              <w:t>Balances</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Arial" w:cs="Arial" w:eastAsia="Arial" w:hAnsi="Arial"/>
                <w:sz w:val="13"/>
                <w:szCs w:val="13"/>
                <w:b w:val="1"/>
                <w:bCs w:val="1"/>
                <w:color w:val="auto"/>
              </w:rPr>
              <w:t>Balances</w:t>
            </w:r>
          </w:p>
        </w:tc>
        <w:tc>
          <w:tcPr>
            <w:tcW w:w="20" w:type="dxa"/>
            <w:vAlign w:val="bottom"/>
          </w:tcPr>
          <w:p>
            <w:pPr>
              <w:spacing w:after="0"/>
              <w:rPr>
                <w:sz w:val="13"/>
                <w:szCs w:val="13"/>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7"/>
              </w:rPr>
              <w:t>Balances</w:t>
            </w:r>
          </w:p>
        </w:tc>
        <w:tc>
          <w:tcPr>
            <w:tcW w:w="100" w:type="dxa"/>
            <w:vAlign w:val="bottom"/>
          </w:tcPr>
          <w:p>
            <w:pPr>
              <w:spacing w:after="0"/>
              <w:rPr>
                <w:sz w:val="13"/>
                <w:szCs w:val="13"/>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91"/>
              </w:rPr>
              <w:t>Balances</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Balances</w:t>
            </w:r>
          </w:p>
        </w:tc>
        <w:tc>
          <w:tcPr>
            <w:tcW w:w="0" w:type="dxa"/>
            <w:vAlign w:val="bottom"/>
          </w:tcPr>
          <w:p>
            <w:pPr>
              <w:spacing w:after="0"/>
              <w:rPr>
                <w:sz w:val="1"/>
                <w:szCs w:val="1"/>
                <w:color w:val="auto"/>
              </w:rPr>
            </w:pPr>
          </w:p>
        </w:tc>
      </w:tr>
      <w:tr>
        <w:trPr>
          <w:trHeight w:val="151"/>
        </w:trPr>
        <w:tc>
          <w:tcPr>
            <w:tcW w:w="4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300" w:type="dxa"/>
            <w:vAlign w:val="bottom"/>
            <w:tcBorders>
              <w:top w:val="single" w:sz="8" w:color="auto"/>
            </w:tcBorders>
            <w:gridSpan w:val="5"/>
          </w:tcPr>
          <w:p>
            <w:pPr>
              <w:jc w:val="right"/>
              <w:ind w:right="360"/>
              <w:spacing w:after="0"/>
              <w:rPr>
                <w:sz w:val="20"/>
                <w:szCs w:val="20"/>
                <w:color w:val="auto"/>
              </w:rPr>
            </w:pPr>
            <w:r>
              <w:rPr>
                <w:rFonts w:ascii="Arial" w:cs="Arial" w:eastAsia="Arial" w:hAnsi="Arial"/>
                <w:sz w:val="13"/>
                <w:szCs w:val="13"/>
                <w:b w:val="1"/>
                <w:bCs w:val="1"/>
                <w:color w:val="auto"/>
              </w:rPr>
              <w:t>(Dollars in thousands)</w:t>
            </w: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80" w:type="dxa"/>
            <w:vAlign w:val="bottom"/>
            <w:shd w:val="clear" w:color="auto" w:fill="CFF0FC"/>
          </w:tcPr>
          <w:p>
            <w:pPr>
              <w:spacing w:after="0" w:line="158" w:lineRule="exact"/>
              <w:rPr>
                <w:sz w:val="20"/>
                <w:szCs w:val="20"/>
                <w:color w:val="auto"/>
              </w:rPr>
            </w:pPr>
            <w:r>
              <w:rPr>
                <w:rFonts w:ascii="Arial" w:cs="Arial" w:eastAsia="Arial" w:hAnsi="Arial"/>
                <w:sz w:val="14"/>
                <w:szCs w:val="14"/>
                <w:color w:val="auto"/>
              </w:rPr>
              <w:t>Residential mortgages:</w:t>
            </w:r>
          </w:p>
        </w:tc>
        <w:tc>
          <w:tcPr>
            <w:tcW w:w="1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80" w:type="dxa"/>
            <w:vAlign w:val="bottom"/>
          </w:tcPr>
          <w:p>
            <w:pPr>
              <w:ind w:left="240"/>
              <w:spacing w:after="0" w:line="158" w:lineRule="exact"/>
              <w:rPr>
                <w:sz w:val="20"/>
                <w:szCs w:val="20"/>
                <w:color w:val="auto"/>
              </w:rPr>
            </w:pPr>
            <w:r>
              <w:rPr>
                <w:rFonts w:ascii="Arial" w:cs="Arial" w:eastAsia="Arial" w:hAnsi="Arial"/>
                <w:sz w:val="14"/>
                <w:szCs w:val="14"/>
                <w:color w:val="auto"/>
              </w:rPr>
              <w:t>New York</w:t>
            </w:r>
          </w:p>
        </w:tc>
        <w:tc>
          <w:tcPr>
            <w:tcW w:w="14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4,861,799</w:t>
            </w:r>
          </w:p>
        </w:tc>
        <w:tc>
          <w:tcPr>
            <w:tcW w:w="500" w:type="dxa"/>
            <w:vAlign w:val="bottom"/>
            <w:gridSpan w:val="2"/>
          </w:tcPr>
          <w:p>
            <w:pPr>
              <w:jc w:val="right"/>
              <w:ind w:right="30"/>
              <w:spacing w:after="0" w:line="158"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8" w:lineRule="exact"/>
              <w:rPr>
                <w:sz w:val="20"/>
                <w:szCs w:val="20"/>
                <w:color w:val="auto"/>
              </w:rPr>
            </w:pPr>
            <w:r>
              <w:rPr>
                <w:rFonts w:ascii="Arial" w:cs="Arial" w:eastAsia="Arial" w:hAnsi="Arial"/>
                <w:sz w:val="14"/>
                <w:szCs w:val="14"/>
                <w:color w:val="auto"/>
              </w:rPr>
              <w:t>73,798</w:t>
            </w:r>
          </w:p>
        </w:tc>
        <w:tc>
          <w:tcPr>
            <w:tcW w:w="300" w:type="dxa"/>
            <w:vAlign w:val="bottom"/>
          </w:tcPr>
          <w:p>
            <w:pPr>
              <w:spacing w:after="0"/>
              <w:rPr>
                <w:sz w:val="13"/>
                <w:szCs w:val="13"/>
                <w:color w:val="auto"/>
              </w:rPr>
            </w:pPr>
          </w:p>
        </w:tc>
        <w:tc>
          <w:tcPr>
            <w:tcW w:w="1080" w:type="dxa"/>
            <w:vAlign w:val="bottom"/>
            <w:gridSpan w:val="3"/>
          </w:tcPr>
          <w:p>
            <w:pPr>
              <w:jc w:val="right"/>
              <w:ind w:right="240"/>
              <w:spacing w:after="0" w:line="158" w:lineRule="exact"/>
              <w:rPr>
                <w:sz w:val="20"/>
                <w:szCs w:val="20"/>
                <w:color w:val="auto"/>
              </w:rPr>
            </w:pPr>
            <w:r>
              <w:rPr>
                <w:rFonts w:ascii="Arial" w:cs="Arial" w:eastAsia="Arial" w:hAnsi="Arial"/>
                <w:sz w:val="14"/>
                <w:szCs w:val="14"/>
                <w:color w:val="auto"/>
              </w:rPr>
              <w:t>1.52%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1,029</w:t>
            </w:r>
          </w:p>
        </w:tc>
        <w:tc>
          <w:tcPr>
            <w:tcW w:w="320" w:type="dxa"/>
            <w:vAlign w:val="bottom"/>
          </w:tcPr>
          <w:p>
            <w:pPr>
              <w:spacing w:after="0"/>
              <w:rPr>
                <w:sz w:val="13"/>
                <w:szCs w:val="13"/>
                <w:color w:val="auto"/>
              </w:rPr>
            </w:pPr>
          </w:p>
        </w:tc>
        <w:tc>
          <w:tcPr>
            <w:tcW w:w="10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58"/>
        </w:trPr>
        <w:tc>
          <w:tcPr>
            <w:tcW w:w="408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Pennsylvania</w:t>
            </w:r>
          </w:p>
        </w:tc>
        <w:tc>
          <w:tcPr>
            <w:tcW w:w="1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1,125,759</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14,328</w:t>
            </w:r>
          </w:p>
        </w:tc>
        <w:tc>
          <w:tcPr>
            <w:tcW w:w="3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1.27</w:t>
            </w: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81</w:t>
            </w: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.01</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80" w:type="dxa"/>
            <w:vAlign w:val="bottom"/>
          </w:tcPr>
          <w:p>
            <w:pPr>
              <w:ind w:left="240"/>
              <w:spacing w:after="0" w:line="158" w:lineRule="exact"/>
              <w:rPr>
                <w:sz w:val="20"/>
                <w:szCs w:val="20"/>
                <w:color w:val="auto"/>
              </w:rPr>
            </w:pPr>
            <w:r>
              <w:rPr>
                <w:rFonts w:ascii="Arial" w:cs="Arial" w:eastAsia="Arial" w:hAnsi="Arial"/>
                <w:sz w:val="14"/>
                <w:szCs w:val="14"/>
                <w:color w:val="auto"/>
              </w:rPr>
              <w:t>Maryland</w:t>
            </w: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1,135,666</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line="158" w:lineRule="exact"/>
              <w:rPr>
                <w:sz w:val="20"/>
                <w:szCs w:val="20"/>
                <w:color w:val="auto"/>
              </w:rPr>
            </w:pPr>
            <w:r>
              <w:rPr>
                <w:rFonts w:ascii="Arial" w:cs="Arial" w:eastAsia="Arial" w:hAnsi="Arial"/>
                <w:sz w:val="14"/>
                <w:szCs w:val="14"/>
                <w:color w:val="auto"/>
              </w:rPr>
              <w:t>12,513</w:t>
            </w:r>
          </w:p>
        </w:tc>
        <w:tc>
          <w:tcPr>
            <w:tcW w:w="300" w:type="dxa"/>
            <w:vAlign w:val="bottom"/>
          </w:tcPr>
          <w:p>
            <w:pPr>
              <w:spacing w:after="0"/>
              <w:rPr>
                <w:sz w:val="13"/>
                <w:szCs w:val="13"/>
                <w:color w:val="auto"/>
              </w:rPr>
            </w:pPr>
          </w:p>
        </w:tc>
        <w:tc>
          <w:tcPr>
            <w:tcW w:w="7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1.10</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(447)</w:t>
            </w:r>
          </w:p>
        </w:tc>
        <w:tc>
          <w:tcPr>
            <w:tcW w:w="100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58"/>
        </w:trPr>
        <w:tc>
          <w:tcPr>
            <w:tcW w:w="408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New Jersey</w:t>
            </w:r>
          </w:p>
        </w:tc>
        <w:tc>
          <w:tcPr>
            <w:tcW w:w="1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3,090,440</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60,763</w:t>
            </w:r>
          </w:p>
        </w:tc>
        <w:tc>
          <w:tcPr>
            <w:tcW w:w="3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1.97</w:t>
            </w: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3,018</w:t>
            </w: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.09</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80" w:type="dxa"/>
            <w:vAlign w:val="bottom"/>
          </w:tcPr>
          <w:p>
            <w:pPr>
              <w:ind w:left="240"/>
              <w:spacing w:after="0" w:line="158" w:lineRule="exact"/>
              <w:rPr>
                <w:sz w:val="20"/>
                <w:szCs w:val="20"/>
                <w:color w:val="auto"/>
              </w:rPr>
            </w:pPr>
            <w:r>
              <w:rPr>
                <w:rFonts w:ascii="Arial" w:cs="Arial" w:eastAsia="Arial" w:hAnsi="Arial"/>
                <w:sz w:val="14"/>
                <w:szCs w:val="14"/>
                <w:color w:val="auto"/>
              </w:rPr>
              <w:t>Other Mid-Atlantic (a)</w:t>
            </w: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1,017,351</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line="158" w:lineRule="exact"/>
              <w:rPr>
                <w:sz w:val="20"/>
                <w:szCs w:val="20"/>
                <w:color w:val="auto"/>
              </w:rPr>
            </w:pPr>
            <w:r>
              <w:rPr>
                <w:rFonts w:ascii="Arial" w:cs="Arial" w:eastAsia="Arial" w:hAnsi="Arial"/>
                <w:sz w:val="14"/>
                <w:szCs w:val="14"/>
                <w:color w:val="auto"/>
              </w:rPr>
              <w:t>8,681</w:t>
            </w:r>
          </w:p>
        </w:tc>
        <w:tc>
          <w:tcPr>
            <w:tcW w:w="300" w:type="dxa"/>
            <w:vAlign w:val="bottom"/>
          </w:tcPr>
          <w:p>
            <w:pPr>
              <w:spacing w:after="0"/>
              <w:rPr>
                <w:sz w:val="13"/>
                <w:szCs w:val="13"/>
                <w:color w:val="auto"/>
              </w:rPr>
            </w:pPr>
          </w:p>
        </w:tc>
        <w:tc>
          <w:tcPr>
            <w:tcW w:w="7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.85</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(1,186)</w:t>
            </w:r>
          </w:p>
        </w:tc>
        <w:tc>
          <w:tcPr>
            <w:tcW w:w="100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8"/>
        </w:trPr>
        <w:tc>
          <w:tcPr>
            <w:tcW w:w="408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Other</w:t>
            </w:r>
          </w:p>
        </w:tc>
        <w:tc>
          <w:tcPr>
            <w:tcW w:w="13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2,757,668</w:t>
            </w:r>
          </w:p>
        </w:tc>
        <w:tc>
          <w:tcPr>
            <w:tcW w:w="3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63,827</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2.31</w:t>
            </w:r>
          </w:p>
        </w:tc>
        <w:tc>
          <w:tcPr>
            <w:tcW w:w="34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2,079</w:t>
            </w:r>
          </w:p>
        </w:tc>
        <w:tc>
          <w:tcPr>
            <w:tcW w:w="320" w:type="dxa"/>
            <w:vAlign w:val="bottom"/>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.08</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240"/>
              <w:spacing w:after="0" w:line="151" w:lineRule="exact"/>
              <w:rPr>
                <w:sz w:val="20"/>
                <w:szCs w:val="20"/>
                <w:color w:val="auto"/>
              </w:rPr>
            </w:pPr>
            <w:r>
              <w:rPr>
                <w:rFonts w:ascii="Arial" w:cs="Arial" w:eastAsia="Arial" w:hAnsi="Arial"/>
                <w:sz w:val="14"/>
                <w:szCs w:val="14"/>
                <w:color w:val="auto"/>
              </w:rPr>
              <w:t>Total</w:t>
            </w:r>
          </w:p>
        </w:tc>
        <w:tc>
          <w:tcPr>
            <w:tcW w:w="1320" w:type="dxa"/>
            <w:vAlign w:val="bottom"/>
          </w:tcPr>
          <w:p>
            <w:pPr>
              <w:spacing w:after="0"/>
              <w:rPr>
                <w:sz w:val="16"/>
                <w:szCs w:val="16"/>
                <w:color w:val="auto"/>
              </w:rPr>
            </w:pPr>
          </w:p>
        </w:tc>
        <w:tc>
          <w:tcPr>
            <w:tcW w:w="14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1" w:lineRule="exact"/>
              <w:rPr>
                <w:sz w:val="20"/>
                <w:szCs w:val="20"/>
                <w:color w:val="auto"/>
              </w:rPr>
            </w:pPr>
            <w:r>
              <w:rPr>
                <w:rFonts w:ascii="Arial" w:cs="Arial" w:eastAsia="Arial" w:hAnsi="Arial"/>
                <w:sz w:val="14"/>
                <w:szCs w:val="14"/>
                <w:color w:val="auto"/>
              </w:rPr>
              <w:t>13,988,683</w:t>
            </w:r>
          </w:p>
        </w:tc>
        <w:tc>
          <w:tcPr>
            <w:tcW w:w="320" w:type="dxa"/>
            <w:vAlign w:val="bottom"/>
          </w:tcPr>
          <w:p>
            <w:pPr>
              <w:spacing w:after="0"/>
              <w:rPr>
                <w:sz w:val="16"/>
                <w:szCs w:val="16"/>
                <w:color w:val="auto"/>
              </w:rPr>
            </w:pPr>
          </w:p>
        </w:tc>
        <w:tc>
          <w:tcPr>
            <w:tcW w:w="180" w:type="dxa"/>
            <w:vAlign w:val="bottom"/>
          </w:tcPr>
          <w:p>
            <w:pPr>
              <w:jc w:val="right"/>
              <w:ind w:right="30"/>
              <w:spacing w:after="0" w:line="151"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1" w:lineRule="exact"/>
              <w:rPr>
                <w:sz w:val="20"/>
                <w:szCs w:val="20"/>
                <w:color w:val="auto"/>
              </w:rPr>
            </w:pPr>
            <w:r>
              <w:rPr>
                <w:rFonts w:ascii="Arial" w:cs="Arial" w:eastAsia="Arial" w:hAnsi="Arial"/>
                <w:sz w:val="14"/>
                <w:szCs w:val="14"/>
                <w:color w:val="auto"/>
              </w:rPr>
              <w:t>233,910</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2"/>
          </w:tcPr>
          <w:p>
            <w:pPr>
              <w:jc w:val="right"/>
              <w:ind w:right="240"/>
              <w:spacing w:after="0" w:line="151" w:lineRule="exact"/>
              <w:rPr>
                <w:sz w:val="20"/>
                <w:szCs w:val="20"/>
                <w:color w:val="auto"/>
              </w:rPr>
            </w:pPr>
            <w:r>
              <w:rPr>
                <w:rFonts w:ascii="Arial" w:cs="Arial" w:eastAsia="Arial" w:hAnsi="Arial"/>
                <w:sz w:val="14"/>
                <w:szCs w:val="14"/>
                <w:color w:val="auto"/>
              </w:rPr>
              <w:t>1.67%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51" w:lineRule="exact"/>
              <w:rPr>
                <w:sz w:val="20"/>
                <w:szCs w:val="20"/>
                <w:color w:val="auto"/>
              </w:rPr>
            </w:pPr>
            <w:r>
              <w:rPr>
                <w:rFonts w:ascii="Arial" w:cs="Arial" w:eastAsia="Arial" w:hAnsi="Arial"/>
                <w:sz w:val="14"/>
                <w:szCs w:val="14"/>
                <w:color w:val="auto"/>
              </w:rPr>
              <w:t>4,574</w:t>
            </w:r>
          </w:p>
        </w:tc>
        <w:tc>
          <w:tcPr>
            <w:tcW w:w="320" w:type="dxa"/>
            <w:vAlign w:val="bottom"/>
          </w:tcPr>
          <w:p>
            <w:pPr>
              <w:spacing w:after="0"/>
              <w:rPr>
                <w:sz w:val="16"/>
                <w:szCs w:val="16"/>
                <w:color w:val="auto"/>
              </w:rPr>
            </w:pPr>
          </w:p>
        </w:tc>
        <w:tc>
          <w:tcPr>
            <w:tcW w:w="100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7"/>
        </w:trPr>
        <w:tc>
          <w:tcPr>
            <w:tcW w:w="408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Residential construction loans:</w:t>
            </w:r>
          </w:p>
        </w:tc>
        <w:tc>
          <w:tcPr>
            <w:tcW w:w="132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tcPr>
          <w:p>
            <w:pPr>
              <w:ind w:left="240"/>
              <w:spacing w:after="0" w:line="158" w:lineRule="exact"/>
              <w:rPr>
                <w:sz w:val="20"/>
                <w:szCs w:val="20"/>
                <w:color w:val="auto"/>
              </w:rPr>
            </w:pPr>
            <w:r>
              <w:rPr>
                <w:rFonts w:ascii="Arial" w:cs="Arial" w:eastAsia="Arial" w:hAnsi="Arial"/>
                <w:sz w:val="14"/>
                <w:szCs w:val="14"/>
                <w:color w:val="auto"/>
              </w:rPr>
              <w:t>New York</w:t>
            </w:r>
          </w:p>
        </w:tc>
        <w:tc>
          <w:tcPr>
            <w:tcW w:w="14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30,793</w:t>
            </w:r>
          </w:p>
        </w:tc>
        <w:tc>
          <w:tcPr>
            <w:tcW w:w="500" w:type="dxa"/>
            <w:vAlign w:val="bottom"/>
            <w:gridSpan w:val="2"/>
          </w:tcPr>
          <w:p>
            <w:pPr>
              <w:jc w:val="right"/>
              <w:ind w:right="30"/>
              <w:spacing w:after="0" w:line="158"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8" w:lineRule="exact"/>
              <w:rPr>
                <w:sz w:val="20"/>
                <w:szCs w:val="20"/>
                <w:color w:val="auto"/>
              </w:rPr>
            </w:pPr>
            <w:r>
              <w:rPr>
                <w:rFonts w:ascii="Arial" w:cs="Arial" w:eastAsia="Arial" w:hAnsi="Arial"/>
                <w:sz w:val="14"/>
                <w:szCs w:val="14"/>
                <w:color w:val="auto"/>
              </w:rPr>
              <w:t>147</w:t>
            </w:r>
          </w:p>
        </w:tc>
        <w:tc>
          <w:tcPr>
            <w:tcW w:w="300" w:type="dxa"/>
            <w:vAlign w:val="bottom"/>
          </w:tcPr>
          <w:p>
            <w:pPr>
              <w:spacing w:after="0"/>
              <w:rPr>
                <w:sz w:val="13"/>
                <w:szCs w:val="13"/>
                <w:color w:val="auto"/>
              </w:rPr>
            </w:pPr>
          </w:p>
        </w:tc>
        <w:tc>
          <w:tcPr>
            <w:tcW w:w="1080" w:type="dxa"/>
            <w:vAlign w:val="bottom"/>
            <w:gridSpan w:val="3"/>
          </w:tcPr>
          <w:p>
            <w:pPr>
              <w:jc w:val="right"/>
              <w:ind w:right="240"/>
              <w:spacing w:after="0" w:line="158" w:lineRule="exact"/>
              <w:rPr>
                <w:sz w:val="20"/>
                <w:szCs w:val="20"/>
                <w:color w:val="auto"/>
              </w:rPr>
            </w:pPr>
            <w:r>
              <w:rPr>
                <w:rFonts w:ascii="Arial" w:cs="Arial" w:eastAsia="Arial" w:hAnsi="Arial"/>
                <w:sz w:val="14"/>
                <w:szCs w:val="14"/>
                <w:color w:val="auto"/>
              </w:rPr>
              <w:t>.48%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408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Pennsylvania</w:t>
            </w:r>
          </w:p>
        </w:tc>
        <w:tc>
          <w:tcPr>
            <w:tcW w:w="1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7,626</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569</w:t>
            </w:r>
          </w:p>
        </w:tc>
        <w:tc>
          <w:tcPr>
            <w:tcW w:w="3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7.46</w:t>
            </w: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57</w:t>
            </w: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.78</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80" w:type="dxa"/>
            <w:vAlign w:val="bottom"/>
          </w:tcPr>
          <w:p>
            <w:pPr>
              <w:ind w:left="240"/>
              <w:spacing w:after="0" w:line="158" w:lineRule="exact"/>
              <w:rPr>
                <w:sz w:val="20"/>
                <w:szCs w:val="20"/>
                <w:color w:val="auto"/>
              </w:rPr>
            </w:pPr>
            <w:r>
              <w:rPr>
                <w:rFonts w:ascii="Arial" w:cs="Arial" w:eastAsia="Arial" w:hAnsi="Arial"/>
                <w:sz w:val="14"/>
                <w:szCs w:val="14"/>
                <w:color w:val="auto"/>
              </w:rPr>
              <w:t>Maryland</w:t>
            </w: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11,983</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line="158" w:lineRule="exact"/>
              <w:rPr>
                <w:sz w:val="20"/>
                <w:szCs w:val="20"/>
                <w:color w:val="auto"/>
              </w:rPr>
            </w:pPr>
            <w:r>
              <w:rPr>
                <w:rFonts w:ascii="Arial" w:cs="Arial" w:eastAsia="Arial" w:hAnsi="Arial"/>
                <w:sz w:val="14"/>
                <w:szCs w:val="14"/>
                <w:color w:val="auto"/>
              </w:rPr>
              <w:t>149</w:t>
            </w:r>
          </w:p>
        </w:tc>
        <w:tc>
          <w:tcPr>
            <w:tcW w:w="300" w:type="dxa"/>
            <w:vAlign w:val="bottom"/>
          </w:tcPr>
          <w:p>
            <w:pPr>
              <w:spacing w:after="0"/>
              <w:rPr>
                <w:sz w:val="13"/>
                <w:szCs w:val="13"/>
                <w:color w:val="auto"/>
              </w:rPr>
            </w:pPr>
          </w:p>
        </w:tc>
        <w:tc>
          <w:tcPr>
            <w:tcW w:w="7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1.24</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408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New Jersey</w:t>
            </w:r>
          </w:p>
        </w:tc>
        <w:tc>
          <w:tcPr>
            <w:tcW w:w="1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13,546</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36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4080" w:type="dxa"/>
            <w:vAlign w:val="bottom"/>
          </w:tcPr>
          <w:p>
            <w:pPr>
              <w:ind w:left="240"/>
              <w:spacing w:after="0" w:line="158" w:lineRule="exact"/>
              <w:rPr>
                <w:sz w:val="20"/>
                <w:szCs w:val="20"/>
                <w:color w:val="auto"/>
              </w:rPr>
            </w:pPr>
            <w:r>
              <w:rPr>
                <w:rFonts w:ascii="Arial" w:cs="Arial" w:eastAsia="Arial" w:hAnsi="Arial"/>
                <w:sz w:val="14"/>
                <w:szCs w:val="14"/>
                <w:color w:val="auto"/>
              </w:rPr>
              <w:t>Other Mid-Atlantic (a)</w:t>
            </w: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21,476</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line="158" w:lineRule="exact"/>
              <w:rPr>
                <w:sz w:val="20"/>
                <w:szCs w:val="20"/>
                <w:color w:val="auto"/>
              </w:rPr>
            </w:pPr>
            <w:r>
              <w:rPr>
                <w:rFonts w:ascii="Arial" w:cs="Arial" w:eastAsia="Arial" w:hAnsi="Arial"/>
                <w:sz w:val="14"/>
                <w:szCs w:val="14"/>
                <w:color w:val="auto"/>
              </w:rPr>
              <w:t>830</w:t>
            </w:r>
          </w:p>
        </w:tc>
        <w:tc>
          <w:tcPr>
            <w:tcW w:w="300" w:type="dxa"/>
            <w:vAlign w:val="bottom"/>
          </w:tcPr>
          <w:p>
            <w:pPr>
              <w:spacing w:after="0"/>
              <w:rPr>
                <w:sz w:val="13"/>
                <w:szCs w:val="13"/>
                <w:color w:val="auto"/>
              </w:rPr>
            </w:pPr>
          </w:p>
        </w:tc>
        <w:tc>
          <w:tcPr>
            <w:tcW w:w="7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3.86</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408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Other</w:t>
            </w:r>
          </w:p>
        </w:tc>
        <w:tc>
          <w:tcPr>
            <w:tcW w:w="13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8,318</w:t>
            </w:r>
          </w:p>
        </w:tc>
        <w:tc>
          <w:tcPr>
            <w:tcW w:w="3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58</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.70</w:t>
            </w:r>
          </w:p>
        </w:tc>
        <w:tc>
          <w:tcPr>
            <w:tcW w:w="34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37</w:t>
            </w:r>
          </w:p>
        </w:tc>
        <w:tc>
          <w:tcPr>
            <w:tcW w:w="320" w:type="dxa"/>
            <w:vAlign w:val="bottom"/>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.61</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240"/>
              <w:spacing w:after="0" w:line="151" w:lineRule="exact"/>
              <w:rPr>
                <w:sz w:val="20"/>
                <w:szCs w:val="20"/>
                <w:color w:val="auto"/>
              </w:rPr>
            </w:pPr>
            <w:r>
              <w:rPr>
                <w:rFonts w:ascii="Arial" w:cs="Arial" w:eastAsia="Arial" w:hAnsi="Arial"/>
                <w:sz w:val="14"/>
                <w:szCs w:val="14"/>
                <w:color w:val="auto"/>
              </w:rPr>
              <w:t>Total</w:t>
            </w:r>
          </w:p>
        </w:tc>
        <w:tc>
          <w:tcPr>
            <w:tcW w:w="1320" w:type="dxa"/>
            <w:vAlign w:val="bottom"/>
          </w:tcPr>
          <w:p>
            <w:pPr>
              <w:spacing w:after="0"/>
              <w:rPr>
                <w:sz w:val="16"/>
                <w:szCs w:val="16"/>
                <w:color w:val="auto"/>
              </w:rPr>
            </w:pPr>
          </w:p>
        </w:tc>
        <w:tc>
          <w:tcPr>
            <w:tcW w:w="14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1" w:lineRule="exact"/>
              <w:rPr>
                <w:sz w:val="20"/>
                <w:szCs w:val="20"/>
                <w:color w:val="auto"/>
              </w:rPr>
            </w:pPr>
            <w:r>
              <w:rPr>
                <w:rFonts w:ascii="Arial" w:cs="Arial" w:eastAsia="Arial" w:hAnsi="Arial"/>
                <w:sz w:val="14"/>
                <w:szCs w:val="14"/>
                <w:color w:val="auto"/>
              </w:rPr>
              <w:t>93,742</w:t>
            </w:r>
          </w:p>
        </w:tc>
        <w:tc>
          <w:tcPr>
            <w:tcW w:w="320" w:type="dxa"/>
            <w:vAlign w:val="bottom"/>
          </w:tcPr>
          <w:p>
            <w:pPr>
              <w:spacing w:after="0"/>
              <w:rPr>
                <w:sz w:val="16"/>
                <w:szCs w:val="16"/>
                <w:color w:val="auto"/>
              </w:rPr>
            </w:pPr>
          </w:p>
        </w:tc>
        <w:tc>
          <w:tcPr>
            <w:tcW w:w="180" w:type="dxa"/>
            <w:vAlign w:val="bottom"/>
          </w:tcPr>
          <w:p>
            <w:pPr>
              <w:jc w:val="right"/>
              <w:ind w:right="30"/>
              <w:spacing w:after="0" w:line="151"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1" w:lineRule="exact"/>
              <w:rPr>
                <w:sz w:val="20"/>
                <w:szCs w:val="20"/>
                <w:color w:val="auto"/>
              </w:rPr>
            </w:pPr>
            <w:r>
              <w:rPr>
                <w:rFonts w:ascii="Arial" w:cs="Arial" w:eastAsia="Arial" w:hAnsi="Arial"/>
                <w:sz w:val="14"/>
                <w:szCs w:val="14"/>
                <w:color w:val="auto"/>
              </w:rPr>
              <w:t>1,753</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2"/>
          </w:tcPr>
          <w:p>
            <w:pPr>
              <w:jc w:val="right"/>
              <w:ind w:right="240"/>
              <w:spacing w:after="0" w:line="151" w:lineRule="exact"/>
              <w:rPr>
                <w:sz w:val="20"/>
                <w:szCs w:val="20"/>
                <w:color w:val="auto"/>
              </w:rPr>
            </w:pPr>
            <w:r>
              <w:rPr>
                <w:rFonts w:ascii="Arial" w:cs="Arial" w:eastAsia="Arial" w:hAnsi="Arial"/>
                <w:sz w:val="14"/>
                <w:szCs w:val="14"/>
                <w:color w:val="auto"/>
              </w:rPr>
              <w:t>1.87%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51" w:lineRule="exact"/>
              <w:rPr>
                <w:sz w:val="20"/>
                <w:szCs w:val="20"/>
                <w:color w:val="auto"/>
              </w:rPr>
            </w:pPr>
            <w:r>
              <w:rPr>
                <w:rFonts w:ascii="Arial" w:cs="Arial" w:eastAsia="Arial" w:hAnsi="Arial"/>
                <w:sz w:val="14"/>
                <w:szCs w:val="14"/>
                <w:color w:val="auto"/>
              </w:rPr>
              <w:t>94</w:t>
            </w:r>
          </w:p>
        </w:tc>
        <w:tc>
          <w:tcPr>
            <w:tcW w:w="320" w:type="dxa"/>
            <w:vAlign w:val="bottom"/>
          </w:tcPr>
          <w:p>
            <w:pPr>
              <w:spacing w:after="0"/>
              <w:rPr>
                <w:sz w:val="16"/>
                <w:szCs w:val="16"/>
                <w:color w:val="auto"/>
              </w:rPr>
            </w:pPr>
          </w:p>
        </w:tc>
        <w:tc>
          <w:tcPr>
            <w:tcW w:w="100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7"/>
        </w:trPr>
        <w:tc>
          <w:tcPr>
            <w:tcW w:w="408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Limited documentation first mortgages:</w:t>
            </w:r>
          </w:p>
        </w:tc>
        <w:tc>
          <w:tcPr>
            <w:tcW w:w="132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tcPr>
          <w:p>
            <w:pPr>
              <w:ind w:left="240"/>
              <w:spacing w:after="0" w:line="158" w:lineRule="exact"/>
              <w:rPr>
                <w:sz w:val="20"/>
                <w:szCs w:val="20"/>
                <w:color w:val="auto"/>
              </w:rPr>
            </w:pPr>
            <w:r>
              <w:rPr>
                <w:rFonts w:ascii="Arial" w:cs="Arial" w:eastAsia="Arial" w:hAnsi="Arial"/>
                <w:sz w:val="14"/>
                <w:szCs w:val="14"/>
                <w:color w:val="auto"/>
              </w:rPr>
              <w:t>New York</w:t>
            </w:r>
          </w:p>
        </w:tc>
        <w:tc>
          <w:tcPr>
            <w:tcW w:w="14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929,686</w:t>
            </w:r>
          </w:p>
        </w:tc>
        <w:tc>
          <w:tcPr>
            <w:tcW w:w="500" w:type="dxa"/>
            <w:vAlign w:val="bottom"/>
            <w:gridSpan w:val="2"/>
          </w:tcPr>
          <w:p>
            <w:pPr>
              <w:jc w:val="right"/>
              <w:ind w:right="30"/>
              <w:spacing w:after="0" w:line="158"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8" w:lineRule="exact"/>
              <w:rPr>
                <w:sz w:val="20"/>
                <w:szCs w:val="20"/>
                <w:color w:val="auto"/>
              </w:rPr>
            </w:pPr>
            <w:r>
              <w:rPr>
                <w:rFonts w:ascii="Arial" w:cs="Arial" w:eastAsia="Arial" w:hAnsi="Arial"/>
                <w:sz w:val="14"/>
                <w:szCs w:val="14"/>
                <w:color w:val="auto"/>
              </w:rPr>
              <w:t>32,787</w:t>
            </w:r>
          </w:p>
        </w:tc>
        <w:tc>
          <w:tcPr>
            <w:tcW w:w="300" w:type="dxa"/>
            <w:vAlign w:val="bottom"/>
          </w:tcPr>
          <w:p>
            <w:pPr>
              <w:spacing w:after="0"/>
              <w:rPr>
                <w:sz w:val="13"/>
                <w:szCs w:val="13"/>
                <w:color w:val="auto"/>
              </w:rPr>
            </w:pPr>
          </w:p>
        </w:tc>
        <w:tc>
          <w:tcPr>
            <w:tcW w:w="1080" w:type="dxa"/>
            <w:vAlign w:val="bottom"/>
            <w:gridSpan w:val="3"/>
          </w:tcPr>
          <w:p>
            <w:pPr>
              <w:jc w:val="right"/>
              <w:ind w:right="240"/>
              <w:spacing w:after="0" w:line="158" w:lineRule="exact"/>
              <w:rPr>
                <w:sz w:val="20"/>
                <w:szCs w:val="20"/>
                <w:color w:val="auto"/>
              </w:rPr>
            </w:pPr>
            <w:r>
              <w:rPr>
                <w:rFonts w:ascii="Arial" w:cs="Arial" w:eastAsia="Arial" w:hAnsi="Arial"/>
                <w:sz w:val="14"/>
                <w:szCs w:val="14"/>
                <w:color w:val="auto"/>
              </w:rPr>
              <w:t>3.53%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(188)</w:t>
            </w:r>
          </w:p>
        </w:tc>
        <w:tc>
          <w:tcPr>
            <w:tcW w:w="100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58"/>
        </w:trPr>
        <w:tc>
          <w:tcPr>
            <w:tcW w:w="408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Pennsylvania</w:t>
            </w:r>
          </w:p>
        </w:tc>
        <w:tc>
          <w:tcPr>
            <w:tcW w:w="1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43,218</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2,595</w:t>
            </w:r>
          </w:p>
        </w:tc>
        <w:tc>
          <w:tcPr>
            <w:tcW w:w="3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6.00</w:t>
            </w: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60"/>
              <w:spacing w:after="0" w:line="158" w:lineRule="exact"/>
              <w:rPr>
                <w:sz w:val="20"/>
                <w:szCs w:val="20"/>
                <w:color w:val="auto"/>
              </w:rPr>
            </w:pPr>
            <w:r>
              <w:rPr>
                <w:rFonts w:ascii="Arial" w:cs="Arial" w:eastAsia="Arial" w:hAnsi="Arial"/>
                <w:sz w:val="14"/>
                <w:szCs w:val="14"/>
                <w:color w:val="auto"/>
              </w:rPr>
              <w:t>(38)</w:t>
            </w:r>
          </w:p>
        </w:tc>
        <w:tc>
          <w:tcPr>
            <w:tcW w:w="100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58"/>
        </w:trPr>
        <w:tc>
          <w:tcPr>
            <w:tcW w:w="4080" w:type="dxa"/>
            <w:vAlign w:val="bottom"/>
          </w:tcPr>
          <w:p>
            <w:pPr>
              <w:ind w:left="240"/>
              <w:spacing w:after="0" w:line="158" w:lineRule="exact"/>
              <w:rPr>
                <w:sz w:val="20"/>
                <w:szCs w:val="20"/>
                <w:color w:val="auto"/>
              </w:rPr>
            </w:pPr>
            <w:r>
              <w:rPr>
                <w:rFonts w:ascii="Arial" w:cs="Arial" w:eastAsia="Arial" w:hAnsi="Arial"/>
                <w:sz w:val="14"/>
                <w:szCs w:val="14"/>
                <w:color w:val="auto"/>
              </w:rPr>
              <w:t>Maryland</w:t>
            </w: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24,118</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line="158" w:lineRule="exact"/>
              <w:rPr>
                <w:sz w:val="20"/>
                <w:szCs w:val="20"/>
                <w:color w:val="auto"/>
              </w:rPr>
            </w:pPr>
            <w:r>
              <w:rPr>
                <w:rFonts w:ascii="Arial" w:cs="Arial" w:eastAsia="Arial" w:hAnsi="Arial"/>
                <w:sz w:val="14"/>
                <w:szCs w:val="14"/>
                <w:color w:val="auto"/>
              </w:rPr>
              <w:t>2,607</w:t>
            </w:r>
          </w:p>
        </w:tc>
        <w:tc>
          <w:tcPr>
            <w:tcW w:w="300" w:type="dxa"/>
            <w:vAlign w:val="bottom"/>
          </w:tcPr>
          <w:p>
            <w:pPr>
              <w:spacing w:after="0"/>
              <w:rPr>
                <w:sz w:val="13"/>
                <w:szCs w:val="13"/>
                <w:color w:val="auto"/>
              </w:rPr>
            </w:pPr>
          </w:p>
        </w:tc>
        <w:tc>
          <w:tcPr>
            <w:tcW w:w="7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10.81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10</w:t>
            </w:r>
          </w:p>
        </w:tc>
        <w:tc>
          <w:tcPr>
            <w:tcW w:w="320" w:type="dxa"/>
            <w:vAlign w:val="bottom"/>
          </w:tcPr>
          <w:p>
            <w:pPr>
              <w:spacing w:after="0"/>
              <w:rPr>
                <w:sz w:val="13"/>
                <w:szCs w:val="13"/>
                <w:color w:val="auto"/>
              </w:rPr>
            </w:pPr>
          </w:p>
        </w:tc>
        <w:tc>
          <w:tcPr>
            <w:tcW w:w="100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58"/>
        </w:trPr>
        <w:tc>
          <w:tcPr>
            <w:tcW w:w="408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New Jersey</w:t>
            </w:r>
          </w:p>
        </w:tc>
        <w:tc>
          <w:tcPr>
            <w:tcW w:w="1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771,459</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24,967</w:t>
            </w:r>
          </w:p>
        </w:tc>
        <w:tc>
          <w:tcPr>
            <w:tcW w:w="3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3.24</w:t>
            </w: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766</w:t>
            </w: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.09</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80" w:type="dxa"/>
            <w:vAlign w:val="bottom"/>
          </w:tcPr>
          <w:p>
            <w:pPr>
              <w:ind w:left="240"/>
              <w:spacing w:after="0" w:line="158" w:lineRule="exact"/>
              <w:rPr>
                <w:sz w:val="20"/>
                <w:szCs w:val="20"/>
                <w:color w:val="auto"/>
              </w:rPr>
            </w:pPr>
            <w:r>
              <w:rPr>
                <w:rFonts w:ascii="Arial" w:cs="Arial" w:eastAsia="Arial" w:hAnsi="Arial"/>
                <w:sz w:val="14"/>
                <w:szCs w:val="14"/>
                <w:color w:val="auto"/>
              </w:rPr>
              <w:t>Other Mid-Atlantic (a)</w:t>
            </w: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10,313</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line="158" w:lineRule="exact"/>
              <w:rPr>
                <w:sz w:val="20"/>
                <w:szCs w:val="20"/>
                <w:color w:val="auto"/>
              </w:rPr>
            </w:pPr>
            <w:r>
              <w:rPr>
                <w:rFonts w:ascii="Arial" w:cs="Arial" w:eastAsia="Arial" w:hAnsi="Arial"/>
                <w:sz w:val="14"/>
                <w:szCs w:val="14"/>
                <w:color w:val="auto"/>
              </w:rPr>
              <w:t>980</w:t>
            </w:r>
          </w:p>
        </w:tc>
        <w:tc>
          <w:tcPr>
            <w:tcW w:w="300" w:type="dxa"/>
            <w:vAlign w:val="bottom"/>
          </w:tcPr>
          <w:p>
            <w:pPr>
              <w:spacing w:after="0"/>
              <w:rPr>
                <w:sz w:val="13"/>
                <w:szCs w:val="13"/>
                <w:color w:val="auto"/>
              </w:rPr>
            </w:pPr>
          </w:p>
        </w:tc>
        <w:tc>
          <w:tcPr>
            <w:tcW w:w="7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9.50</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(383)</w:t>
            </w:r>
          </w:p>
        </w:tc>
        <w:tc>
          <w:tcPr>
            <w:tcW w:w="100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58"/>
        </w:trPr>
        <w:tc>
          <w:tcPr>
            <w:tcW w:w="408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Other</w:t>
            </w:r>
          </w:p>
        </w:tc>
        <w:tc>
          <w:tcPr>
            <w:tcW w:w="1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294,875</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19,491</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6.61</w:t>
            </w: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60"/>
              <w:spacing w:after="0" w:line="158" w:lineRule="exact"/>
              <w:rPr>
                <w:sz w:val="20"/>
                <w:szCs w:val="20"/>
                <w:color w:val="auto"/>
              </w:rPr>
            </w:pPr>
            <w:r>
              <w:rPr>
                <w:rFonts w:ascii="Arial" w:cs="Arial" w:eastAsia="Arial" w:hAnsi="Arial"/>
                <w:sz w:val="14"/>
                <w:szCs w:val="14"/>
                <w:color w:val="auto"/>
              </w:rPr>
              <w:t>(328)</w:t>
            </w:r>
          </w:p>
        </w:tc>
        <w:tc>
          <w:tcPr>
            <w:tcW w:w="100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240"/>
              <w:spacing w:after="0"/>
              <w:rPr>
                <w:sz w:val="20"/>
                <w:szCs w:val="20"/>
                <w:color w:val="auto"/>
              </w:rPr>
            </w:pPr>
            <w:r>
              <w:rPr>
                <w:rFonts w:ascii="Arial" w:cs="Arial" w:eastAsia="Arial" w:hAnsi="Arial"/>
                <w:sz w:val="14"/>
                <w:szCs w:val="14"/>
                <w:color w:val="auto"/>
              </w:rPr>
              <w:t>Total</w:t>
            </w:r>
          </w:p>
        </w:tc>
        <w:tc>
          <w:tcPr>
            <w:tcW w:w="13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8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4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1" w:lineRule="exact"/>
              <w:rPr>
                <w:sz w:val="20"/>
                <w:szCs w:val="20"/>
                <w:color w:val="auto"/>
              </w:rPr>
            </w:pPr>
            <w:r>
              <w:rPr>
                <w:rFonts w:ascii="Arial" w:cs="Arial" w:eastAsia="Arial" w:hAnsi="Arial"/>
                <w:sz w:val="14"/>
                <w:szCs w:val="14"/>
                <w:color w:val="auto"/>
              </w:rPr>
              <w:t>2,073,669</w:t>
            </w:r>
          </w:p>
        </w:tc>
        <w:tc>
          <w:tcPr>
            <w:tcW w:w="320" w:type="dxa"/>
            <w:vAlign w:val="bottom"/>
            <w:vMerge w:val="continue"/>
          </w:tcPr>
          <w:p>
            <w:pPr>
              <w:spacing w:after="0"/>
              <w:rPr>
                <w:sz w:val="16"/>
                <w:szCs w:val="16"/>
                <w:color w:val="auto"/>
              </w:rPr>
            </w:pPr>
          </w:p>
        </w:tc>
        <w:tc>
          <w:tcPr>
            <w:tcW w:w="180" w:type="dxa"/>
            <w:vAlign w:val="bottom"/>
          </w:tcPr>
          <w:p>
            <w:pPr>
              <w:jc w:val="right"/>
              <w:ind w:right="30"/>
              <w:spacing w:after="0" w:line="151"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1" w:lineRule="exact"/>
              <w:rPr>
                <w:sz w:val="20"/>
                <w:szCs w:val="20"/>
                <w:color w:val="auto"/>
              </w:rPr>
            </w:pPr>
            <w:r>
              <w:rPr>
                <w:rFonts w:ascii="Arial" w:cs="Arial" w:eastAsia="Arial" w:hAnsi="Arial"/>
                <w:sz w:val="14"/>
                <w:szCs w:val="14"/>
                <w:color w:val="auto"/>
              </w:rPr>
              <w:t>83,427</w:t>
            </w:r>
          </w:p>
        </w:tc>
        <w:tc>
          <w:tcPr>
            <w:tcW w:w="30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1060" w:type="dxa"/>
            <w:vAlign w:val="bottom"/>
            <w:gridSpan w:val="2"/>
          </w:tcPr>
          <w:p>
            <w:pPr>
              <w:jc w:val="right"/>
              <w:ind w:right="240"/>
              <w:spacing w:after="0" w:line="151" w:lineRule="exact"/>
              <w:rPr>
                <w:sz w:val="20"/>
                <w:szCs w:val="20"/>
                <w:color w:val="auto"/>
              </w:rPr>
            </w:pPr>
            <w:r>
              <w:rPr>
                <w:rFonts w:ascii="Arial" w:cs="Arial" w:eastAsia="Arial" w:hAnsi="Arial"/>
                <w:sz w:val="14"/>
                <w:szCs w:val="14"/>
                <w:color w:val="auto"/>
              </w:rPr>
              <w:t>4.02%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51" w:lineRule="exact"/>
              <w:rPr>
                <w:sz w:val="20"/>
                <w:szCs w:val="20"/>
                <w:color w:val="auto"/>
              </w:rPr>
            </w:pPr>
            <w:r>
              <w:rPr>
                <w:rFonts w:ascii="Arial" w:cs="Arial" w:eastAsia="Arial" w:hAnsi="Arial"/>
                <w:sz w:val="14"/>
                <w:szCs w:val="14"/>
                <w:color w:val="auto"/>
              </w:rPr>
              <w:t>(161)</w:t>
            </w:r>
          </w:p>
        </w:tc>
        <w:tc>
          <w:tcPr>
            <w:tcW w:w="320" w:type="dxa"/>
            <w:vAlign w:val="bottom"/>
            <w:vMerge w:val="continue"/>
          </w:tcPr>
          <w:p>
            <w:pPr>
              <w:spacing w:after="0"/>
              <w:rPr>
                <w:sz w:val="16"/>
                <w:szCs w:val="16"/>
                <w:color w:val="auto"/>
              </w:rPr>
            </w:pPr>
          </w:p>
        </w:tc>
        <w:tc>
          <w:tcPr>
            <w:tcW w:w="1000" w:type="dxa"/>
            <w:vAlign w:val="bottom"/>
            <w:gridSpan w:val="2"/>
          </w:tcPr>
          <w:p>
            <w:pPr>
              <w:jc w:val="right"/>
              <w:ind w:right="20"/>
              <w:spacing w:after="0" w:line="151"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7"/>
        </w:trPr>
        <w:tc>
          <w:tcPr>
            <w:tcW w:w="408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First lien home equity loans and lines of credit:</w:t>
            </w:r>
          </w:p>
        </w:tc>
        <w:tc>
          <w:tcPr>
            <w:tcW w:w="132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tcPr>
          <w:p>
            <w:pPr>
              <w:ind w:left="240"/>
              <w:spacing w:after="0" w:line="158" w:lineRule="exact"/>
              <w:rPr>
                <w:sz w:val="20"/>
                <w:szCs w:val="20"/>
                <w:color w:val="auto"/>
              </w:rPr>
            </w:pPr>
            <w:r>
              <w:rPr>
                <w:rFonts w:ascii="Arial" w:cs="Arial" w:eastAsia="Arial" w:hAnsi="Arial"/>
                <w:sz w:val="14"/>
                <w:szCs w:val="14"/>
                <w:color w:val="auto"/>
              </w:rPr>
              <w:t>New York</w:t>
            </w:r>
          </w:p>
        </w:tc>
        <w:tc>
          <w:tcPr>
            <w:tcW w:w="14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1,118,292</w:t>
            </w:r>
          </w:p>
        </w:tc>
        <w:tc>
          <w:tcPr>
            <w:tcW w:w="500" w:type="dxa"/>
            <w:vAlign w:val="bottom"/>
            <w:gridSpan w:val="2"/>
          </w:tcPr>
          <w:p>
            <w:pPr>
              <w:jc w:val="right"/>
              <w:ind w:right="30"/>
              <w:spacing w:after="0" w:line="158"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8" w:lineRule="exact"/>
              <w:rPr>
                <w:sz w:val="20"/>
                <w:szCs w:val="20"/>
                <w:color w:val="auto"/>
              </w:rPr>
            </w:pPr>
            <w:r>
              <w:rPr>
                <w:rFonts w:ascii="Arial" w:cs="Arial" w:eastAsia="Arial" w:hAnsi="Arial"/>
                <w:sz w:val="14"/>
                <w:szCs w:val="14"/>
                <w:color w:val="auto"/>
              </w:rPr>
              <w:t>14,249</w:t>
            </w:r>
          </w:p>
        </w:tc>
        <w:tc>
          <w:tcPr>
            <w:tcW w:w="300" w:type="dxa"/>
            <w:vAlign w:val="bottom"/>
          </w:tcPr>
          <w:p>
            <w:pPr>
              <w:spacing w:after="0"/>
              <w:rPr>
                <w:sz w:val="13"/>
                <w:szCs w:val="13"/>
                <w:color w:val="auto"/>
              </w:rPr>
            </w:pPr>
          </w:p>
        </w:tc>
        <w:tc>
          <w:tcPr>
            <w:tcW w:w="1080" w:type="dxa"/>
            <w:vAlign w:val="bottom"/>
            <w:gridSpan w:val="3"/>
          </w:tcPr>
          <w:p>
            <w:pPr>
              <w:jc w:val="right"/>
              <w:ind w:right="240"/>
              <w:spacing w:after="0" w:line="158" w:lineRule="exact"/>
              <w:rPr>
                <w:sz w:val="20"/>
                <w:szCs w:val="20"/>
                <w:color w:val="auto"/>
              </w:rPr>
            </w:pPr>
            <w:r>
              <w:rPr>
                <w:rFonts w:ascii="Arial" w:cs="Arial" w:eastAsia="Arial" w:hAnsi="Arial"/>
                <w:sz w:val="14"/>
                <w:szCs w:val="14"/>
                <w:color w:val="auto"/>
              </w:rPr>
              <w:t>1.27%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1,280</w:t>
            </w:r>
          </w:p>
        </w:tc>
        <w:tc>
          <w:tcPr>
            <w:tcW w:w="320" w:type="dxa"/>
            <w:vAlign w:val="bottom"/>
          </w:tcPr>
          <w:p>
            <w:pPr>
              <w:spacing w:after="0"/>
              <w:rPr>
                <w:sz w:val="13"/>
                <w:szCs w:val="13"/>
                <w:color w:val="auto"/>
              </w:rPr>
            </w:pPr>
          </w:p>
        </w:tc>
        <w:tc>
          <w:tcPr>
            <w:tcW w:w="10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58"/>
        </w:trPr>
        <w:tc>
          <w:tcPr>
            <w:tcW w:w="408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Pennsylvania</w:t>
            </w:r>
          </w:p>
        </w:tc>
        <w:tc>
          <w:tcPr>
            <w:tcW w:w="1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677,735</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8,500</w:t>
            </w:r>
          </w:p>
        </w:tc>
        <w:tc>
          <w:tcPr>
            <w:tcW w:w="3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1.25</w:t>
            </w: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827</w:t>
            </w: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.12</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80" w:type="dxa"/>
            <w:vAlign w:val="bottom"/>
          </w:tcPr>
          <w:p>
            <w:pPr>
              <w:ind w:left="240"/>
              <w:spacing w:after="0" w:line="158" w:lineRule="exact"/>
              <w:rPr>
                <w:sz w:val="20"/>
                <w:szCs w:val="20"/>
                <w:color w:val="auto"/>
              </w:rPr>
            </w:pPr>
            <w:r>
              <w:rPr>
                <w:rFonts w:ascii="Arial" w:cs="Arial" w:eastAsia="Arial" w:hAnsi="Arial"/>
                <w:sz w:val="14"/>
                <w:szCs w:val="14"/>
                <w:color w:val="auto"/>
              </w:rPr>
              <w:t>Maryland</w:t>
            </w: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561,336</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line="158" w:lineRule="exact"/>
              <w:rPr>
                <w:sz w:val="20"/>
                <w:szCs w:val="20"/>
                <w:color w:val="auto"/>
              </w:rPr>
            </w:pPr>
            <w:r>
              <w:rPr>
                <w:rFonts w:ascii="Arial" w:cs="Arial" w:eastAsia="Arial" w:hAnsi="Arial"/>
                <w:sz w:val="14"/>
                <w:szCs w:val="14"/>
                <w:color w:val="auto"/>
              </w:rPr>
              <w:t>6,572</w:t>
            </w:r>
          </w:p>
        </w:tc>
        <w:tc>
          <w:tcPr>
            <w:tcW w:w="300" w:type="dxa"/>
            <w:vAlign w:val="bottom"/>
          </w:tcPr>
          <w:p>
            <w:pPr>
              <w:spacing w:after="0"/>
              <w:rPr>
                <w:sz w:val="13"/>
                <w:szCs w:val="13"/>
                <w:color w:val="auto"/>
              </w:rPr>
            </w:pPr>
          </w:p>
        </w:tc>
        <w:tc>
          <w:tcPr>
            <w:tcW w:w="7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1.17</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727</w:t>
            </w:r>
          </w:p>
        </w:tc>
        <w:tc>
          <w:tcPr>
            <w:tcW w:w="32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.13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8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New Jersey</w:t>
            </w:r>
          </w:p>
        </w:tc>
        <w:tc>
          <w:tcPr>
            <w:tcW w:w="1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68,550</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899</w:t>
            </w:r>
          </w:p>
        </w:tc>
        <w:tc>
          <w:tcPr>
            <w:tcW w:w="3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1.31</w:t>
            </w: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11</w:t>
            </w: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.02</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80" w:type="dxa"/>
            <w:vAlign w:val="bottom"/>
          </w:tcPr>
          <w:p>
            <w:pPr>
              <w:ind w:left="240"/>
              <w:spacing w:after="0" w:line="158" w:lineRule="exact"/>
              <w:rPr>
                <w:sz w:val="20"/>
                <w:szCs w:val="20"/>
                <w:color w:val="auto"/>
              </w:rPr>
            </w:pPr>
            <w:r>
              <w:rPr>
                <w:rFonts w:ascii="Arial" w:cs="Arial" w:eastAsia="Arial" w:hAnsi="Arial"/>
                <w:sz w:val="14"/>
                <w:szCs w:val="14"/>
                <w:color w:val="auto"/>
              </w:rPr>
              <w:t>Other Mid-Atlantic (a)</w:t>
            </w: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185,943</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line="158" w:lineRule="exact"/>
              <w:rPr>
                <w:sz w:val="20"/>
                <w:szCs w:val="20"/>
                <w:color w:val="auto"/>
              </w:rPr>
            </w:pPr>
            <w:r>
              <w:rPr>
                <w:rFonts w:ascii="Arial" w:cs="Arial" w:eastAsia="Arial" w:hAnsi="Arial"/>
                <w:sz w:val="14"/>
                <w:szCs w:val="14"/>
                <w:color w:val="auto"/>
              </w:rPr>
              <w:t>2,396</w:t>
            </w:r>
          </w:p>
        </w:tc>
        <w:tc>
          <w:tcPr>
            <w:tcW w:w="300" w:type="dxa"/>
            <w:vAlign w:val="bottom"/>
          </w:tcPr>
          <w:p>
            <w:pPr>
              <w:spacing w:after="0"/>
              <w:rPr>
                <w:sz w:val="13"/>
                <w:szCs w:val="13"/>
                <w:color w:val="auto"/>
              </w:rPr>
            </w:pPr>
          </w:p>
        </w:tc>
        <w:tc>
          <w:tcPr>
            <w:tcW w:w="7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1.29</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165</w:t>
            </w:r>
          </w:p>
        </w:tc>
        <w:tc>
          <w:tcPr>
            <w:tcW w:w="32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.09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8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Other</w:t>
            </w:r>
          </w:p>
        </w:tc>
        <w:tc>
          <w:tcPr>
            <w:tcW w:w="13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32,842</w:t>
            </w:r>
          </w:p>
        </w:tc>
        <w:tc>
          <w:tcPr>
            <w:tcW w:w="3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1,320</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4.02</w:t>
            </w:r>
          </w:p>
        </w:tc>
        <w:tc>
          <w:tcPr>
            <w:tcW w:w="34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69</w:t>
            </w:r>
          </w:p>
        </w:tc>
        <w:tc>
          <w:tcPr>
            <w:tcW w:w="320" w:type="dxa"/>
            <w:vAlign w:val="bottom"/>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.22</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240"/>
              <w:spacing w:after="0" w:line="151" w:lineRule="exact"/>
              <w:rPr>
                <w:sz w:val="20"/>
                <w:szCs w:val="20"/>
                <w:color w:val="auto"/>
              </w:rPr>
            </w:pPr>
            <w:r>
              <w:rPr>
                <w:rFonts w:ascii="Arial" w:cs="Arial" w:eastAsia="Arial" w:hAnsi="Arial"/>
                <w:sz w:val="14"/>
                <w:szCs w:val="14"/>
                <w:color w:val="auto"/>
              </w:rPr>
              <w:t>Total</w:t>
            </w:r>
          </w:p>
        </w:tc>
        <w:tc>
          <w:tcPr>
            <w:tcW w:w="1320" w:type="dxa"/>
            <w:vAlign w:val="bottom"/>
          </w:tcPr>
          <w:p>
            <w:pPr>
              <w:spacing w:after="0"/>
              <w:rPr>
                <w:sz w:val="16"/>
                <w:szCs w:val="16"/>
                <w:color w:val="auto"/>
              </w:rPr>
            </w:pPr>
          </w:p>
        </w:tc>
        <w:tc>
          <w:tcPr>
            <w:tcW w:w="14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1" w:lineRule="exact"/>
              <w:rPr>
                <w:sz w:val="20"/>
                <w:szCs w:val="20"/>
                <w:color w:val="auto"/>
              </w:rPr>
            </w:pPr>
            <w:r>
              <w:rPr>
                <w:rFonts w:ascii="Arial" w:cs="Arial" w:eastAsia="Arial" w:hAnsi="Arial"/>
                <w:sz w:val="14"/>
                <w:szCs w:val="14"/>
                <w:color w:val="auto"/>
              </w:rPr>
              <w:t>2,644,698</w:t>
            </w:r>
          </w:p>
        </w:tc>
        <w:tc>
          <w:tcPr>
            <w:tcW w:w="320" w:type="dxa"/>
            <w:vAlign w:val="bottom"/>
          </w:tcPr>
          <w:p>
            <w:pPr>
              <w:spacing w:after="0"/>
              <w:rPr>
                <w:sz w:val="16"/>
                <w:szCs w:val="16"/>
                <w:color w:val="auto"/>
              </w:rPr>
            </w:pPr>
          </w:p>
        </w:tc>
        <w:tc>
          <w:tcPr>
            <w:tcW w:w="180" w:type="dxa"/>
            <w:vAlign w:val="bottom"/>
          </w:tcPr>
          <w:p>
            <w:pPr>
              <w:jc w:val="right"/>
              <w:ind w:right="30"/>
              <w:spacing w:after="0" w:line="151"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1" w:lineRule="exact"/>
              <w:rPr>
                <w:sz w:val="20"/>
                <w:szCs w:val="20"/>
                <w:color w:val="auto"/>
              </w:rPr>
            </w:pPr>
            <w:r>
              <w:rPr>
                <w:rFonts w:ascii="Arial" w:cs="Arial" w:eastAsia="Arial" w:hAnsi="Arial"/>
                <w:sz w:val="14"/>
                <w:szCs w:val="14"/>
                <w:color w:val="auto"/>
              </w:rPr>
              <w:t>33,936</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2"/>
          </w:tcPr>
          <w:p>
            <w:pPr>
              <w:jc w:val="right"/>
              <w:ind w:right="240"/>
              <w:spacing w:after="0" w:line="151" w:lineRule="exact"/>
              <w:rPr>
                <w:sz w:val="20"/>
                <w:szCs w:val="20"/>
                <w:color w:val="auto"/>
              </w:rPr>
            </w:pPr>
            <w:r>
              <w:rPr>
                <w:rFonts w:ascii="Arial" w:cs="Arial" w:eastAsia="Arial" w:hAnsi="Arial"/>
                <w:sz w:val="14"/>
                <w:szCs w:val="14"/>
                <w:color w:val="auto"/>
              </w:rPr>
              <w:t>1.28%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51" w:lineRule="exact"/>
              <w:rPr>
                <w:sz w:val="20"/>
                <w:szCs w:val="20"/>
                <w:color w:val="auto"/>
              </w:rPr>
            </w:pPr>
            <w:r>
              <w:rPr>
                <w:rFonts w:ascii="Arial" w:cs="Arial" w:eastAsia="Arial" w:hAnsi="Arial"/>
                <w:sz w:val="14"/>
                <w:szCs w:val="14"/>
                <w:color w:val="auto"/>
              </w:rPr>
              <w:t>3,079</w:t>
            </w:r>
          </w:p>
        </w:tc>
        <w:tc>
          <w:tcPr>
            <w:tcW w:w="320" w:type="dxa"/>
            <w:vAlign w:val="bottom"/>
          </w:tcPr>
          <w:p>
            <w:pPr>
              <w:spacing w:after="0"/>
              <w:rPr>
                <w:sz w:val="16"/>
                <w:szCs w:val="16"/>
                <w:color w:val="auto"/>
              </w:rPr>
            </w:pPr>
          </w:p>
        </w:tc>
        <w:tc>
          <w:tcPr>
            <w:tcW w:w="100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7"/>
        </w:trPr>
        <w:tc>
          <w:tcPr>
            <w:tcW w:w="408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Junior lien home equity loans and lines of credit:</w:t>
            </w:r>
          </w:p>
        </w:tc>
        <w:tc>
          <w:tcPr>
            <w:tcW w:w="132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tcPr>
          <w:p>
            <w:pPr>
              <w:ind w:left="240"/>
              <w:spacing w:after="0" w:line="158" w:lineRule="exact"/>
              <w:rPr>
                <w:sz w:val="20"/>
                <w:szCs w:val="20"/>
                <w:color w:val="auto"/>
              </w:rPr>
            </w:pPr>
            <w:r>
              <w:rPr>
                <w:rFonts w:ascii="Arial" w:cs="Arial" w:eastAsia="Arial" w:hAnsi="Arial"/>
                <w:sz w:val="14"/>
                <w:szCs w:val="14"/>
                <w:color w:val="auto"/>
              </w:rPr>
              <w:t>New York</w:t>
            </w:r>
          </w:p>
        </w:tc>
        <w:tc>
          <w:tcPr>
            <w:tcW w:w="14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673,431</w:t>
            </w:r>
          </w:p>
        </w:tc>
        <w:tc>
          <w:tcPr>
            <w:tcW w:w="500" w:type="dxa"/>
            <w:vAlign w:val="bottom"/>
            <w:gridSpan w:val="2"/>
          </w:tcPr>
          <w:p>
            <w:pPr>
              <w:jc w:val="right"/>
              <w:ind w:right="30"/>
              <w:spacing w:after="0" w:line="158"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8" w:lineRule="exact"/>
              <w:rPr>
                <w:sz w:val="20"/>
                <w:szCs w:val="20"/>
                <w:color w:val="auto"/>
              </w:rPr>
            </w:pPr>
            <w:r>
              <w:rPr>
                <w:rFonts w:ascii="Arial" w:cs="Arial" w:eastAsia="Arial" w:hAnsi="Arial"/>
                <w:sz w:val="14"/>
                <w:szCs w:val="14"/>
                <w:color w:val="auto"/>
              </w:rPr>
              <w:t>14,354</w:t>
            </w:r>
          </w:p>
        </w:tc>
        <w:tc>
          <w:tcPr>
            <w:tcW w:w="300" w:type="dxa"/>
            <w:vAlign w:val="bottom"/>
          </w:tcPr>
          <w:p>
            <w:pPr>
              <w:spacing w:after="0"/>
              <w:rPr>
                <w:sz w:val="13"/>
                <w:szCs w:val="13"/>
                <w:color w:val="auto"/>
              </w:rPr>
            </w:pPr>
          </w:p>
        </w:tc>
        <w:tc>
          <w:tcPr>
            <w:tcW w:w="1080" w:type="dxa"/>
            <w:vAlign w:val="bottom"/>
            <w:gridSpan w:val="3"/>
          </w:tcPr>
          <w:p>
            <w:pPr>
              <w:jc w:val="right"/>
              <w:ind w:right="240"/>
              <w:spacing w:after="0" w:line="158" w:lineRule="exact"/>
              <w:rPr>
                <w:sz w:val="20"/>
                <w:szCs w:val="20"/>
                <w:color w:val="auto"/>
              </w:rPr>
            </w:pPr>
            <w:r>
              <w:rPr>
                <w:rFonts w:ascii="Arial" w:cs="Arial" w:eastAsia="Arial" w:hAnsi="Arial"/>
                <w:sz w:val="14"/>
                <w:szCs w:val="14"/>
                <w:color w:val="auto"/>
              </w:rPr>
              <w:t>2.13%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500</w:t>
            </w:r>
          </w:p>
        </w:tc>
        <w:tc>
          <w:tcPr>
            <w:tcW w:w="320" w:type="dxa"/>
            <w:vAlign w:val="bottom"/>
          </w:tcPr>
          <w:p>
            <w:pPr>
              <w:spacing w:after="0"/>
              <w:rPr>
                <w:sz w:val="13"/>
                <w:szCs w:val="13"/>
                <w:color w:val="auto"/>
              </w:rPr>
            </w:pPr>
          </w:p>
        </w:tc>
        <w:tc>
          <w:tcPr>
            <w:tcW w:w="10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58"/>
        </w:trPr>
        <w:tc>
          <w:tcPr>
            <w:tcW w:w="408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Pennsylvania</w:t>
            </w:r>
          </w:p>
        </w:tc>
        <w:tc>
          <w:tcPr>
            <w:tcW w:w="1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251,359</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2,997</w:t>
            </w:r>
          </w:p>
        </w:tc>
        <w:tc>
          <w:tcPr>
            <w:tcW w:w="3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1.19</w:t>
            </w: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306</w:t>
            </w: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.12</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80" w:type="dxa"/>
            <w:vAlign w:val="bottom"/>
          </w:tcPr>
          <w:p>
            <w:pPr>
              <w:ind w:left="240"/>
              <w:spacing w:after="0" w:line="158" w:lineRule="exact"/>
              <w:rPr>
                <w:sz w:val="20"/>
                <w:szCs w:val="20"/>
                <w:color w:val="auto"/>
              </w:rPr>
            </w:pPr>
            <w:r>
              <w:rPr>
                <w:rFonts w:ascii="Arial" w:cs="Arial" w:eastAsia="Arial" w:hAnsi="Arial"/>
                <w:sz w:val="14"/>
                <w:szCs w:val="14"/>
                <w:color w:val="auto"/>
              </w:rPr>
              <w:t>Maryland</w:t>
            </w: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529,723</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line="158" w:lineRule="exact"/>
              <w:rPr>
                <w:sz w:val="20"/>
                <w:szCs w:val="20"/>
                <w:color w:val="auto"/>
              </w:rPr>
            </w:pPr>
            <w:r>
              <w:rPr>
                <w:rFonts w:ascii="Arial" w:cs="Arial" w:eastAsia="Arial" w:hAnsi="Arial"/>
                <w:sz w:val="14"/>
                <w:szCs w:val="14"/>
                <w:color w:val="auto"/>
              </w:rPr>
              <w:t>7,191</w:t>
            </w:r>
          </w:p>
        </w:tc>
        <w:tc>
          <w:tcPr>
            <w:tcW w:w="300" w:type="dxa"/>
            <w:vAlign w:val="bottom"/>
          </w:tcPr>
          <w:p>
            <w:pPr>
              <w:spacing w:after="0"/>
              <w:rPr>
                <w:sz w:val="13"/>
                <w:szCs w:val="13"/>
                <w:color w:val="auto"/>
              </w:rPr>
            </w:pPr>
          </w:p>
        </w:tc>
        <w:tc>
          <w:tcPr>
            <w:tcW w:w="7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1.36</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(290)</w:t>
            </w:r>
          </w:p>
        </w:tc>
        <w:tc>
          <w:tcPr>
            <w:tcW w:w="100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58"/>
        </w:trPr>
        <w:tc>
          <w:tcPr>
            <w:tcW w:w="408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New Jersey</w:t>
            </w:r>
          </w:p>
        </w:tc>
        <w:tc>
          <w:tcPr>
            <w:tcW w:w="1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96,355</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1,310</w:t>
            </w:r>
          </w:p>
        </w:tc>
        <w:tc>
          <w:tcPr>
            <w:tcW w:w="3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1.36</w:t>
            </w: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1,670</w:t>
            </w: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1.69</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80" w:type="dxa"/>
            <w:vAlign w:val="bottom"/>
          </w:tcPr>
          <w:p>
            <w:pPr>
              <w:ind w:left="240"/>
              <w:spacing w:after="0" w:line="158" w:lineRule="exact"/>
              <w:rPr>
                <w:sz w:val="20"/>
                <w:szCs w:val="20"/>
                <w:color w:val="auto"/>
              </w:rPr>
            </w:pPr>
            <w:r>
              <w:rPr>
                <w:rFonts w:ascii="Arial" w:cs="Arial" w:eastAsia="Arial" w:hAnsi="Arial"/>
                <w:sz w:val="14"/>
                <w:szCs w:val="14"/>
                <w:color w:val="auto"/>
              </w:rPr>
              <w:t>Other Mid-Atlantic (a)</w:t>
            </w: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239,706</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line="158" w:lineRule="exact"/>
              <w:rPr>
                <w:sz w:val="20"/>
                <w:szCs w:val="20"/>
                <w:color w:val="auto"/>
              </w:rPr>
            </w:pPr>
            <w:r>
              <w:rPr>
                <w:rFonts w:ascii="Arial" w:cs="Arial" w:eastAsia="Arial" w:hAnsi="Arial"/>
                <w:sz w:val="14"/>
                <w:szCs w:val="14"/>
                <w:color w:val="auto"/>
              </w:rPr>
              <w:t>2,079</w:t>
            </w:r>
          </w:p>
        </w:tc>
        <w:tc>
          <w:tcPr>
            <w:tcW w:w="300" w:type="dxa"/>
            <w:vAlign w:val="bottom"/>
          </w:tcPr>
          <w:p>
            <w:pPr>
              <w:spacing w:after="0"/>
              <w:rPr>
                <w:sz w:val="13"/>
                <w:szCs w:val="13"/>
                <w:color w:val="auto"/>
              </w:rPr>
            </w:pPr>
          </w:p>
        </w:tc>
        <w:tc>
          <w:tcPr>
            <w:tcW w:w="7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.87</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6</w:t>
            </w:r>
          </w:p>
        </w:tc>
        <w:tc>
          <w:tcPr>
            <w:tcW w:w="320" w:type="dxa"/>
            <w:vAlign w:val="bottom"/>
          </w:tcPr>
          <w:p>
            <w:pPr>
              <w:spacing w:after="0"/>
              <w:rPr>
                <w:sz w:val="13"/>
                <w:szCs w:val="13"/>
                <w:color w:val="auto"/>
              </w:rPr>
            </w:pPr>
          </w:p>
        </w:tc>
        <w:tc>
          <w:tcPr>
            <w:tcW w:w="10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408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Other</w:t>
            </w:r>
          </w:p>
        </w:tc>
        <w:tc>
          <w:tcPr>
            <w:tcW w:w="13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40,864</w:t>
            </w:r>
          </w:p>
        </w:tc>
        <w:tc>
          <w:tcPr>
            <w:tcW w:w="3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993</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2.43</w:t>
            </w:r>
          </w:p>
        </w:tc>
        <w:tc>
          <w:tcPr>
            <w:tcW w:w="34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127</w:t>
            </w:r>
          </w:p>
        </w:tc>
        <w:tc>
          <w:tcPr>
            <w:tcW w:w="320" w:type="dxa"/>
            <w:vAlign w:val="bottom"/>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.31</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240"/>
              <w:spacing w:after="0" w:line="151" w:lineRule="exact"/>
              <w:rPr>
                <w:sz w:val="20"/>
                <w:szCs w:val="20"/>
                <w:color w:val="auto"/>
              </w:rPr>
            </w:pPr>
            <w:r>
              <w:rPr>
                <w:rFonts w:ascii="Arial" w:cs="Arial" w:eastAsia="Arial" w:hAnsi="Arial"/>
                <w:sz w:val="14"/>
                <w:szCs w:val="14"/>
                <w:color w:val="auto"/>
              </w:rPr>
              <w:t>Total</w:t>
            </w:r>
          </w:p>
        </w:tc>
        <w:tc>
          <w:tcPr>
            <w:tcW w:w="1320" w:type="dxa"/>
            <w:vAlign w:val="bottom"/>
          </w:tcPr>
          <w:p>
            <w:pPr>
              <w:spacing w:after="0"/>
              <w:rPr>
                <w:sz w:val="16"/>
                <w:szCs w:val="16"/>
                <w:color w:val="auto"/>
              </w:rPr>
            </w:pPr>
          </w:p>
        </w:tc>
        <w:tc>
          <w:tcPr>
            <w:tcW w:w="14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1" w:lineRule="exact"/>
              <w:rPr>
                <w:sz w:val="20"/>
                <w:szCs w:val="20"/>
                <w:color w:val="auto"/>
              </w:rPr>
            </w:pPr>
            <w:r>
              <w:rPr>
                <w:rFonts w:ascii="Arial" w:cs="Arial" w:eastAsia="Arial" w:hAnsi="Arial"/>
                <w:sz w:val="14"/>
                <w:szCs w:val="14"/>
                <w:color w:val="auto"/>
              </w:rPr>
              <w:t>1,831,438</w:t>
            </w:r>
          </w:p>
        </w:tc>
        <w:tc>
          <w:tcPr>
            <w:tcW w:w="320" w:type="dxa"/>
            <w:vAlign w:val="bottom"/>
          </w:tcPr>
          <w:p>
            <w:pPr>
              <w:spacing w:after="0"/>
              <w:rPr>
                <w:sz w:val="16"/>
                <w:szCs w:val="16"/>
                <w:color w:val="auto"/>
              </w:rPr>
            </w:pPr>
          </w:p>
        </w:tc>
        <w:tc>
          <w:tcPr>
            <w:tcW w:w="180" w:type="dxa"/>
            <w:vAlign w:val="bottom"/>
          </w:tcPr>
          <w:p>
            <w:pPr>
              <w:jc w:val="right"/>
              <w:ind w:right="30"/>
              <w:spacing w:after="0" w:line="151"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1" w:lineRule="exact"/>
              <w:rPr>
                <w:sz w:val="20"/>
                <w:szCs w:val="20"/>
                <w:color w:val="auto"/>
              </w:rPr>
            </w:pPr>
            <w:r>
              <w:rPr>
                <w:rFonts w:ascii="Arial" w:cs="Arial" w:eastAsia="Arial" w:hAnsi="Arial"/>
                <w:sz w:val="14"/>
                <w:szCs w:val="14"/>
                <w:color w:val="auto"/>
              </w:rPr>
              <w:t>28,924</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2"/>
          </w:tcPr>
          <w:p>
            <w:pPr>
              <w:jc w:val="right"/>
              <w:ind w:right="240"/>
              <w:spacing w:after="0" w:line="151" w:lineRule="exact"/>
              <w:rPr>
                <w:sz w:val="20"/>
                <w:szCs w:val="20"/>
                <w:color w:val="auto"/>
              </w:rPr>
            </w:pPr>
            <w:r>
              <w:rPr>
                <w:rFonts w:ascii="Arial" w:cs="Arial" w:eastAsia="Arial" w:hAnsi="Arial"/>
                <w:sz w:val="14"/>
                <w:szCs w:val="14"/>
                <w:color w:val="auto"/>
              </w:rPr>
              <w:t>1.58%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51" w:lineRule="exact"/>
              <w:rPr>
                <w:sz w:val="20"/>
                <w:szCs w:val="20"/>
                <w:color w:val="auto"/>
              </w:rPr>
            </w:pPr>
            <w:r>
              <w:rPr>
                <w:rFonts w:ascii="Arial" w:cs="Arial" w:eastAsia="Arial" w:hAnsi="Arial"/>
                <w:sz w:val="14"/>
                <w:szCs w:val="14"/>
                <w:color w:val="auto"/>
              </w:rPr>
              <w:t>2,319</w:t>
            </w:r>
          </w:p>
        </w:tc>
        <w:tc>
          <w:tcPr>
            <w:tcW w:w="320" w:type="dxa"/>
            <w:vAlign w:val="bottom"/>
          </w:tcPr>
          <w:p>
            <w:pPr>
              <w:spacing w:after="0"/>
              <w:rPr>
                <w:sz w:val="16"/>
                <w:szCs w:val="16"/>
                <w:color w:val="auto"/>
              </w:rPr>
            </w:pPr>
          </w:p>
        </w:tc>
        <w:tc>
          <w:tcPr>
            <w:tcW w:w="100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7"/>
        </w:trPr>
        <w:tc>
          <w:tcPr>
            <w:tcW w:w="408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Limited documentation junior lien:</w:t>
            </w:r>
          </w:p>
        </w:tc>
        <w:tc>
          <w:tcPr>
            <w:tcW w:w="132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tcPr>
          <w:p>
            <w:pPr>
              <w:ind w:left="240"/>
              <w:spacing w:after="0" w:line="158" w:lineRule="exact"/>
              <w:rPr>
                <w:sz w:val="20"/>
                <w:szCs w:val="20"/>
                <w:color w:val="auto"/>
              </w:rPr>
            </w:pPr>
            <w:r>
              <w:rPr>
                <w:rFonts w:ascii="Arial" w:cs="Arial" w:eastAsia="Arial" w:hAnsi="Arial"/>
                <w:sz w:val="14"/>
                <w:szCs w:val="14"/>
                <w:color w:val="auto"/>
              </w:rPr>
              <w:t>New York</w:t>
            </w:r>
          </w:p>
        </w:tc>
        <w:tc>
          <w:tcPr>
            <w:tcW w:w="14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573</w:t>
            </w:r>
          </w:p>
        </w:tc>
        <w:tc>
          <w:tcPr>
            <w:tcW w:w="500" w:type="dxa"/>
            <w:vAlign w:val="bottom"/>
            <w:gridSpan w:val="2"/>
          </w:tcPr>
          <w:p>
            <w:pPr>
              <w:jc w:val="right"/>
              <w:ind w:right="30"/>
              <w:spacing w:after="0" w:line="158"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8" w:lineRule="exact"/>
              <w:rPr>
                <w:sz w:val="20"/>
                <w:szCs w:val="20"/>
                <w:color w:val="auto"/>
              </w:rPr>
            </w:pPr>
            <w:r>
              <w:rPr>
                <w:rFonts w:ascii="Arial" w:cs="Arial" w:eastAsia="Arial" w:hAnsi="Arial"/>
                <w:sz w:val="14"/>
                <w:szCs w:val="14"/>
                <w:color w:val="auto"/>
              </w:rPr>
              <w:t>35</w:t>
            </w:r>
          </w:p>
        </w:tc>
        <w:tc>
          <w:tcPr>
            <w:tcW w:w="300" w:type="dxa"/>
            <w:vAlign w:val="bottom"/>
          </w:tcPr>
          <w:p>
            <w:pPr>
              <w:spacing w:after="0"/>
              <w:rPr>
                <w:sz w:val="13"/>
                <w:szCs w:val="13"/>
                <w:color w:val="auto"/>
              </w:rPr>
            </w:pPr>
          </w:p>
        </w:tc>
        <w:tc>
          <w:tcPr>
            <w:tcW w:w="1080" w:type="dxa"/>
            <w:vAlign w:val="bottom"/>
            <w:gridSpan w:val="3"/>
          </w:tcPr>
          <w:p>
            <w:pPr>
              <w:jc w:val="right"/>
              <w:ind w:right="240"/>
              <w:spacing w:after="0" w:line="158" w:lineRule="exact"/>
              <w:rPr>
                <w:sz w:val="20"/>
                <w:szCs w:val="20"/>
                <w:color w:val="auto"/>
              </w:rPr>
            </w:pPr>
            <w:r>
              <w:rPr>
                <w:rFonts w:ascii="Arial" w:cs="Arial" w:eastAsia="Arial" w:hAnsi="Arial"/>
                <w:sz w:val="14"/>
                <w:szCs w:val="14"/>
                <w:color w:val="auto"/>
              </w:rPr>
              <w:t>6.11%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(4)</w:t>
            </w:r>
          </w:p>
        </w:tc>
        <w:tc>
          <w:tcPr>
            <w:tcW w:w="100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58"/>
        </w:trPr>
        <w:tc>
          <w:tcPr>
            <w:tcW w:w="408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Pennsylvania</w:t>
            </w:r>
          </w:p>
        </w:tc>
        <w:tc>
          <w:tcPr>
            <w:tcW w:w="1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218</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36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4080" w:type="dxa"/>
            <w:vAlign w:val="bottom"/>
          </w:tcPr>
          <w:p>
            <w:pPr>
              <w:ind w:left="240"/>
              <w:spacing w:after="0" w:line="158" w:lineRule="exact"/>
              <w:rPr>
                <w:sz w:val="20"/>
                <w:szCs w:val="20"/>
                <w:color w:val="auto"/>
              </w:rPr>
            </w:pPr>
            <w:r>
              <w:rPr>
                <w:rFonts w:ascii="Arial" w:cs="Arial" w:eastAsia="Arial" w:hAnsi="Arial"/>
                <w:sz w:val="14"/>
                <w:szCs w:val="14"/>
                <w:color w:val="auto"/>
              </w:rPr>
              <w:t>Maryland</w:t>
            </w: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1,077</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line="158" w:lineRule="exact"/>
              <w:rPr>
                <w:sz w:val="20"/>
                <w:szCs w:val="20"/>
                <w:color w:val="auto"/>
              </w:rPr>
            </w:pPr>
            <w:r>
              <w:rPr>
                <w:rFonts w:ascii="Arial" w:cs="Arial" w:eastAsia="Arial" w:hAnsi="Arial"/>
                <w:sz w:val="14"/>
                <w:szCs w:val="14"/>
                <w:color w:val="auto"/>
              </w:rPr>
              <w:t>50</w:t>
            </w:r>
          </w:p>
        </w:tc>
        <w:tc>
          <w:tcPr>
            <w:tcW w:w="300" w:type="dxa"/>
            <w:vAlign w:val="bottom"/>
          </w:tcPr>
          <w:p>
            <w:pPr>
              <w:spacing w:after="0"/>
              <w:rPr>
                <w:sz w:val="13"/>
                <w:szCs w:val="13"/>
                <w:color w:val="auto"/>
              </w:rPr>
            </w:pPr>
          </w:p>
        </w:tc>
        <w:tc>
          <w:tcPr>
            <w:tcW w:w="7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4.64</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83</w:t>
            </w:r>
          </w:p>
        </w:tc>
        <w:tc>
          <w:tcPr>
            <w:tcW w:w="32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6.91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8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New Jersey</w:t>
            </w:r>
          </w:p>
        </w:tc>
        <w:tc>
          <w:tcPr>
            <w:tcW w:w="1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123</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36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146</w:t>
            </w: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48.66</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80" w:type="dxa"/>
            <w:vAlign w:val="bottom"/>
          </w:tcPr>
          <w:p>
            <w:pPr>
              <w:ind w:left="240"/>
              <w:spacing w:after="0" w:line="158" w:lineRule="exact"/>
              <w:rPr>
                <w:sz w:val="20"/>
                <w:szCs w:val="20"/>
                <w:color w:val="auto"/>
              </w:rPr>
            </w:pPr>
            <w:r>
              <w:rPr>
                <w:rFonts w:ascii="Arial" w:cs="Arial" w:eastAsia="Arial" w:hAnsi="Arial"/>
                <w:sz w:val="14"/>
                <w:szCs w:val="14"/>
                <w:color w:val="auto"/>
              </w:rPr>
              <w:t>Other Mid-Atlantic (a)</w:t>
            </w: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537</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line="158" w:lineRule="exact"/>
              <w:rPr>
                <w:sz w:val="20"/>
                <w:szCs w:val="20"/>
                <w:color w:val="auto"/>
              </w:rPr>
            </w:pPr>
            <w:r>
              <w:rPr>
                <w:rFonts w:ascii="Arial" w:cs="Arial" w:eastAsia="Arial" w:hAnsi="Arial"/>
                <w:sz w:val="14"/>
                <w:szCs w:val="14"/>
                <w:color w:val="auto"/>
              </w:rPr>
              <w:t>33</w:t>
            </w:r>
          </w:p>
        </w:tc>
        <w:tc>
          <w:tcPr>
            <w:tcW w:w="300" w:type="dxa"/>
            <w:vAlign w:val="bottom"/>
          </w:tcPr>
          <w:p>
            <w:pPr>
              <w:spacing w:after="0"/>
              <w:rPr>
                <w:sz w:val="13"/>
                <w:szCs w:val="13"/>
                <w:color w:val="auto"/>
              </w:rPr>
            </w:pPr>
          </w:p>
        </w:tc>
        <w:tc>
          <w:tcPr>
            <w:tcW w:w="7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6.15</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408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Other</w:t>
            </w:r>
          </w:p>
        </w:tc>
        <w:tc>
          <w:tcPr>
            <w:tcW w:w="1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2,953</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237</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8.03</w:t>
            </w: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60"/>
              <w:spacing w:after="0" w:line="158" w:lineRule="exact"/>
              <w:rPr>
                <w:sz w:val="20"/>
                <w:szCs w:val="20"/>
                <w:color w:val="auto"/>
              </w:rPr>
            </w:pPr>
            <w:r>
              <w:rPr>
                <w:rFonts w:ascii="Arial" w:cs="Arial" w:eastAsia="Arial" w:hAnsi="Arial"/>
                <w:sz w:val="14"/>
                <w:szCs w:val="14"/>
                <w:color w:val="auto"/>
              </w:rPr>
              <w:t>(70)</w:t>
            </w:r>
          </w:p>
        </w:tc>
        <w:tc>
          <w:tcPr>
            <w:tcW w:w="100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240"/>
              <w:spacing w:after="0"/>
              <w:rPr>
                <w:sz w:val="20"/>
                <w:szCs w:val="20"/>
                <w:color w:val="auto"/>
              </w:rPr>
            </w:pPr>
            <w:r>
              <w:rPr>
                <w:rFonts w:ascii="Arial" w:cs="Arial" w:eastAsia="Arial" w:hAnsi="Arial"/>
                <w:sz w:val="14"/>
                <w:szCs w:val="14"/>
                <w:color w:val="auto"/>
              </w:rPr>
              <w:t>Total</w:t>
            </w:r>
          </w:p>
        </w:tc>
        <w:tc>
          <w:tcPr>
            <w:tcW w:w="13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4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1" w:lineRule="exact"/>
              <w:rPr>
                <w:sz w:val="20"/>
                <w:szCs w:val="20"/>
                <w:color w:val="auto"/>
              </w:rPr>
            </w:pPr>
            <w:r>
              <w:rPr>
                <w:rFonts w:ascii="Arial" w:cs="Arial" w:eastAsia="Arial" w:hAnsi="Arial"/>
                <w:sz w:val="14"/>
                <w:szCs w:val="14"/>
                <w:color w:val="auto"/>
              </w:rPr>
              <w:t>5,481</w:t>
            </w:r>
          </w:p>
        </w:tc>
        <w:tc>
          <w:tcPr>
            <w:tcW w:w="320" w:type="dxa"/>
            <w:vAlign w:val="bottom"/>
            <w:vMerge w:val="continue"/>
          </w:tcPr>
          <w:p>
            <w:pPr>
              <w:spacing w:after="0"/>
              <w:rPr>
                <w:sz w:val="13"/>
                <w:szCs w:val="13"/>
                <w:color w:val="auto"/>
              </w:rPr>
            </w:pPr>
          </w:p>
        </w:tc>
        <w:tc>
          <w:tcPr>
            <w:tcW w:w="180" w:type="dxa"/>
            <w:vAlign w:val="bottom"/>
          </w:tcPr>
          <w:p>
            <w:pPr>
              <w:jc w:val="right"/>
              <w:ind w:right="30"/>
              <w:spacing w:after="0" w:line="151"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1" w:lineRule="exact"/>
              <w:rPr>
                <w:sz w:val="20"/>
                <w:szCs w:val="20"/>
                <w:color w:val="auto"/>
              </w:rPr>
            </w:pPr>
            <w:r>
              <w:rPr>
                <w:rFonts w:ascii="Arial" w:cs="Arial" w:eastAsia="Arial" w:hAnsi="Arial"/>
                <w:sz w:val="14"/>
                <w:szCs w:val="14"/>
                <w:color w:val="auto"/>
              </w:rPr>
              <w:t>355</w:t>
            </w:r>
          </w:p>
        </w:tc>
        <w:tc>
          <w:tcPr>
            <w:tcW w:w="3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060" w:type="dxa"/>
            <w:vAlign w:val="bottom"/>
            <w:gridSpan w:val="2"/>
          </w:tcPr>
          <w:p>
            <w:pPr>
              <w:jc w:val="right"/>
              <w:ind w:right="240"/>
              <w:spacing w:after="0" w:line="151" w:lineRule="exact"/>
              <w:rPr>
                <w:sz w:val="20"/>
                <w:szCs w:val="20"/>
                <w:color w:val="auto"/>
              </w:rPr>
            </w:pPr>
            <w:r>
              <w:rPr>
                <w:rFonts w:ascii="Arial" w:cs="Arial" w:eastAsia="Arial" w:hAnsi="Arial"/>
                <w:sz w:val="14"/>
                <w:szCs w:val="14"/>
                <w:color w:val="auto"/>
              </w:rPr>
              <w:t>6.48%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51" w:lineRule="exact"/>
              <w:rPr>
                <w:sz w:val="20"/>
                <w:szCs w:val="20"/>
                <w:color w:val="auto"/>
              </w:rPr>
            </w:pPr>
            <w:r>
              <w:rPr>
                <w:rFonts w:ascii="Arial" w:cs="Arial" w:eastAsia="Arial" w:hAnsi="Arial"/>
                <w:sz w:val="14"/>
                <w:szCs w:val="14"/>
                <w:color w:val="auto"/>
              </w:rPr>
              <w:t>155</w:t>
            </w:r>
          </w:p>
        </w:tc>
        <w:tc>
          <w:tcPr>
            <w:tcW w:w="320" w:type="dxa"/>
            <w:vAlign w:val="bottom"/>
          </w:tcPr>
          <w:p>
            <w:pPr>
              <w:spacing w:after="0"/>
              <w:rPr>
                <w:sz w:val="13"/>
                <w:szCs w:val="13"/>
                <w:color w:val="auto"/>
              </w:rPr>
            </w:pPr>
          </w:p>
        </w:tc>
        <w:tc>
          <w:tcPr>
            <w:tcW w:w="100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67" w:lineRule="exact"/>
        <w:rPr>
          <w:sz w:val="20"/>
          <w:szCs w:val="20"/>
          <w:color w:val="auto"/>
        </w:rPr>
      </w:pPr>
    </w:p>
    <w:p>
      <w:pPr>
        <w:ind w:left="600" w:hanging="595"/>
        <w:spacing w:after="0"/>
        <w:tabs>
          <w:tab w:leader="none" w:pos="60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Includes Delaware, Virginia, West Virginia and the District of Columbia.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74" w:name="page75"/>
    <w:bookmarkEnd w:id="74"/>
    <w:p>
      <w:pPr>
        <w:ind w:right="60" w:firstLine="598"/>
        <w:spacing w:after="0" w:line="248" w:lineRule="auto"/>
        <w:rPr>
          <w:sz w:val="20"/>
          <w:szCs w:val="20"/>
          <w:color w:val="auto"/>
        </w:rPr>
      </w:pPr>
      <w:r>
        <w:rPr>
          <w:rFonts w:ascii="Arial" w:cs="Arial" w:eastAsia="Arial" w:hAnsi="Arial"/>
          <w:sz w:val="20"/>
          <w:szCs w:val="20"/>
          <w:color w:val="auto"/>
        </w:rPr>
        <w:t>Net charge-offs of consumer loans aggregated $97 million in each of 2019 and 2018, compared with $89 million in 2017. Included in net charge-offs of consumer loans were: automobile loans of $24 million in 2019, $33 million in 2018 and $34 million in 2017; recreational finance loans of $26 million, $17 million and $16 million during 2019, 2018 and 2017, respectively; and home equity loans and lines of credit secured by one-to-four family residential properties of $6 million in 2019, $7 million in 2018 and $11 million in 2017. Nonaccrual consumer loans were $102 million at December 31, 2019, compared with $110 million and $108 million at December 31, 2018 and 2017, respectively. Included in nonaccrual consumer loans at the 2019, 2018 and 2017 year-ends were: automobile loans of $21 million, $23 million and $24 million, respectively; recreational finance loans of $14 million, $11 million and $6 million, respectively; and outstanding balances of home equity loans and lines of credit of $63 million, $71 million and $75 million, respectively. Information about the location of nonaccrual and charged-off home equity loans and lines of credit as of and for the year ended December 31, 2019 is presented in table 14. Information about past due and nonaccrual loans as of December 31, 2019 and 2018 is also included in note 3 of Notes to Financial Statements.</w:t>
      </w:r>
    </w:p>
    <w:p>
      <w:pPr>
        <w:spacing w:after="0" w:line="5" w:lineRule="exact"/>
        <w:rPr>
          <w:sz w:val="20"/>
          <w:szCs w:val="20"/>
          <w:color w:val="auto"/>
        </w:rPr>
      </w:pPr>
    </w:p>
    <w:p>
      <w:pPr>
        <w:ind w:right="60" w:firstLine="598"/>
        <w:spacing w:after="0" w:line="246" w:lineRule="auto"/>
        <w:rPr>
          <w:sz w:val="20"/>
          <w:szCs w:val="20"/>
          <w:color w:val="auto"/>
        </w:rPr>
      </w:pPr>
      <w:r>
        <w:rPr>
          <w:rFonts w:ascii="Arial" w:cs="Arial" w:eastAsia="Arial" w:hAnsi="Arial"/>
          <w:sz w:val="20"/>
          <w:szCs w:val="20"/>
          <w:color w:val="auto"/>
        </w:rPr>
        <w:t>Real estate and other foreclosed assets totaled $86 million at December 31, 2019, compared with $78 million at December 31, 2018 and $112 million at December 31, 2017. Net gains or losses associated with real estate and other foreclosed assets were not material in 2019, 2018 or 2017. At December 31, 2019, the Company’s holding of residential real estate-related properties comprised approximately 89% of foreclosed assets.</w:t>
      </w:r>
    </w:p>
    <w:p>
      <w:pPr>
        <w:spacing w:after="0" w:line="3"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Management determined the allowance for credit losses pursuant to the incurred loss accounting provisions of GAAP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real estate values on the Company’s portfolio of loans secured by commercial and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(iv) the expected repayment performance associated with the Company’s first and second lien loans secured by residential real estate;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Management cautiously and conservatively evaluated the allowance for credit losses as of December 31, 2019 in light of:</w:t>
      </w:r>
    </w:p>
    <w:p>
      <w:pPr>
        <w:spacing w:after="0" w:line="7" w:lineRule="exact"/>
        <w:rPr>
          <w:sz w:val="20"/>
          <w:szCs w:val="20"/>
          <w:color w:val="auto"/>
        </w:rPr>
      </w:pPr>
    </w:p>
    <w:p>
      <w:pPr>
        <w:ind w:right="420" w:firstLine="5"/>
        <w:spacing w:after="0" w:line="274" w:lineRule="auto"/>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residential real estate values and the level of delinquencies of loans secured by residential real estate; (ii) economic conditions in the markets served by the Company; (iii) slower growth in private sector employment in upstate New York and central Pennsylvania than in other regions served by the Company and nationally; (iv) the significant subjectivity involved in commercial real estate valuations; and</w:t>
      </w:r>
    </w:p>
    <w:p>
      <w:pPr>
        <w:ind w:right="160" w:firstLine="5"/>
        <w:spacing w:after="0" w:line="265" w:lineRule="auto"/>
        <w:tabs>
          <w:tab w:leader="none" w:pos="285"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amount and type of loan growth experienced by the Company. While there has been general improvement in economic conditions in recent years, concerns exist about the ongoing sustainability of such improvements; the volatile nature of global commodity and export markets, including the impact international economic conditions could have on the U.S. economy; Federal Reserve positioning of monetary policy; and continued stagnant population growth in the upstate New York and central Pennsylvania regions (approximately 52% of the Company’s loans and leases are to customers in New York State and Pennsylvania).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75" w:name="page76"/>
    <w:bookmarkEnd w:id="75"/>
    <w:p>
      <w:pPr>
        <w:ind w:right="60" w:firstLine="598"/>
        <w:spacing w:after="0" w:line="262" w:lineRule="auto"/>
        <w:rPr>
          <w:sz w:val="20"/>
          <w:szCs w:val="20"/>
          <w:color w:val="auto"/>
        </w:rPr>
      </w:pPr>
      <w:r>
        <w:rPr>
          <w:rFonts w:ascii="Arial" w:cs="Arial" w:eastAsia="Arial" w:hAnsi="Arial"/>
          <w:sz w:val="19"/>
          <w:szCs w:val="19"/>
          <w:color w:val="auto"/>
        </w:rPr>
        <w:t>As described in note 4 of Notes to Financial Statements, the Company utilizes a loan grading system to differentiate risk amongst its commercial loans and commercial real estate loans.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Criticized commercial loans and commercial real estate loans totaled $2.5 billion at December 31, 2019, compared with $2.7 billion at December 31, 2018. The decline reflects loans that were paid off during 2019 and the removal of loans to customers experiencing improved financial condition.</w:t>
      </w:r>
    </w:p>
    <w:p>
      <w:pPr>
        <w:spacing w:after="0" w:line="2"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Loan officers in different geographic locations with the support of the Company’s credit department personnel continuously review and reassign loan grades based on their detailed knowledge of individual borrowers and their judgment of the impact on such borrowers resulting from changing conditions in their respective regions. At least annually, updated financial information is obtained from commercial borrowers associated with pass grade loans and additional analysis is performed. On a quarterly basis, the Company’s centralized credit department reviews all criticized commercial loans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contemplated.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credit department. Accordingly, for real estate collateral securing larger commercial loans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w:t>
      </w:r>
    </w:p>
    <w:p>
      <w:pPr>
        <w:spacing w:after="0" w:line="4" w:lineRule="exact"/>
        <w:rPr>
          <w:sz w:val="20"/>
          <w:szCs w:val="20"/>
          <w:color w:val="auto"/>
        </w:rPr>
      </w:pPr>
    </w:p>
    <w:p>
      <w:pPr>
        <w:ind w:right="100" w:firstLine="598"/>
        <w:spacing w:after="0" w:line="248" w:lineRule="auto"/>
        <w:rPr>
          <w:sz w:val="20"/>
          <w:szCs w:val="20"/>
          <w:color w:val="auto"/>
        </w:rPr>
      </w:pPr>
      <w:r>
        <w:rPr>
          <w:rFonts w:ascii="Arial" w:cs="Arial" w:eastAsia="Arial" w:hAnsi="Arial"/>
          <w:sz w:val="20"/>
          <w:szCs w:val="20"/>
          <w:color w:val="auto"/>
        </w:rPr>
        <w:t>With regard to residential real estate 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 off to estimated net collateral value shortly after the Company is notified of such filings. At December 31, 2019, approximately 59% of the Company’s home equity portfolio consisted of first lien loans and lines of credit. Of the remaining junior lien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76" w:name="page77"/>
    <w:bookmarkEnd w:id="76"/>
    <w:p>
      <w:pPr>
        <w:ind w:right="20"/>
        <w:spacing w:after="0" w:line="275" w:lineRule="auto"/>
        <w:rPr>
          <w:sz w:val="20"/>
          <w:szCs w:val="20"/>
          <w:color w:val="auto"/>
        </w:rPr>
      </w:pPr>
      <w:r>
        <w:rPr>
          <w:rFonts w:ascii="Arial" w:cs="Arial" w:eastAsia="Arial" w:hAnsi="Arial"/>
          <w:sz w:val="18"/>
          <w:szCs w:val="18"/>
          <w:color w:val="auto"/>
        </w:rPr>
        <w:t>loans in the portfolio, approximately 60% (or approximately 24%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The balance of junior lien loans and lines that were in nonaccrual status solely as a result of first lien loan performance was $6 million and $10 million at December 31, 2019 and 2018, respectively.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 off and for purposes of estimating incurred losses in determining the allowance for credit losses, the Company gives consideration to the required repayment of any first lien positions related to collateral property. Home equity line of credit terms vary but such lines are generally originated with an open draw period of ten years followed by an amortization period of up to twenty years. At December 31, 2019, approximately 83% of all outstanding balances of home equity lines of credit related to lines that were still in the draw period, the weighted-average remaining draw periods were approximately five years, and approximately 22% were making contractually allowed payments that do not include any repayment of principal.</w:t>
      </w:r>
    </w:p>
    <w:p>
      <w:pPr>
        <w:spacing w:after="0" w:line="9" w:lineRule="exact"/>
        <w:rPr>
          <w:sz w:val="20"/>
          <w:szCs w:val="20"/>
          <w:color w:val="auto"/>
        </w:rPr>
      </w:pPr>
    </w:p>
    <w:p>
      <w:pPr>
        <w:ind w:right="60" w:firstLine="598"/>
        <w:spacing w:after="0" w:line="274" w:lineRule="auto"/>
        <w:rPr>
          <w:sz w:val="20"/>
          <w:szCs w:val="20"/>
          <w:color w:val="auto"/>
        </w:rPr>
      </w:pPr>
      <w:r>
        <w:rPr>
          <w:rFonts w:ascii="Arial" w:cs="Arial" w:eastAsia="Arial" w:hAnsi="Arial"/>
          <w:sz w:val="18"/>
          <w:szCs w:val="18"/>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 w:lineRule="exact"/>
        <w:rPr>
          <w:sz w:val="20"/>
          <w:szCs w:val="20"/>
          <w:color w:val="auto"/>
        </w:rPr>
      </w:pPr>
    </w:p>
    <w:p>
      <w:pPr>
        <w:ind w:firstLine="598"/>
        <w:spacing w:after="0" w:line="276" w:lineRule="auto"/>
        <w:rPr>
          <w:sz w:val="20"/>
          <w:szCs w:val="20"/>
          <w:color w:val="auto"/>
        </w:rPr>
      </w:pPr>
      <w:r>
        <w:rPr>
          <w:rFonts w:ascii="Arial" w:cs="Arial" w:eastAsia="Arial" w:hAnsi="Arial"/>
          <w:sz w:val="18"/>
          <w:szCs w:val="18"/>
          <w:color w:val="auto"/>
        </w:rPr>
        <w:t>In determining the allowance for credit losses, the Company estimates losses attributable to specific troubled credits identified through both normal and targeted credit review processes and also estimates losses inherent in other loans and leases. In quantifying incurred losses, the Company considers the factors and uses the techniques described herein and in note 4 of Notes to Financial Statements. For purposes of determining the level of the allowance for credit losses, the Company segments its loan and lease portfolio by loan type. The amount of specific loss components in the Company’s loan and lease portfolios is determined through a loan-by-loan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residential real estate loans and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41% of the Company’s home equity portfolio consists of junior lien loans and lines of credit. Except for consumer loans and residential real estate loans that are considered smaller balance homogeneous loans and are evaluated collectively and loans obtained at a discount in acquisition transactions, the Company considers a loan to be impaired when, based on current information and events, it is probable that the Company will be unable to collect all amounts according to the contractual terms of the loan agreement or the loan is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77" w:name="page78"/>
    <w:bookmarkEnd w:id="77"/>
    <w:p>
      <w:pPr>
        <w:ind w:right="20"/>
        <w:spacing w:after="0" w:line="276" w:lineRule="auto"/>
        <w:rPr>
          <w:sz w:val="20"/>
          <w:szCs w:val="20"/>
          <w:color w:val="auto"/>
        </w:rPr>
      </w:pPr>
      <w:r>
        <w:rPr>
          <w:rFonts w:ascii="Arial" w:cs="Arial" w:eastAsia="Arial" w:hAnsi="Arial"/>
          <w:sz w:val="18"/>
          <w:szCs w:val="18"/>
          <w:color w:val="auto"/>
        </w:rPr>
        <w:t>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For loans acquired at a discount, the impact of estimated future credit losses represents the predominant difference between contractually required payments and the cash flows expected to be collected. Subsequent decreases to those expected cash flows require the Company to evaluate the need for an additional allowance for credit losses and could lead to charge-offs of acquired loan balances. Additional information regarding the Company’s process for determining the allowance for credit losses is included in note 4 of Notes to Financial Statements.</w:t>
      </w:r>
    </w:p>
    <w:p>
      <w:pPr>
        <w:spacing w:after="0" w:line="6" w:lineRule="exact"/>
        <w:rPr>
          <w:sz w:val="20"/>
          <w:szCs w:val="20"/>
          <w:color w:val="auto"/>
        </w:rPr>
      </w:pPr>
    </w:p>
    <w:p>
      <w:pPr>
        <w:ind w:right="20" w:firstLine="598"/>
        <w:spacing w:after="0" w:line="274" w:lineRule="auto"/>
        <w:rPr>
          <w:sz w:val="20"/>
          <w:szCs w:val="20"/>
          <w:color w:val="auto"/>
        </w:rPr>
      </w:pPr>
      <w:r>
        <w:rPr>
          <w:rFonts w:ascii="Arial" w:cs="Arial" w:eastAsia="Arial" w:hAnsi="Arial"/>
          <w:sz w:val="18"/>
          <w:szCs w:val="18"/>
          <w:color w:val="auto"/>
        </w:rPr>
        <w:t>The inherent base level loss components of the Company’s allowance for credit losses are generally determined by applying loss factors to specific loan balances based on loan type and management’s classification of commercial loans and commercial real estate loans under the Company’s loan grading system. As previously described, loan officers are responsible for continually assigning grades to these loans based on standards outlined in the Company’s Credit Policy. Internal loan grades are also extensively monitored by the Company’s credit department to ensure consistency and strict adherence to the prescribed standards. Loan balances utilized in the inherent base level loss component computations exclude loans and leases for which specific allocations are maintained. Loan grades are assigned loss factors that reflect the Company’s loss estimate for each group of loans and leases. Factors considered in assigning loan grades and loss factors include borrower-specific information related to expected future cash flows and operating results, collateral values, financial condition,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In determining the allowance for credit losses, management also gives consideration to such factors as customer, industry and geographic concentrations, as well as national and local economic conditions, including: (i) the comparatively poorer economic conditions and unfavorable business climate in many market regions served by the Company, including upstate New York and central Pennsylvania, that result in such regions generally experiencing significantly lesser economic growth and vitality as compared with much of the rest of the country; (ii) portfolio concentrations regarding loan type, collateral type and geographic location, in particular the large concentrations of commercial real estate loans secured by properties in the New York City area and other areas of New York State; and (iii) risk associated with the Company’s portfolio of consumer loans which generally have higher rates of loss than other types of collateralized loans.</w:t>
      </w:r>
    </w:p>
    <w:p>
      <w:pPr>
        <w:spacing w:after="0" w:line="4" w:lineRule="exact"/>
        <w:rPr>
          <w:sz w:val="20"/>
          <w:szCs w:val="20"/>
          <w:color w:val="auto"/>
        </w:rPr>
      </w:pPr>
    </w:p>
    <w:p>
      <w:pPr>
        <w:ind w:right="520" w:firstLine="598"/>
        <w:spacing w:after="0" w:line="274" w:lineRule="auto"/>
        <w:rPr>
          <w:sz w:val="20"/>
          <w:szCs w:val="20"/>
          <w:color w:val="auto"/>
        </w:rPr>
      </w:pPr>
      <w:r>
        <w:rPr>
          <w:rFonts w:ascii="Arial" w:cs="Arial" w:eastAsia="Arial" w:hAnsi="Arial"/>
          <w:sz w:val="18"/>
          <w:szCs w:val="18"/>
          <w:color w:val="auto"/>
        </w:rPr>
        <w:t>The inherent base level loss components related to residential real estate loans and consumer loans are generally determined by applying loss factors to portfolio balances after consideration of payment performance and recent loss experience and trends, which are mainly driven by current collateral values in the market place as well as the amount of loan defaults. Loss rates for loans secured by residential real estate, including home equity loans and lines of credit, are determined by reference to recent charge-off history and are evaluated (and adjusted if deemed appropriate) through consideration of other factors as previously described.</w:t>
      </w:r>
    </w:p>
    <w:p>
      <w:pPr>
        <w:spacing w:after="0" w:line="1" w:lineRule="exact"/>
        <w:rPr>
          <w:sz w:val="20"/>
          <w:szCs w:val="20"/>
          <w:color w:val="auto"/>
        </w:rPr>
      </w:pPr>
    </w:p>
    <w:p>
      <w:pPr>
        <w:ind w:firstLine="598"/>
        <w:spacing w:after="0" w:line="249" w:lineRule="auto"/>
        <w:rPr>
          <w:sz w:val="20"/>
          <w:szCs w:val="20"/>
          <w:color w:val="auto"/>
        </w:rPr>
      </w:pPr>
      <w:r>
        <w:rPr>
          <w:rFonts w:ascii="Arial" w:cs="Arial" w:eastAsia="Arial" w:hAnsi="Arial"/>
          <w:sz w:val="20"/>
          <w:szCs w:val="20"/>
          <w:color w:val="auto"/>
        </w:rPr>
        <w:t>In evaluating collateral, the Company relies on internally and externally prepared valuations. Residential real estate valuations are usually based on sales of comparable properties in the respective location. Commercial real estate valuations also refer to sales of comparable properties but oftentimes are based on calculations that utilize many assumptions and, as a result, can be highly subjective. Specifically, commercial real estate values can be significantly affected over relatively short periods of time by changes in business climate, economic conditions and interest rates, and, in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78" w:name="page79"/>
    <w:bookmarkEnd w:id="78"/>
    <w:p>
      <w:pPr>
        <w:ind w:right="40"/>
        <w:spacing w:after="0" w:line="276" w:lineRule="auto"/>
        <w:rPr>
          <w:sz w:val="20"/>
          <w:szCs w:val="20"/>
          <w:color w:val="auto"/>
        </w:rPr>
      </w:pPr>
      <w:r>
        <w:rPr>
          <w:rFonts w:ascii="Arial" w:cs="Arial" w:eastAsia="Arial" w:hAnsi="Arial"/>
          <w:sz w:val="18"/>
          <w:szCs w:val="18"/>
          <w:color w:val="auto"/>
        </w:rPr>
        <w:t>many cases, the results of operations of businesses and other occupants of the real property. Additionally, management is aware that there is oftentimes a delay in the recognition of credit quality changes in loans and, as a result, in changes to assigned loan grades due to time delays in the manifestation and reporting of underlying events that impact credit quality. Accordingly, loss estimates derived from the inherent base level loss component computation are adjusted for current national and local economic conditions and trends. The Federal Reserve stated in December 2019 that the U.S. labor market remains strong and that economic activity has been rising at a moderate rate. Job gains have been solid, on average, in recent months, and the unemployment rate has remained low. Although household spending has been rising at a strong pace, business fixed investment and exports remain weak. Economic indicators in the most significant market regions served by the Company also showed improvement in 2019. For example, in 2019, average private sector employment in areas served by the Company was 1.1% above year-ago levels, but still trailed the 1.8% U.S. average growth rate. Private sector employment increased 1.0% in upstate New York, 0.8% in areas of Pennsylvania served by the Company, 1.2% in New Jersey, 0.6% in Maryland, 1.2% in Greater Washington D.C. and 0.9% in Delaware. In New York City, private sector employment increased by 2.0% in 2019.</w:t>
      </w:r>
    </w:p>
    <w:p>
      <w:pPr>
        <w:spacing w:after="0" w:line="1" w:lineRule="exact"/>
        <w:rPr>
          <w:sz w:val="20"/>
          <w:szCs w:val="20"/>
          <w:color w:val="auto"/>
        </w:rPr>
      </w:pPr>
    </w:p>
    <w:p>
      <w:pPr>
        <w:ind w:right="100" w:firstLine="598"/>
        <w:spacing w:after="0" w:line="259" w:lineRule="auto"/>
        <w:rPr>
          <w:sz w:val="20"/>
          <w:szCs w:val="20"/>
          <w:color w:val="auto"/>
        </w:rPr>
      </w:pPr>
      <w:r>
        <w:rPr>
          <w:rFonts w:ascii="Arial" w:cs="Arial" w:eastAsia="Arial" w:hAnsi="Arial"/>
          <w:sz w:val="19"/>
          <w:szCs w:val="19"/>
          <w:color w:val="auto"/>
        </w:rPr>
        <w:t>The specific loss components and the inherent base level loss components together comprise the total base level or “allocated” allowance for credit losses. Such allocated portion of the allowance represents management’s assessment of losses existing in specific larger balance loans that are reviewed in detail by management and pools of other loans that are not individually analyzed. In addition, the Company has always provided an inherent unallocated portion of the allowance that is intended to recognize probable losses that are not otherwise identifiable. The inherent unallocated allowance includes management’s subjective determination of amounts necessary for such things as the possible use of imprecise estimates in determining the allocated portion of the allowance and other risks associated with the Company’s loan portfolio which may not be specifically allocable.</w:t>
      </w:r>
    </w:p>
    <w:p>
      <w:pPr>
        <w:spacing w:after="0" w:line="5"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A comparative allocation of the allowance for credit losses for each of the past five year-ends is presented in table 15. Amounts were allocated to specific loan categories based on information available to management at the time of each year-end assessment and using the methodology described herein. Variations in the allocation of the allowance by loan category as a percentage of those loans reflect changes in management’s estimate of specific loss components and inherent base level loss components, including the impact of delinquencies and nonaccrual loans. The unallocated portion of the allowance for credit losses was equal to .09% of gross loans outstanding at each of December 31, 2019 and December 31, 2018. Considering the inherent imprecision in the many estimates used in the determination of the allocated portion of the allowance, management deliberately remained cautious and conservative in establishing the overall allowance for credit losses. Given the Company’s high concentration of real estate loans and considering the other factors already discussed herein, management considers the allocated and unallocated portions of the allowance for credit losses to be prudent and reasonable. Furthermore, the Company’s allowance is general in nature and is available to absorb losses from any loan or lease category. Additional information about the allowance for credit losses is included in note 4 of Notes to Financial Statements.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79" w:name="page80"/>
    <w:bookmarkEnd w:id="79"/>
    <w:p>
      <w:pPr>
        <w:spacing w:after="0"/>
        <w:rPr>
          <w:sz w:val="20"/>
          <w:szCs w:val="20"/>
          <w:color w:val="auto"/>
        </w:rPr>
      </w:pPr>
      <w:r>
        <w:rPr>
          <w:rFonts w:ascii="Arial" w:cs="Arial" w:eastAsia="Arial" w:hAnsi="Arial"/>
          <w:sz w:val="20"/>
          <w:szCs w:val="20"/>
          <w:b w:val="1"/>
          <w:bCs w:val="1"/>
          <w:color w:val="auto"/>
        </w:rPr>
        <w:t>Table 15</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ALLOCATION OF THE ALLOWANCE FOR CREDIT LOSSES TO LOAN CATEGORIES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4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24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43"/>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23"/>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23"/>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80" w:type="dxa"/>
            <w:vAlign w:val="bottom"/>
            <w:tcBorders>
              <w:top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9"/>
        </w:trPr>
        <w:tc>
          <w:tcPr>
            <w:tcW w:w="3620" w:type="dxa"/>
            <w:vAlign w:val="bottom"/>
            <w:gridSpan w:val="3"/>
          </w:tcPr>
          <w:p>
            <w:pPr>
              <w:spacing w:after="0"/>
              <w:rPr>
                <w:sz w:val="20"/>
                <w:szCs w:val="20"/>
                <w:color w:val="auto"/>
              </w:rPr>
            </w:pPr>
            <w:r>
              <w:rPr>
                <w:rFonts w:ascii="Arial" w:cs="Arial" w:eastAsia="Arial" w:hAnsi="Arial"/>
                <w:sz w:val="20"/>
                <w:szCs w:val="20"/>
                <w:color w:val="auto"/>
              </w:rPr>
              <w:t>Commercial, financial,</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20" w:type="dxa"/>
            <w:vAlign w:val="bottom"/>
            <w:gridSpan w:val="3"/>
          </w:tcPr>
          <w:p>
            <w:pPr>
              <w:ind w:left="160"/>
              <w:spacing w:after="0"/>
              <w:rPr>
                <w:sz w:val="20"/>
                <w:szCs w:val="20"/>
                <w:color w:val="auto"/>
              </w:rPr>
            </w:pPr>
            <w:r>
              <w:rPr>
                <w:rFonts w:ascii="Arial" w:cs="Arial" w:eastAsia="Arial" w:hAnsi="Arial"/>
                <w:sz w:val="20"/>
                <w:szCs w:val="20"/>
                <w:color w:val="auto"/>
              </w:rPr>
              <w:t>leasing, etc.</w:t>
            </w:r>
          </w:p>
        </w:tc>
        <w:tc>
          <w:tcPr>
            <w:tcW w:w="18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366,094</w:t>
            </w:r>
          </w:p>
        </w:tc>
        <w:tc>
          <w:tcPr>
            <w:tcW w:w="24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330,055</w:t>
            </w:r>
          </w:p>
        </w:tc>
        <w:tc>
          <w:tcPr>
            <w:tcW w:w="240" w:type="dxa"/>
            <w:vAlign w:val="bottom"/>
          </w:tcPr>
          <w:p>
            <w:pPr>
              <w:spacing w:after="0"/>
              <w:rPr>
                <w:sz w:val="21"/>
                <w:szCs w:val="21"/>
                <w:color w:val="auto"/>
              </w:rPr>
            </w:pPr>
          </w:p>
        </w:tc>
        <w:tc>
          <w:tcPr>
            <w:tcW w:w="180" w:type="dxa"/>
            <w:vAlign w:val="bottom"/>
            <w:gridSpan w:val="2"/>
          </w:tcPr>
          <w:p>
            <w:pPr>
              <w:ind w:left="60"/>
              <w:spacing w:after="0"/>
              <w:rPr>
                <w:sz w:val="20"/>
                <w:szCs w:val="20"/>
                <w:color w:val="auto"/>
              </w:rPr>
            </w:pPr>
            <w:r>
              <w:rPr>
                <w:rFonts w:ascii="Arial" w:cs="Arial" w:eastAsia="Arial" w:hAnsi="Arial"/>
                <w:sz w:val="20"/>
                <w:szCs w:val="20"/>
                <w:color w:val="auto"/>
                <w:w w:val="89"/>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328,599</w:t>
            </w:r>
          </w:p>
        </w:tc>
        <w:tc>
          <w:tcPr>
            <w:tcW w:w="24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w w:val="96"/>
              </w:rPr>
              <w:t>330,833</w:t>
            </w:r>
          </w:p>
        </w:tc>
        <w:tc>
          <w:tcPr>
            <w:tcW w:w="24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w w:val="96"/>
              </w:rPr>
              <w:t>300,404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2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Real estate</w:t>
            </w:r>
          </w:p>
        </w:tc>
        <w:tc>
          <w:tcPr>
            <w:tcW w:w="1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378,234</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410,780</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439,490</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6"/>
              </w:rPr>
              <w:t>423,846</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6"/>
              </w:rPr>
              <w:t>399,069</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20" w:type="dxa"/>
            <w:vAlign w:val="bottom"/>
            <w:gridSpan w:val="3"/>
          </w:tcPr>
          <w:p>
            <w:pPr>
              <w:spacing w:after="0"/>
              <w:rPr>
                <w:sz w:val="20"/>
                <w:szCs w:val="20"/>
                <w:color w:val="auto"/>
              </w:rPr>
            </w:pPr>
            <w:r>
              <w:rPr>
                <w:rFonts w:ascii="Arial" w:cs="Arial" w:eastAsia="Arial" w:hAnsi="Arial"/>
                <w:sz w:val="20"/>
                <w:szCs w:val="20"/>
                <w:color w:val="auto"/>
              </w:rPr>
              <w:t>Consumer</w:t>
            </w: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229,118</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200,564</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170,809</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w w:val="96"/>
              </w:rPr>
              <w:t>156,288</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w w:val="96"/>
              </w:rPr>
              <w:t>178,320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2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Unallocated</w:t>
            </w:r>
          </w:p>
        </w:tc>
        <w:tc>
          <w:tcPr>
            <w:tcW w:w="174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77,625</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78,045</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78,300</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78,030</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78,199</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gridSpan w:val="3"/>
          </w:tcPr>
          <w:p>
            <w:pPr>
              <w:ind w:left="240"/>
              <w:spacing w:after="0"/>
              <w:rPr>
                <w:sz w:val="20"/>
                <w:szCs w:val="20"/>
                <w:color w:val="auto"/>
              </w:rPr>
            </w:pPr>
            <w:r>
              <w:rPr>
                <w:rFonts w:ascii="Arial" w:cs="Arial" w:eastAsia="Arial" w:hAnsi="Arial"/>
                <w:sz w:val="20"/>
                <w:szCs w:val="20"/>
                <w:color w:val="auto"/>
              </w:rPr>
              <w:t>Total</w:t>
            </w:r>
          </w:p>
        </w:tc>
        <w:tc>
          <w:tcPr>
            <w:tcW w:w="17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1,051,071</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1,019,444</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1,017,198</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988,997</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955,992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20" w:type="dxa"/>
            <w:vAlign w:val="bottom"/>
            <w:gridSpan w:val="3"/>
            <w:vMerge w:val="restart"/>
          </w:tcPr>
          <w:p>
            <w:pPr>
              <w:spacing w:after="0" w:line="155" w:lineRule="exact"/>
              <w:rPr>
                <w:sz w:val="20"/>
                <w:szCs w:val="20"/>
                <w:color w:val="auto"/>
              </w:rPr>
            </w:pPr>
            <w:r>
              <w:rPr>
                <w:rFonts w:ascii="Arial" w:cs="Arial" w:eastAsia="Arial" w:hAnsi="Arial"/>
                <w:sz w:val="14"/>
                <w:szCs w:val="14"/>
                <w:b w:val="1"/>
                <w:bCs w:val="1"/>
                <w:color w:val="auto"/>
              </w:rPr>
              <w:t>As a Percentage of Gross Loans</w:t>
            </w: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620" w:type="dxa"/>
            <w:vAlign w:val="bottom"/>
            <w:gridSpan w:val="3"/>
            <w:vMerge w:val="continue"/>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3620" w:type="dxa"/>
            <w:vAlign w:val="bottom"/>
            <w:gridSpan w:val="3"/>
          </w:tcPr>
          <w:p>
            <w:pPr>
              <w:spacing w:after="0" w:line="154" w:lineRule="exact"/>
              <w:rPr>
                <w:sz w:val="20"/>
                <w:szCs w:val="20"/>
                <w:color w:val="auto"/>
              </w:rPr>
            </w:pPr>
            <w:r>
              <w:rPr>
                <w:rFonts w:ascii="Arial" w:cs="Arial" w:eastAsia="Arial" w:hAnsi="Arial"/>
                <w:sz w:val="14"/>
                <w:szCs w:val="14"/>
                <w:b w:val="1"/>
                <w:bCs w:val="1"/>
                <w:color w:val="auto"/>
              </w:rPr>
              <w:t>and Leases Outstanding</w:t>
            </w: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2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Commercial, financial,</w:t>
            </w:r>
          </w:p>
        </w:tc>
        <w:tc>
          <w:tcPr>
            <w:tcW w:w="1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620" w:type="dxa"/>
            <w:vAlign w:val="bottom"/>
            <w:gridSpan w:val="3"/>
            <w:shd w:val="clear" w:color="auto" w:fill="CFF0FC"/>
          </w:tcPr>
          <w:p>
            <w:pPr>
              <w:ind w:left="160"/>
              <w:spacing w:after="0"/>
              <w:rPr>
                <w:sz w:val="20"/>
                <w:szCs w:val="20"/>
                <w:color w:val="auto"/>
              </w:rPr>
            </w:pPr>
            <w:r>
              <w:rPr>
                <w:rFonts w:ascii="Arial" w:cs="Arial" w:eastAsia="Arial" w:hAnsi="Arial"/>
                <w:sz w:val="20"/>
                <w:szCs w:val="20"/>
                <w:color w:val="auto"/>
              </w:rPr>
              <w:t>leasing, etc.</w:t>
            </w:r>
          </w:p>
        </w:tc>
        <w:tc>
          <w:tcPr>
            <w:tcW w:w="1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1.53%</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1.43%</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1.50%</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1.45%</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1.46%</w:t>
            </w:r>
          </w:p>
        </w:tc>
        <w:tc>
          <w:tcPr>
            <w:tcW w:w="0" w:type="dxa"/>
            <w:vAlign w:val="bottom"/>
          </w:tcPr>
          <w:p>
            <w:pPr>
              <w:spacing w:after="0"/>
              <w:rPr>
                <w:sz w:val="1"/>
                <w:szCs w:val="1"/>
                <w:color w:val="auto"/>
              </w:rPr>
            </w:pPr>
          </w:p>
        </w:tc>
      </w:tr>
      <w:tr>
        <w:trPr>
          <w:trHeight w:val="250"/>
        </w:trPr>
        <w:tc>
          <w:tcPr>
            <w:tcW w:w="3620" w:type="dxa"/>
            <w:vAlign w:val="bottom"/>
            <w:gridSpan w:val="3"/>
          </w:tcPr>
          <w:p>
            <w:pPr>
              <w:spacing w:after="0"/>
              <w:rPr>
                <w:sz w:val="20"/>
                <w:szCs w:val="20"/>
                <w:color w:val="auto"/>
              </w:rPr>
            </w:pPr>
            <w:r>
              <w:rPr>
                <w:rFonts w:ascii="Arial" w:cs="Arial" w:eastAsia="Arial" w:hAnsi="Arial"/>
                <w:sz w:val="20"/>
                <w:szCs w:val="20"/>
                <w:color w:val="auto"/>
              </w:rPr>
              <w:t>Real estate</w:t>
            </w: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.73</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.80</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.83</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.75</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.72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2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Consumer</w:t>
            </w:r>
          </w:p>
        </w:tc>
        <w:tc>
          <w:tcPr>
            <w:tcW w:w="1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1.49</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1.44</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1.29</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1.29</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1.54</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firstLine="598"/>
        <w:spacing w:after="0" w:line="261" w:lineRule="auto"/>
        <w:rPr>
          <w:sz w:val="20"/>
          <w:szCs w:val="20"/>
          <w:color w:val="auto"/>
        </w:rPr>
      </w:pPr>
      <w:r>
        <w:rPr>
          <w:rFonts w:ascii="Arial" w:cs="Arial" w:eastAsia="Arial" w:hAnsi="Arial"/>
          <w:sz w:val="19"/>
          <w:szCs w:val="19"/>
          <w:color w:val="auto"/>
        </w:rPr>
        <w:t>Management believes that the allowance for credit losses at December 31, 2019 appropriately reflected credit losses inherent in the portfolio as of that date. The allowance for credit losses totaled $1.05 billion at December 31, 2019 and $1.02 billion at each of December 31, 2018 and December 31, 2017. As a percentage of loans outstanding, the allowance was 1.16% at each of December 31, 2019 and 2017 and 1.15% at December 31, 2018. The level of the allowance reflects management’s evaluation of the loan and lease portfolio using the methodology and considering the factors as described herein. The ratio of the allowance for credit losses to nonaccrual loans at the end of 2019, 2018 and 2017 was 109%, 114% and 115%, respectively. Given the Company’s general position as a secured lender and its practice of charging-off loan balances when collection is deemed doubtful, that ratio and changes in that ratio are generally not an indicative measure of the adequacy of the Company’s allowance for credit losses, nor does management rely upon that ratio in assessing the adequacy of the Company’s allowance for credit losses. The level of the allowance reflects management’s evaluation of the loan and lease portfolio as of each respective date.</w:t>
      </w:r>
    </w:p>
    <w:p>
      <w:pPr>
        <w:spacing w:after="0" w:line="7" w:lineRule="exact"/>
        <w:rPr>
          <w:sz w:val="20"/>
          <w:szCs w:val="20"/>
          <w:color w:val="auto"/>
        </w:rPr>
      </w:pPr>
    </w:p>
    <w:p>
      <w:pPr>
        <w:ind w:right="40" w:firstLine="598"/>
        <w:spacing w:after="0" w:line="246" w:lineRule="auto"/>
        <w:rPr>
          <w:sz w:val="20"/>
          <w:szCs w:val="20"/>
          <w:color w:val="auto"/>
        </w:rPr>
      </w:pPr>
      <w:r>
        <w:rPr>
          <w:rFonts w:ascii="Arial" w:cs="Arial" w:eastAsia="Arial" w:hAnsi="Arial"/>
          <w:sz w:val="20"/>
          <w:szCs w:val="20"/>
          <w:color w:val="auto"/>
        </w:rPr>
        <w:t>In establishing the allowance for credit losses, management follows the methodology described herein, including taking a conservative view of borrowers’ abilities to repay loans. The establishment of the allowance is subjective and requires management to make many judgments about borrower, industry, regional and national economic health and performance. In order to present examples of the possible impact on the allowance from certain changes in credit quality factors, the Company assumed the following scenarios for possible deterioration of credit quality:</w:t>
      </w:r>
    </w:p>
    <w:p>
      <w:pPr>
        <w:spacing w:after="0" w:line="4" w:lineRule="exact"/>
        <w:rPr>
          <w:sz w:val="20"/>
          <w:szCs w:val="20"/>
          <w:color w:val="auto"/>
        </w:rPr>
      </w:pPr>
    </w:p>
    <w:p>
      <w:pPr>
        <w:ind w:left="1180" w:hanging="584"/>
        <w:spacing w:after="0" w:line="246" w:lineRule="auto"/>
        <w:tabs>
          <w:tab w:leader="none" w:pos="11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For consumer loans and leases considered smaller balance homogenous loans and evaluated collectively, a 40 basis point increase in loss factors;</w:t>
      </w:r>
    </w:p>
    <w:p>
      <w:pPr>
        <w:spacing w:after="0" w:line="1" w:lineRule="exact"/>
        <w:rPr>
          <w:rFonts w:ascii="Arial" w:cs="Arial" w:eastAsia="Arial" w:hAnsi="Arial"/>
          <w:sz w:val="20"/>
          <w:szCs w:val="20"/>
          <w:color w:val="auto"/>
        </w:rPr>
      </w:pPr>
    </w:p>
    <w:p>
      <w:pPr>
        <w:ind w:left="1180" w:right="180" w:hanging="584"/>
        <w:spacing w:after="0" w:line="246" w:lineRule="auto"/>
        <w:tabs>
          <w:tab w:leader="none" w:pos="11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For residential real estate loans and home equity loans and lines of credit, also considered small balance homogenous loans and evaluated collectively, a 15% increase in estimated inherent losses; and</w:t>
      </w:r>
    </w:p>
    <w:p>
      <w:pPr>
        <w:spacing w:after="0" w:line="1" w:lineRule="exact"/>
        <w:rPr>
          <w:rFonts w:ascii="Arial" w:cs="Arial" w:eastAsia="Arial" w:hAnsi="Arial"/>
          <w:sz w:val="20"/>
          <w:szCs w:val="20"/>
          <w:color w:val="auto"/>
        </w:rPr>
      </w:pPr>
    </w:p>
    <w:p>
      <w:pPr>
        <w:ind w:left="1180" w:right="520" w:hanging="584"/>
        <w:spacing w:after="0" w:line="256" w:lineRule="auto"/>
        <w:tabs>
          <w:tab w:leader="none" w:pos="11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For commercial loans and commercial real estate loans, a migration of loans to lower-ranked risk grades resulting in a 30% increase in the balance of classified credits in each risk grade.</w:t>
      </w:r>
    </w:p>
    <w:p>
      <w:pPr>
        <w:spacing w:after="0" w:line="201" w:lineRule="exact"/>
        <w:rPr>
          <w:sz w:val="20"/>
          <w:szCs w:val="20"/>
          <w:color w:val="auto"/>
        </w:rPr>
      </w:pPr>
    </w:p>
    <w:p>
      <w:pPr>
        <w:ind w:left="1180" w:hanging="584"/>
        <w:spacing w:after="0"/>
        <w:tabs>
          <w:tab w:leader="none" w:pos="11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For consumer loans and leases, a 20 basis point decrease in loss factors;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80" w:name="page81"/>
    <w:bookmarkEnd w:id="80"/>
    <w:p>
      <w:pPr>
        <w:ind w:left="1180" w:hanging="58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residential real estate loans and home equity loans and lines of credit, a 10% decrease in estimated inherent losses; and</w:t>
      </w:r>
    </w:p>
    <w:p>
      <w:pPr>
        <w:spacing w:after="0" w:line="47" w:lineRule="exact"/>
        <w:rPr>
          <w:rFonts w:ascii="Arial" w:cs="Arial" w:eastAsia="Arial" w:hAnsi="Arial"/>
          <w:sz w:val="18"/>
          <w:szCs w:val="18"/>
          <w:color w:val="auto"/>
        </w:rPr>
      </w:pPr>
    </w:p>
    <w:p>
      <w:pPr>
        <w:ind w:left="1180" w:right="560" w:hanging="584"/>
        <w:spacing w:after="0" w:line="256" w:lineRule="auto"/>
        <w:tabs>
          <w:tab w:leader="none" w:pos="11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For commercial loans and commercial real estate loans, a migration of loans to higher-ranked risk grades resulting in a 5% decrease in the balance of classified credits in each risk grade.</w:t>
      </w:r>
    </w:p>
    <w:p>
      <w:pPr>
        <w:spacing w:after="0" w:line="175" w:lineRule="exact"/>
        <w:rPr>
          <w:sz w:val="20"/>
          <w:szCs w:val="20"/>
          <w:color w:val="auto"/>
        </w:rPr>
      </w:pPr>
    </w:p>
    <w:p>
      <w:pPr>
        <w:ind w:right="380" w:firstLine="598"/>
        <w:spacing w:after="0" w:line="251" w:lineRule="auto"/>
        <w:rPr>
          <w:sz w:val="20"/>
          <w:szCs w:val="20"/>
          <w:color w:val="auto"/>
        </w:rPr>
      </w:pPr>
      <w:r>
        <w:rPr>
          <w:rFonts w:ascii="Arial" w:cs="Arial" w:eastAsia="Arial" w:hAnsi="Arial"/>
          <w:sz w:val="20"/>
          <w:szCs w:val="20"/>
          <w:color w:val="auto"/>
        </w:rPr>
        <w:t>The scenario analyses resulted in an additional $104 million that could be identifiable under the assumptions for credit deterioration, whereas under the assumptions for credit improvement a $41 million reduction could occur. These examples are only a few of numerous reasonably possible scenarios that could be utilized in assessing the sensitivity of the allowance for credit losses based on changes in assumptions and other factors.</w:t>
      </w:r>
    </w:p>
    <w:p>
      <w:pPr>
        <w:spacing w:after="0" w:line="2" w:lineRule="exact"/>
        <w:rPr>
          <w:sz w:val="20"/>
          <w:szCs w:val="20"/>
          <w:color w:val="auto"/>
        </w:rPr>
      </w:pPr>
    </w:p>
    <w:p>
      <w:pPr>
        <w:ind w:right="100" w:firstLine="598"/>
        <w:spacing w:after="0" w:line="246" w:lineRule="auto"/>
        <w:rPr>
          <w:sz w:val="20"/>
          <w:szCs w:val="20"/>
          <w:color w:val="auto"/>
        </w:rPr>
      </w:pPr>
      <w:r>
        <w:rPr>
          <w:rFonts w:ascii="Arial" w:cs="Arial" w:eastAsia="Arial" w:hAnsi="Arial"/>
          <w:sz w:val="20"/>
          <w:szCs w:val="20"/>
          <w:color w:val="auto"/>
        </w:rPr>
        <w:t>The Company had no concentrations of credit extended to any specific industry that exceeded 10% of total loans at December 31, 2019, however residential real estate loans comprised approximately 18% of the loan portfolio. Outstanding loans to foreign borrowers aggregated $186 million at December 31, 2019, or .2% of total loans and leases.</w:t>
      </w:r>
    </w:p>
    <w:p>
      <w:pPr>
        <w:spacing w:after="0" w:line="2"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Effective January 1, 2020 the Company adopted amended accounting guidance for the measurement of credit losses on financial instruments. That guidance requires an allowance for credit losses to be deducted from the amortized cost basis of financial assets to present the net carrying value that is expected to be collected over the contractual term of the assets considering relevant information about past events, current conditions, and reasonable and supportable forecasts that affect the collectibility of the reported amount. The amended guidance also requires recording an allowance for credit losses for purchased financial assets with a more-than-insignificant amount of credit deterioration since origination. The initial allowance for these assets will be added to the purchase price at acquisition rather than being reported as an expense. Subsequent changes in the allowance will be recorded through the income statement as an expense adjustment. The new guidance replaces the previous incurred loss model for determining the allowance for credit losses. The adoption of the amended guidance resulted in a $132 million increase in the allowance for credit losses at January 1, 2020. Increases in the allowance for residential real estate loans and consumer loans, reflecting the longer-dated maturities of such portfolios, were offset somewhat by net decreases in the allowance for commercial loans resulting from lower loss estimates on demand loan products due to the assumption that the Company could require full repayment of such loans in the near-term. Table 16 depicts the changes in the allowance for credit losses by loan category resulting from the adoption of the amended guidance.</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16</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IMPACT OF ADOPTION OF AMENDED ACCOUNTING GUIDANCE ON ALLOWANCE FOR CREDIT LOSSES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ind w:right="608"/>
              <w:spacing w:after="0"/>
              <w:rPr>
                <w:sz w:val="20"/>
                <w:szCs w:val="20"/>
                <w:color w:val="auto"/>
              </w:rPr>
            </w:pPr>
            <w:r>
              <w:rPr>
                <w:rFonts w:ascii="Arial" w:cs="Arial" w:eastAsia="Arial" w:hAnsi="Arial"/>
                <w:sz w:val="14"/>
                <w:szCs w:val="14"/>
                <w:b w:val="1"/>
                <w:bCs w:val="1"/>
                <w:color w:val="auto"/>
              </w:rPr>
              <w:t>Balance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Impact of Adoption</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Balance</w:t>
            </w:r>
          </w:p>
        </w:tc>
      </w:tr>
      <w:tr>
        <w:trPr>
          <w:trHeight w:val="167"/>
        </w:trPr>
        <w:tc>
          <w:tcPr>
            <w:tcW w:w="3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ind w:right="268"/>
              <w:spacing w:after="0"/>
              <w:rPr>
                <w:sz w:val="20"/>
                <w:szCs w:val="20"/>
                <w:color w:val="auto"/>
              </w:rPr>
            </w:pPr>
            <w:r>
              <w:rPr>
                <w:rFonts w:ascii="Arial" w:cs="Arial" w:eastAsia="Arial" w:hAnsi="Arial"/>
                <w:sz w:val="14"/>
                <w:szCs w:val="14"/>
                <w:b w:val="1"/>
                <w:bCs w:val="1"/>
                <w:color w:val="auto"/>
                <w:w w:val="98"/>
              </w:rPr>
              <w:t>December 31, 2019</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Increase (Decrease)</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January 1, 2020</w:t>
            </w:r>
          </w:p>
        </w:tc>
      </w:tr>
      <w:tr>
        <w:trPr>
          <w:trHeight w:val="176"/>
        </w:trPr>
        <w:tc>
          <w:tcPr>
            <w:tcW w:w="3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(In thousands)</w:t>
            </w:r>
          </w:p>
        </w:tc>
        <w:tc>
          <w:tcPr>
            <w:tcW w:w="1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33"/>
        </w:trPr>
        <w:tc>
          <w:tcPr>
            <w:tcW w:w="3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50"/>
        </w:trPr>
        <w:tc>
          <w:tcPr>
            <w:tcW w:w="3940" w:type="dxa"/>
            <w:vAlign w:val="bottom"/>
            <w:shd w:val="clear" w:color="auto" w:fill="CFF0FC"/>
          </w:tcPr>
          <w:p>
            <w:pPr>
              <w:spacing w:after="0"/>
              <w:rPr>
                <w:sz w:val="20"/>
                <w:szCs w:val="20"/>
                <w:color w:val="auto"/>
              </w:rPr>
            </w:pPr>
            <w:r>
              <w:rPr>
                <w:rFonts w:ascii="Arial" w:cs="Arial" w:eastAsia="Arial" w:hAnsi="Arial"/>
                <w:sz w:val="20"/>
                <w:szCs w:val="20"/>
                <w:color w:val="auto"/>
              </w:rPr>
              <w:t>Commercial, financial, leasing, etc.</w:t>
            </w:r>
          </w:p>
        </w:tc>
        <w:tc>
          <w:tcPr>
            <w:tcW w:w="1320" w:type="dxa"/>
            <w:vAlign w:val="bottom"/>
            <w:gridSpan w:val="2"/>
            <w:shd w:val="clear" w:color="auto" w:fill="CFF0FC"/>
          </w:tcPr>
          <w:p>
            <w:pPr>
              <w:jc w:val="right"/>
              <w:ind w:right="39"/>
              <w:spacing w:after="0"/>
              <w:rPr>
                <w:sz w:val="20"/>
                <w:szCs w:val="20"/>
                <w:color w:val="auto"/>
              </w:rPr>
            </w:pPr>
            <w:r>
              <w:rPr>
                <w:rFonts w:ascii="Arial" w:cs="Arial" w:eastAsia="Arial" w:hAnsi="Arial"/>
                <w:sz w:val="20"/>
                <w:szCs w:val="20"/>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366,094</w:t>
            </w:r>
          </w:p>
        </w:tc>
        <w:tc>
          <w:tcPr>
            <w:tcW w:w="560" w:type="dxa"/>
            <w:vAlign w:val="bottom"/>
            <w:gridSpan w:val="2"/>
            <w:shd w:val="clear" w:color="auto" w:fill="CFF0FC"/>
          </w:tcPr>
          <w:p>
            <w:pPr>
              <w:jc w:val="right"/>
              <w:ind w:right="19"/>
              <w:spacing w:after="0"/>
              <w:rPr>
                <w:sz w:val="20"/>
                <w:szCs w:val="20"/>
                <w:color w:val="auto"/>
              </w:rPr>
            </w:pPr>
            <w:r>
              <w:rPr>
                <w:rFonts w:ascii="Arial" w:cs="Arial" w:eastAsia="Arial" w:hAnsi="Arial"/>
                <w:sz w:val="20"/>
                <w:szCs w:val="20"/>
                <w:color w:val="auto"/>
              </w:rPr>
              <w:t>$</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(61,474)</w:t>
            </w:r>
          </w:p>
        </w:tc>
        <w:tc>
          <w:tcPr>
            <w:tcW w:w="420" w:type="dxa"/>
            <w:vAlign w:val="bottom"/>
            <w:gridSpan w:val="2"/>
            <w:shd w:val="clear" w:color="auto" w:fill="CFF0FC"/>
          </w:tcPr>
          <w:p>
            <w:pPr>
              <w:jc w:val="right"/>
              <w:ind w:right="79"/>
              <w:spacing w:after="0"/>
              <w:rPr>
                <w:sz w:val="20"/>
                <w:szCs w:val="20"/>
                <w:color w:val="auto"/>
              </w:rPr>
            </w:pPr>
            <w:r>
              <w:rPr>
                <w:rFonts w:ascii="Arial" w:cs="Arial" w:eastAsia="Arial" w:hAnsi="Arial"/>
                <w:sz w:val="20"/>
                <w:szCs w:val="20"/>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304,620</w:t>
            </w:r>
          </w:p>
        </w:tc>
        <w:tc>
          <w:tcPr>
            <w:tcW w:w="120" w:type="dxa"/>
            <w:vAlign w:val="bottom"/>
            <w:shd w:val="clear" w:color="auto" w:fill="CFF0FC"/>
          </w:tcPr>
          <w:p>
            <w:pPr>
              <w:spacing w:after="0"/>
              <w:rPr>
                <w:sz w:val="21"/>
                <w:szCs w:val="21"/>
                <w:color w:val="auto"/>
              </w:rPr>
            </w:pPr>
          </w:p>
        </w:tc>
      </w:tr>
      <w:tr>
        <w:trPr>
          <w:trHeight w:val="250"/>
        </w:trPr>
        <w:tc>
          <w:tcPr>
            <w:tcW w:w="3940" w:type="dxa"/>
            <w:vAlign w:val="bottom"/>
          </w:tcPr>
          <w:p>
            <w:pPr>
              <w:spacing w:after="0"/>
              <w:rPr>
                <w:sz w:val="20"/>
                <w:szCs w:val="20"/>
                <w:color w:val="auto"/>
              </w:rPr>
            </w:pPr>
            <w:r>
              <w:rPr>
                <w:rFonts w:ascii="Arial" w:cs="Arial" w:eastAsia="Arial" w:hAnsi="Arial"/>
                <w:sz w:val="20"/>
                <w:szCs w:val="20"/>
                <w:color w:val="auto"/>
              </w:rPr>
              <w:t>Commercial real estate</w:t>
            </w: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322,201</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23,656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345,857</w:t>
            </w:r>
          </w:p>
        </w:tc>
        <w:tc>
          <w:tcPr>
            <w:tcW w:w="120" w:type="dxa"/>
            <w:vAlign w:val="bottom"/>
          </w:tcPr>
          <w:p>
            <w:pPr>
              <w:spacing w:after="0"/>
              <w:rPr>
                <w:sz w:val="21"/>
                <w:szCs w:val="21"/>
                <w:color w:val="auto"/>
              </w:rPr>
            </w:pPr>
          </w:p>
        </w:tc>
      </w:tr>
      <w:tr>
        <w:trPr>
          <w:trHeight w:val="250"/>
        </w:trPr>
        <w:tc>
          <w:tcPr>
            <w:tcW w:w="3940" w:type="dxa"/>
            <w:vAlign w:val="bottom"/>
            <w:shd w:val="clear" w:color="auto" w:fill="CFF0FC"/>
          </w:tcPr>
          <w:p>
            <w:pPr>
              <w:spacing w:after="0"/>
              <w:rPr>
                <w:sz w:val="20"/>
                <w:szCs w:val="20"/>
                <w:color w:val="auto"/>
              </w:rPr>
            </w:pPr>
            <w:r>
              <w:rPr>
                <w:rFonts w:ascii="Arial" w:cs="Arial" w:eastAsia="Arial" w:hAnsi="Arial"/>
                <w:sz w:val="20"/>
                <w:szCs w:val="20"/>
                <w:color w:val="auto"/>
              </w:rPr>
              <w:t>Residential real estate</w:t>
            </w: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56,033</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53,896</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109,929</w:t>
            </w:r>
          </w:p>
        </w:tc>
        <w:tc>
          <w:tcPr>
            <w:tcW w:w="120" w:type="dxa"/>
            <w:vAlign w:val="bottom"/>
            <w:shd w:val="clear" w:color="auto" w:fill="CFF0FC"/>
          </w:tcPr>
          <w:p>
            <w:pPr>
              <w:spacing w:after="0"/>
              <w:rPr>
                <w:sz w:val="21"/>
                <w:szCs w:val="21"/>
                <w:color w:val="auto"/>
              </w:rPr>
            </w:pPr>
          </w:p>
        </w:tc>
      </w:tr>
      <w:tr>
        <w:trPr>
          <w:trHeight w:val="250"/>
        </w:trPr>
        <w:tc>
          <w:tcPr>
            <w:tcW w:w="3940" w:type="dxa"/>
            <w:vAlign w:val="bottom"/>
          </w:tcPr>
          <w:p>
            <w:pPr>
              <w:spacing w:after="0"/>
              <w:rPr>
                <w:sz w:val="20"/>
                <w:szCs w:val="20"/>
                <w:color w:val="auto"/>
              </w:rPr>
            </w:pPr>
            <w:r>
              <w:rPr>
                <w:rFonts w:ascii="Arial" w:cs="Arial" w:eastAsia="Arial" w:hAnsi="Arial"/>
                <w:sz w:val="20"/>
                <w:szCs w:val="20"/>
                <w:color w:val="auto"/>
              </w:rPr>
              <w:t>Consumer</w:t>
            </w: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229,118</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194,004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423,122</w:t>
            </w:r>
          </w:p>
        </w:tc>
        <w:tc>
          <w:tcPr>
            <w:tcW w:w="120" w:type="dxa"/>
            <w:vAlign w:val="bottom"/>
          </w:tcPr>
          <w:p>
            <w:pPr>
              <w:spacing w:after="0"/>
              <w:rPr>
                <w:sz w:val="21"/>
                <w:szCs w:val="21"/>
                <w:color w:val="auto"/>
              </w:rPr>
            </w:pPr>
          </w:p>
        </w:tc>
      </w:tr>
      <w:tr>
        <w:trPr>
          <w:trHeight w:val="250"/>
        </w:trPr>
        <w:tc>
          <w:tcPr>
            <w:tcW w:w="3940" w:type="dxa"/>
            <w:vAlign w:val="bottom"/>
            <w:shd w:val="clear" w:color="auto" w:fill="CFF0FC"/>
          </w:tcPr>
          <w:p>
            <w:pPr>
              <w:spacing w:after="0"/>
              <w:rPr>
                <w:sz w:val="20"/>
                <w:szCs w:val="20"/>
                <w:color w:val="auto"/>
              </w:rPr>
            </w:pPr>
            <w:r>
              <w:rPr>
                <w:rFonts w:ascii="Arial" w:cs="Arial" w:eastAsia="Arial" w:hAnsi="Arial"/>
                <w:sz w:val="20"/>
                <w:szCs w:val="20"/>
                <w:color w:val="auto"/>
              </w:rPr>
              <w:t>Unallocated</w:t>
            </w: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77,625</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(77,625)</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r>
      <w:tr>
        <w:trPr>
          <w:trHeight w:val="243"/>
        </w:trPr>
        <w:tc>
          <w:tcPr>
            <w:tcW w:w="3940" w:type="dxa"/>
            <w:vAlign w:val="bottom"/>
          </w:tcPr>
          <w:p>
            <w:pPr>
              <w:ind w:left="240"/>
              <w:spacing w:after="0"/>
              <w:rPr>
                <w:sz w:val="20"/>
                <w:szCs w:val="20"/>
                <w:color w:val="auto"/>
              </w:rPr>
            </w:pPr>
            <w:r>
              <w:rPr>
                <w:rFonts w:ascii="Arial" w:cs="Arial" w:eastAsia="Arial" w:hAnsi="Arial"/>
                <w:sz w:val="20"/>
                <w:szCs w:val="20"/>
                <w:color w:val="auto"/>
              </w:rPr>
              <w:t>Total</w:t>
            </w:r>
          </w:p>
        </w:tc>
        <w:tc>
          <w:tcPr>
            <w:tcW w:w="10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20"/>
                <w:szCs w:val="20"/>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1,051,071</w:t>
            </w:r>
          </w:p>
        </w:tc>
        <w:tc>
          <w:tcPr>
            <w:tcW w:w="34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132,457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20"/>
                <w:szCs w:val="20"/>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1,183,528</w:t>
            </w:r>
          </w:p>
        </w:tc>
        <w:tc>
          <w:tcPr>
            <w:tcW w:w="120" w:type="dxa"/>
            <w:vAlign w:val="bottom"/>
          </w:tcPr>
          <w:p>
            <w:pPr>
              <w:spacing w:after="0"/>
              <w:rPr>
                <w:sz w:val="21"/>
                <w:szCs w:val="21"/>
                <w:color w:val="auto"/>
              </w:rPr>
            </w:pPr>
          </w:p>
        </w:tc>
      </w:tr>
      <w:tr>
        <w:trPr>
          <w:trHeight w:val="20"/>
        </w:trPr>
        <w:tc>
          <w:tcPr>
            <w:tcW w:w="3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3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jc w:val="right"/>
              <w:ind w:right="988"/>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2"/>
        </w:trPr>
        <w:tc>
          <w:tcPr>
            <w:tcW w:w="39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1" w:name="page82"/>
    <w:bookmarkEnd w:id="81"/>
    <w:p>
      <w:pPr>
        <w:jc w:val="both"/>
        <w:ind w:firstLine="598"/>
        <w:spacing w:after="0" w:line="283" w:lineRule="auto"/>
        <w:rPr>
          <w:sz w:val="20"/>
          <w:szCs w:val="20"/>
          <w:color w:val="auto"/>
        </w:rPr>
      </w:pPr>
      <w:r>
        <w:rPr>
          <w:rFonts w:ascii="Arial" w:cs="Arial" w:eastAsia="Arial" w:hAnsi="Arial"/>
          <w:sz w:val="18"/>
          <w:szCs w:val="18"/>
          <w:color w:val="auto"/>
        </w:rPr>
        <w:t>The amended guidance requires estimated credit losses on loans acquired at a discount to be reflected in the allowance for credit losses. Previously, such losses were netted in the carrying value of the loans unless there was an increased loss expectation subsequent to their acquisition. The gross-up of the estimated losses on loans acquired at a discount that was previously not recognized in the allowance for credit losses was $18 million on January 1, 2020. Prior to January 1, 2020, the Company generally recognized interest income on loans acquired at a discount regardless of the borrowers’ repayment status. Effective with the adoption of the new accounting guidance, the Company’s nonaccrual loan policy now applies to loans acquired at a discount. Loans acquired at a discount at December 31, 2019 included $171 million of loans that, effective with the adoption of the new guidance, are classified as nonaccrual loans.</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w:t>
      </w:r>
    </w:p>
    <w:p>
      <w:pPr>
        <w:spacing w:after="0" w:line="29"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Other income aggregated $2.06 billion in 2019, compared with $1.86 billion and $1.85 billion in 2018 and 2017, respectively. As compared with 2018, the 11% rise in other income in 2019 was largely attributable to higher mortgage banking revenues, trust income, trading account and foreign exchange gains and valuation gains on investment securities. The increase in other income from 2017 to 2018 was largely attributable to higher levels of trust income and income from BLG that were tempered by lower brokerage services income and income from bank owned life insurance. In addition, valuation losses on equity securities were incurred during 2018, compared with gains on the sale of investment securities in 2017.</w:t>
      </w:r>
    </w:p>
    <w:p>
      <w:pPr>
        <w:spacing w:after="0" w:line="5" w:lineRule="exact"/>
        <w:rPr>
          <w:sz w:val="20"/>
          <w:szCs w:val="20"/>
          <w:color w:val="auto"/>
        </w:rPr>
      </w:pPr>
    </w:p>
    <w:p>
      <w:pPr>
        <w:ind w:right="420" w:firstLine="598"/>
        <w:spacing w:after="0" w:line="246" w:lineRule="auto"/>
        <w:rPr>
          <w:sz w:val="20"/>
          <w:szCs w:val="20"/>
          <w:color w:val="auto"/>
        </w:rPr>
      </w:pPr>
      <w:r>
        <w:rPr>
          <w:rFonts w:ascii="Arial" w:cs="Arial" w:eastAsia="Arial" w:hAnsi="Arial"/>
          <w:sz w:val="20"/>
          <w:szCs w:val="20"/>
          <w:color w:val="auto"/>
        </w:rPr>
        <w:t>Mortgage banking revenues aggregated $458 million in 2019, $360 million in 2018 and $364 million in 2017.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3" w:lineRule="exact"/>
        <w:rPr>
          <w:sz w:val="20"/>
          <w:szCs w:val="20"/>
          <w:color w:val="auto"/>
        </w:rPr>
      </w:pPr>
    </w:p>
    <w:p>
      <w:pPr>
        <w:ind w:right="80" w:firstLine="598"/>
        <w:spacing w:after="0" w:line="259" w:lineRule="auto"/>
        <w:rPr>
          <w:sz w:val="20"/>
          <w:szCs w:val="20"/>
          <w:color w:val="auto"/>
        </w:rPr>
      </w:pPr>
      <w:r>
        <w:rPr>
          <w:rFonts w:ascii="Arial" w:cs="Arial" w:eastAsia="Arial" w:hAnsi="Arial"/>
          <w:sz w:val="19"/>
          <w:szCs w:val="19"/>
          <w:color w:val="auto"/>
        </w:rPr>
        <w:t>Residential mortgage banking revenues, consisting of realized gains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$317 million in 2019, up significantly from $239 million in 2018 and $245 million in 2017. The higher residential mortgage banking revenues in 2019 as compared with 2018 resulted from increased servicing income and higher gains associated with loans held for sale, reflecting higher origination volumes.</w:t>
      </w:r>
    </w:p>
    <w:p>
      <w:pPr>
        <w:spacing w:after="0" w:line="4" w:lineRule="exact"/>
        <w:rPr>
          <w:sz w:val="20"/>
          <w:szCs w:val="20"/>
          <w:color w:val="auto"/>
        </w:rPr>
      </w:pPr>
    </w:p>
    <w:p>
      <w:pPr>
        <w:ind w:right="180" w:firstLine="598"/>
        <w:spacing w:after="0" w:line="274" w:lineRule="auto"/>
        <w:rPr>
          <w:sz w:val="20"/>
          <w:szCs w:val="20"/>
          <w:color w:val="auto"/>
        </w:rPr>
      </w:pPr>
      <w:r>
        <w:rPr>
          <w:rFonts w:ascii="Arial" w:cs="Arial" w:eastAsia="Arial" w:hAnsi="Arial"/>
          <w:sz w:val="18"/>
          <w:szCs w:val="18"/>
          <w:color w:val="auto"/>
        </w:rPr>
        <w:t>New commitments to originate residential real estate loans to be sold rose 20% to approximately $2.7 billion in 2019 from $2.2 billion in 2018. Such commitments totaled $3.0 billion in 2017. Realized gains from sales of residential real estate loans and loan servicing rights and recognized net unrealized gains or losses attributable to residential real estate loans held for sale, commitments to originate loans for sale and commitments to sell loans aggregated to gains of $72 million in 2019, $44 million in 2018 and $60 million in 2017.</w:t>
      </w:r>
    </w:p>
    <w:p>
      <w:pPr>
        <w:spacing w:after="0" w:line="1" w:lineRule="exact"/>
        <w:rPr>
          <w:sz w:val="20"/>
          <w:szCs w:val="20"/>
          <w:color w:val="auto"/>
        </w:rPr>
      </w:pPr>
    </w:p>
    <w:p>
      <w:pPr>
        <w:ind w:right="40" w:firstLine="598"/>
        <w:spacing w:after="0" w:line="248" w:lineRule="auto"/>
        <w:rPr>
          <w:sz w:val="20"/>
          <w:szCs w:val="20"/>
          <w:color w:val="auto"/>
        </w:rPr>
      </w:pPr>
      <w:r>
        <w:rPr>
          <w:rFonts w:ascii="Arial" w:cs="Arial" w:eastAsia="Arial" w:hAnsi="Arial"/>
          <w:sz w:val="20"/>
          <w:szCs w:val="20"/>
          <w:color w:val="auto"/>
        </w:rPr>
        <w:t>Loans held for sale that were secured by residential real estate totaled $414 million and $205 million at December 31, 2019 and 2018, respectively. Commitments to sell residential real estate loans and commitments to originate residential real estate loans for sale at pre-determined rates totaled $713 million and $423 million, respectively, at December 31, 2019, $364 million and $245 million, respectively, at December 31, 2018 and $595 million and $347 million, respectively, at December 31, 2017. Net recognized unrealized gains on residential real estate loans held for sale, commitments to sell loans and commitments to originate loans for sale were $12 million at December 31, 2019, $7 million at December 31, 2018 and $10 million at December 31, 2017. Changes in such net unrealized gains are recorded in mortgage banking revenues and resulted in a net increase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82" w:name="page83"/>
    <w:bookmarkEnd w:id="82"/>
    <w:p>
      <w:pPr>
        <w:spacing w:after="0"/>
        <w:rPr>
          <w:sz w:val="20"/>
          <w:szCs w:val="20"/>
          <w:color w:val="auto"/>
        </w:rPr>
      </w:pPr>
      <w:r>
        <w:rPr>
          <w:rFonts w:ascii="Arial" w:cs="Arial" w:eastAsia="Arial" w:hAnsi="Arial"/>
          <w:sz w:val="20"/>
          <w:szCs w:val="20"/>
          <w:color w:val="auto"/>
        </w:rPr>
        <w:t>revenue of $5 million in 2019, compared with net decreases in revenue of $3 million in 2018 and $5 million in 2017.</w:t>
      </w:r>
    </w:p>
    <w:p>
      <w:pPr>
        <w:spacing w:after="0" w:line="25"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Revenues from servicing residential real estate loans for others rose to $245 million in 2019 from $195 million in 2018 and $185 million in 2017. Residential real estate loans serviced for others aggregated $95.1 billion at December 31, 2019, $79.1 billion a year earlier and $79.2 billion at December 31, 2017. On January 31, 2019, the Company purchased servicing rights for residential real estate loans that had outstanding principal balances at that date of approximately $13.3 billion. The purchase price of such servicing rights was approximately $144 million. Reflected in residential real estate loans serviced for others were loans sub-serviced for others of $62.8 billion, $56.8 billion and $56.6 billion at December 31, 2019, 2018 and 2017, respectively. Revenues earned for sub-servicing such loans totaled $125 million in 2019, compared with $114 million in 2018 and $103 million in 2017. The Company added approximately $17.6 billion to its residential real estate loan sub-servicing portfolio during 2019. In 2018 and 2017, the Company added $9.0 billion and $35.6 billion, respectively of residential real estate loans sub-serviced for others. The contractual servicing rights associated with loans sub-serviced by the Company were predominantly held by affiliates of BLG. Information about the Company’s relationship with BLG and its affiliates is included in note 24 of Notes to Financial Statements.</w:t>
      </w:r>
    </w:p>
    <w:p>
      <w:pPr>
        <w:spacing w:after="0" w:line="8" w:lineRule="exact"/>
        <w:rPr>
          <w:sz w:val="20"/>
          <w:szCs w:val="20"/>
          <w:color w:val="auto"/>
        </w:rPr>
      </w:pPr>
    </w:p>
    <w:p>
      <w:pPr>
        <w:ind w:right="60" w:firstLine="598"/>
        <w:spacing w:after="0" w:line="259" w:lineRule="auto"/>
        <w:rPr>
          <w:sz w:val="20"/>
          <w:szCs w:val="20"/>
          <w:color w:val="auto"/>
        </w:rPr>
      </w:pPr>
      <w:r>
        <w:rPr>
          <w:rFonts w:ascii="Arial" w:cs="Arial" w:eastAsia="Arial" w:hAnsi="Arial"/>
          <w:sz w:val="19"/>
          <w:szCs w:val="19"/>
          <w:color w:val="auto"/>
        </w:rPr>
        <w:t>Capitalized residential mortgage servicing assets totaled $237 million at December 31, 2019 (net of a $7 million valuation allowance), compared with $121 million and $115 million at December 31, 2018 and 2017, respectively. A provision for impairment of capitalized residential mortgage servicing rights of $7 million was recorded in 2019, resulting from changes in the estimated fair value of capitalized mortgage servicing rights that reflected the impact of lower interest rates on the expected rate of residential mortgage loan prepayments. Additional information about the Company’s capitalized residential mortgage servicing assets, including information about the calculation of estimated fair value, is presented in note 6 of Notes to Financial Statements.</w:t>
      </w:r>
    </w:p>
    <w:p>
      <w:pPr>
        <w:spacing w:after="0" w:line="4" w:lineRule="exact"/>
        <w:rPr>
          <w:sz w:val="20"/>
          <w:szCs w:val="20"/>
          <w:color w:val="auto"/>
        </w:rPr>
      </w:pPr>
    </w:p>
    <w:p>
      <w:pPr>
        <w:ind w:firstLine="598"/>
        <w:spacing w:after="0" w:line="276" w:lineRule="auto"/>
        <w:rPr>
          <w:sz w:val="20"/>
          <w:szCs w:val="20"/>
          <w:color w:val="auto"/>
        </w:rPr>
      </w:pPr>
      <w:r>
        <w:rPr>
          <w:rFonts w:ascii="Arial" w:cs="Arial" w:eastAsia="Arial" w:hAnsi="Arial"/>
          <w:sz w:val="18"/>
          <w:szCs w:val="18"/>
          <w:color w:val="auto"/>
        </w:rPr>
        <w:t>Commercial mortgage banking revenues totaled $141 million in 2019, compared with $121 million in 2018 and $119 million in 2017. Included in such amounts were revenues from loan origination and sales activities of $81 million in 2019, $64 million in 2018 and $66 million in 2017. The higher revenues in 2019 as compared with 2018 were due to higher origination volumes and wider margins on loans originated for sale. The lower revenues in 2018 as compared with 2017 were due to narrower margins on loans originated for sale. Commercial real estate loans originated for sale to other investors totaled approximately $4.0 billion in 2019, compared with $2.4 billion in 2018 and $2.5 billion in 2017. Loan servicing revenues totaled $60 million in 2019, $57 million in 2018 and $53 million in 2017. Capitalized commercial mortgage servicing assets were $131 million at December 31, 2019, $115 million at December 31, 2018 and $114 million at December 31, 2017. Commercial real estate loans serviced for other investors totaled $21.0 billion at December 31, 2019, $18.2 billion at December 31, 2018 and $16.2 billion at December 31, 2017, and included $3.9 billion at December 31, 2019, $3.4 billion at December 31, 2018 and $3.3 billion at December 31, 2017, of loan balances for which investors had recourse to the Company if such balances are ultimately uncollectible. Included in commercial real estate loans serviced for others were loans sub-serviced for others of $3.4 billion at December 31, 2019 and $2.7 billion at December 31, 2018. Commitments to sell commercial real estate loans and commitments to originate commercial real estate loans for sale aggregated $193 million and $164 million, respectively, at December 31, 2019, $577 million and $229 million, respectively, at December 31, 2018 and $217 million and $195 million, respectively, at December 31, 2017. Commercial real estate loans held for sale were $28 million, $347 million and $22 million at December 31, 2019, 2018 and 2017, respectively. The higher balances at December 31, 2018 reflect loans originated later in that year that had not been delivered to investors by year end.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83" w:name="page84"/>
    <w:bookmarkEnd w:id="83"/>
    <w:p>
      <w:pPr>
        <w:ind w:right="20" w:firstLine="598"/>
        <w:spacing w:after="0" w:line="269" w:lineRule="auto"/>
        <w:rPr>
          <w:sz w:val="20"/>
          <w:szCs w:val="20"/>
          <w:color w:val="auto"/>
        </w:rPr>
      </w:pPr>
      <w:r>
        <w:rPr>
          <w:rFonts w:ascii="Arial" w:cs="Arial" w:eastAsia="Arial" w:hAnsi="Arial"/>
          <w:sz w:val="19"/>
          <w:szCs w:val="19"/>
          <w:color w:val="auto"/>
        </w:rPr>
        <w:t>Service charges on deposit accounts totaled $433 million in 2019, compared with $429 million in 2018 and $427 million in 2017. The increases in 2019 as compared with 2018 and in 2018 as compared with 2017 reflect higher consumer service charges.</w:t>
      </w:r>
    </w:p>
    <w:p>
      <w:pPr>
        <w:spacing w:after="0" w:line="1" w:lineRule="exact"/>
        <w:rPr>
          <w:sz w:val="20"/>
          <w:szCs w:val="20"/>
          <w:color w:val="auto"/>
        </w:rPr>
      </w:pPr>
    </w:p>
    <w:p>
      <w:pPr>
        <w:ind w:right="20" w:firstLine="598"/>
        <w:spacing w:after="0" w:line="274" w:lineRule="auto"/>
        <w:rPr>
          <w:sz w:val="20"/>
          <w:szCs w:val="20"/>
          <w:color w:val="auto"/>
        </w:rPr>
      </w:pPr>
      <w:r>
        <w:rPr>
          <w:rFonts w:ascii="Arial" w:cs="Arial" w:eastAsia="Arial" w:hAnsi="Arial"/>
          <w:sz w:val="18"/>
          <w:szCs w:val="18"/>
          <w:color w:val="auto"/>
        </w:rPr>
        <w:t>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helps high net worth clients grow their wealth, protect it, and transfer it to their heirs. A comprehensive array of wealth management services are offered, including asset management, fiduciary services and family office services. Trust income was $573 million in 2019, compared with $538 million in 2018 and $501 million in 2017. Revenues associated with the ICS business were $311 million in 2019, $275 million in 2018 and $254 million in 2017. The increases in ICS revenue in 2019 and 2018 reflect higher sales activities and increased retirement services income resulting from growth in collective fund balances. Revenues attributable to WAS totaled $233 million, $237 million and $222 million in 2019, 2018 and 2017, respectively. The decline in such revenues in 2019 from 2018 reflects, in part, lower recurring fees due to product mix, competitive factors and lower sales. The increased revenues in 2018 as compared with the preceding year reflected stronger sales activities and improved equity market performance. Trust assets under management were $113.0 billion and $84.9 billion at December 31, 2019 and 2018, respectively. Trust assets under management include the Company’s proprietary mutual funds’ assets of $12.5 billion at December 31, 2019 and $10.8 billion at December 31, 2018. Additional trust income from investment management activities was $29 million, $26 million and $25 million in 2019, 2018 and 2017, respectively, and includes fees earned from retail customer investment accounts and from an affiliated investment manager. The Company’s trust income associated with the affiliated asset manager that was sold in September 2019 was not material during 2019, 2018 or 2017.</w:t>
      </w:r>
    </w:p>
    <w:p>
      <w:pPr>
        <w:spacing w:after="0" w:line="3"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Brokerage services income, which includes revenues from the sale of mutual funds and annuities and securities brokerage fees, totaled $49 million in 2019, compared with $51 million in 2018 and $61 million in 2017. The decline in brokerage services income in each of the last two years resulted largely from lower income from sales of annuities. Trading account and foreign exchange activity resulted in gains of $62 million in 2019, $33 million in 2018 and $35 million in 2017. Increased activity related to interest rate swap agreements executed on behalf of commercial customers was the largest factor resulting in the higher gains in 2019 as compared with the prior two years. The Company enters into interest rate and foreign exchange contracts with customers who need such services and concomitantly enters into offsetting trading positions with third parties to minimize the risks involved with these types of transactions. Information about the notional amount of interest rate, foreign exchange and other contracts entered into by the Company for trading account purposes is included in note 18 of Notes to Financial Statements and herein under the heading “Liquidity, Market Risk, and Interest Rate Sensitivity.”</w:t>
      </w:r>
    </w:p>
    <w:p>
      <w:pPr>
        <w:spacing w:after="0" w:line="2" w:lineRule="exact"/>
        <w:rPr>
          <w:sz w:val="20"/>
          <w:szCs w:val="20"/>
          <w:color w:val="auto"/>
        </w:rPr>
      </w:pPr>
    </w:p>
    <w:p>
      <w:pPr>
        <w:ind w:right="60" w:firstLine="598"/>
        <w:spacing w:after="0" w:line="241" w:lineRule="auto"/>
        <w:rPr>
          <w:sz w:val="20"/>
          <w:szCs w:val="20"/>
          <w:color w:val="auto"/>
        </w:rPr>
      </w:pPr>
      <w:r>
        <w:rPr>
          <w:rFonts w:ascii="Arial" w:cs="Arial" w:eastAsia="Arial" w:hAnsi="Arial"/>
          <w:sz w:val="20"/>
          <w:szCs w:val="20"/>
          <w:color w:val="auto"/>
        </w:rPr>
        <w:t xml:space="preserve">The Company recognized net gains on investment securities of $18 million in 2019 and $21 million in 2017, compared with net losses of $6 million in 2018. The gains and losses recognized in 2019 and 2018 represented unrealized gains and losses on investments in Fannie Mae and Freddie Mac preferred stock. The Company realized net gains from sales of investment securities of $21 million in 2017. Of those net gains, $18 million were associated with the sale of </w:t>
      </w:r>
      <w:r>
        <w:rPr>
          <w:rFonts w:ascii="Arial" w:cs="Arial" w:eastAsia="Arial" w:hAnsi="Arial"/>
          <w:sz w:val="21"/>
          <w:szCs w:val="21"/>
          <w:color w:val="auto"/>
        </w:rPr>
        <w:t>a portion of the Company’s Fannie Mae and Freddie Mac preferred stock</w:t>
      </w:r>
      <w:r>
        <w:rPr>
          <w:rFonts w:ascii="Arial" w:cs="Arial" w:eastAsia="Arial" w:hAnsi="Arial"/>
          <w:sz w:val="20"/>
          <w:szCs w:val="20"/>
          <w:color w:val="auto"/>
        </w:rPr>
        <w:t xml:space="preserve"> </w:t>
      </w:r>
      <w:r>
        <w:rPr>
          <w:rFonts w:ascii="Arial" w:cs="Arial" w:eastAsia="Arial" w:hAnsi="Arial"/>
          <w:sz w:val="21"/>
          <w:szCs w:val="21"/>
          <w:color w:val="auto"/>
        </w:rPr>
        <w:t>holdings. The preferred stock sold had an amortized cost basis (after previous other-than-temporary impairment write-downs) of approximately $3 million.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4" w:name="page85"/>
    <w:bookmarkEnd w:id="84"/>
    <w:p>
      <w:pPr>
        <w:ind w:firstLine="598"/>
        <w:spacing w:after="0" w:line="266" w:lineRule="auto"/>
        <w:rPr>
          <w:sz w:val="20"/>
          <w:szCs w:val="20"/>
          <w:color w:val="auto"/>
        </w:rPr>
      </w:pPr>
      <w:r>
        <w:rPr>
          <w:rFonts w:ascii="Arial" w:cs="Arial" w:eastAsia="Arial" w:hAnsi="Arial"/>
          <w:sz w:val="19"/>
          <w:szCs w:val="19"/>
          <w:color w:val="auto"/>
        </w:rPr>
        <w:t>Other revenues from operations totaled $469 million in 2019, compared with $451 million in 2018 and $441 million in 2017. The increase in other revenues from operations in 2019 as compared with 2018 largely reflects higher income from BLG. The increase from 2017 to 2018 reflects income of $24 million from BLG, partially offset by lower income earned from bank owned life insurance.</w:t>
      </w:r>
    </w:p>
    <w:p>
      <w:pPr>
        <w:spacing w:after="0" w:line="1"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Included in other revenues from operations were the following significant components. Letter of credit and other credit-related fees totaled $124 million, $125 million and $123 million in 2019, 2018 and 2017, respectively. Revenues from merchant discount and credit card fees were $117 million in each of 2019 and 2018 and $120 million in 2017. As discussed in note 10 of Notes to Financial Statements, effective January 1, 2018 the Company began reporting credit card interchange revenue net of rewards granted to consumers who use the Company’s credit cards. Those rewards totaled $25 million in 2019 and $14 million in 2018. Tax-exempt income earned from bank owned life insurance, which includes increases in the cash surrender value of life insurance policies and benefits received, aggregated $50 million in 2019, compared with $48 million in 2018 and $58 million in 2017. The decrease from 2017 to 2018 was due to lower death benefit proceeds. Insurance-related sales commissions and other revenues totaled $47 million in each of 2019 and 2018, compared with $43 million in 2017. Automated teller machine usage fees aggregated $13 million in 2019, $14 million in 2018 and $15 million in 2017.</w:t>
      </w:r>
    </w:p>
    <w:p>
      <w:pPr>
        <w:spacing w:after="0" w:line="2" w:lineRule="exact"/>
        <w:rPr>
          <w:sz w:val="20"/>
          <w:szCs w:val="20"/>
          <w:color w:val="auto"/>
        </w:rPr>
      </w:pPr>
    </w:p>
    <w:p>
      <w:pPr>
        <w:ind w:right="160" w:firstLine="598"/>
        <w:spacing w:after="0" w:line="281" w:lineRule="auto"/>
        <w:rPr>
          <w:sz w:val="20"/>
          <w:szCs w:val="20"/>
          <w:color w:val="auto"/>
        </w:rPr>
      </w:pPr>
      <w:r>
        <w:rPr>
          <w:rFonts w:ascii="Arial" w:cs="Arial" w:eastAsia="Arial" w:hAnsi="Arial"/>
          <w:sz w:val="18"/>
          <w:szCs w:val="18"/>
          <w:color w:val="auto"/>
        </w:rPr>
        <w:t>M&amp;T’s investment in BLG resulted in income of $37 million in 2019, $24 million in 2018 and less than $1 million in 2017. During the second quarter of 2017, the operating losses of BLG resulted in M&amp;T reducing the carrying value of its investment in BLG to zero. Subsequently, M&amp;T received cash distributions from BLG that resulted in the recognition of income by M&amp;T. M&amp;T expects cash distributions from BLG in the future, but the timing and amount of those distributions cannot be estimated. BLG is entitled to receive distributions from affiliates that provide asset management and other services that are available for distribution to BLG’s owners, including M&amp;T. Information about the Company’s relationship with BLG and its affiliates is included in note 24 of Notes to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Expense</w:t>
      </w:r>
    </w:p>
    <w:p>
      <w:pPr>
        <w:spacing w:after="0" w:line="29"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Other expense aggregated $3.47 billion in 2019, compared to $3.29 billion in 2018 and $3.14 billion in 2017. Included in those amounts are expenses considered to be “nonoperating” in nature consisting of amortization of core deposit and other intangible assets of $19 million, $25 million and $31 million in 2019, 2018 and 2017, respectively. Exclusive of those nonoperating expenses, noninterest operating expenses aggregated $3.45 billion in 2019, $3.26 billion in 2018 and $3.11 billion in 2017. The rise in noninterest operating expenses in 2019 as compared with 2018 was largely attributable to increased costs for salaries and employee benefits, outside data processing and software, equipment and net occupancy, and a $48 million charge in 2019 associated with the sale of an equity investment in an asset manager. Partially offsetting those factors were lower costs associated with increases to the reserve for Wilmington Trust-related legal matters ($56 million in 2019 and $135 million in 2018) and lower contributions to The M&amp;T Charitable Foundation of $29 million and a decline in FDIC assessments of $27 million. The most significant factors contributing to the increase in such expenses from 2017 to 2018 were higher additions to the reserve for legal matters of $71 million and increased salaries and employee benefits and professional services</w:t>
      </w:r>
    </w:p>
    <w:p>
      <w:pPr>
        <w:spacing w:after="0" w:line="2" w:lineRule="exact"/>
        <w:rPr>
          <w:sz w:val="20"/>
          <w:szCs w:val="20"/>
          <w:color w:val="auto"/>
        </w:rPr>
      </w:pPr>
    </w:p>
    <w:p>
      <w:pPr>
        <w:ind w:left="600" w:right="100" w:hanging="597"/>
        <w:spacing w:after="0" w:line="274" w:lineRule="auto"/>
        <w:rPr>
          <w:sz w:val="20"/>
          <w:szCs w:val="20"/>
          <w:color w:val="auto"/>
        </w:rPr>
      </w:pPr>
      <w:r>
        <w:rPr>
          <w:rFonts w:ascii="Arial" w:cs="Arial" w:eastAsia="Arial" w:hAnsi="Arial"/>
          <w:sz w:val="18"/>
          <w:szCs w:val="18"/>
          <w:color w:val="auto"/>
        </w:rPr>
        <w:t>expenses. Those factors were partially offset by lower FDIC assessments of $33 million and charitable contributions of $21 million. Salaries and employee benefits expense aggregated $1.90 billion in 2019, compared with $1.75 billion and $1.65 billion in 2018 and</w:t>
      </w:r>
    </w:p>
    <w:p>
      <w:pPr>
        <w:jc w:val="both"/>
        <w:ind w:right="520"/>
        <w:spacing w:after="0" w:line="251" w:lineRule="auto"/>
        <w:rPr>
          <w:sz w:val="20"/>
          <w:szCs w:val="20"/>
          <w:color w:val="auto"/>
        </w:rPr>
      </w:pPr>
      <w:r>
        <w:rPr>
          <w:rFonts w:ascii="Arial" w:cs="Arial" w:eastAsia="Arial" w:hAnsi="Arial"/>
          <w:sz w:val="20"/>
          <w:szCs w:val="20"/>
          <w:color w:val="auto"/>
        </w:rPr>
        <w:t>2017, respectively. The higher levels of expenses in 2019 as compared with 2018 and in 2018 as compared with 2017 reflect increased staffing levels, the impact of merit and other increases for employees and higher incentive and stock-based compensation. Stock-based compensation totaled $76 million in 2019, compared with $66 million in 2018 and $61</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85" w:name="page86"/>
    <w:bookmarkEnd w:id="85"/>
    <w:p>
      <w:pPr>
        <w:ind w:right="600"/>
        <w:spacing w:after="0" w:line="256" w:lineRule="auto"/>
        <w:rPr>
          <w:sz w:val="20"/>
          <w:szCs w:val="20"/>
          <w:color w:val="auto"/>
        </w:rPr>
      </w:pPr>
      <w:r>
        <w:rPr>
          <w:rFonts w:ascii="Arial" w:cs="Arial" w:eastAsia="Arial" w:hAnsi="Arial"/>
          <w:sz w:val="20"/>
          <w:szCs w:val="20"/>
          <w:color w:val="auto"/>
        </w:rPr>
        <w:t>million in 2017. The number of full-time equivalent employees were 17,503 and 16,938 at December 31, 2019 and 2018, respectively, compared with 16,456 at December 31, 2017.</w:t>
      </w:r>
    </w:p>
    <w:p>
      <w:pPr>
        <w:ind w:right="100" w:firstLine="598"/>
        <w:spacing w:after="0" w:line="274" w:lineRule="auto"/>
        <w:rPr>
          <w:sz w:val="20"/>
          <w:szCs w:val="20"/>
          <w:color w:val="auto"/>
        </w:rPr>
      </w:pPr>
      <w:r>
        <w:rPr>
          <w:rFonts w:ascii="Arial" w:cs="Arial" w:eastAsia="Arial" w:hAnsi="Arial"/>
          <w:sz w:val="18"/>
          <w:szCs w:val="18"/>
          <w:color w:val="auto"/>
        </w:rPr>
        <w:t>The Company provides pension and other postretirement benefits for its employees, including pension, retirement savings and post-retirement benefit plans. Expenses related to such benefits totaled $76 million in 2019, $85 million in 2018 and $92 million in 2017. The amounts recorded in salaries and employee benefits expense and other costs of operations, respectively, from the preceding sentence were as follows: $98 million and ($22) million in 2019; $92 million and ($7) million in 2018; and $90 million and $2 million in 2017. The Company sponsors both defined benefit and defined contribution pension plans. Pension benefit expense for those plans was $31 million in 2019, $45 million in 2018 and $51 million in 2017. Information about the Company’s pension plans, including significant assumptions utilized in completing actuarial calculations for the plans, is included in note 12 of Notes to Financial Statements.</w:t>
      </w:r>
    </w:p>
    <w:p>
      <w:pPr>
        <w:spacing w:after="0" w:line="1" w:lineRule="exact"/>
        <w:rPr>
          <w:sz w:val="20"/>
          <w:szCs w:val="20"/>
          <w:color w:val="auto"/>
        </w:rPr>
      </w:pPr>
    </w:p>
    <w:p>
      <w:pPr>
        <w:ind w:right="420" w:firstLine="598"/>
        <w:spacing w:after="0" w:line="246" w:lineRule="auto"/>
        <w:rPr>
          <w:sz w:val="20"/>
          <w:szCs w:val="20"/>
          <w:color w:val="auto"/>
        </w:rPr>
      </w:pPr>
      <w:r>
        <w:rPr>
          <w:rFonts w:ascii="Arial" w:cs="Arial" w:eastAsia="Arial" w:hAnsi="Arial"/>
          <w:sz w:val="20"/>
          <w:szCs w:val="20"/>
          <w:color w:val="auto"/>
        </w:rPr>
        <w:t>The Company’s retirement savings plan (“RSP”) is a defined contribution plan in which eligible employees of the Company may defer up to 50% of qualified compensation via contributions to the plan. RSP expense reflecting the Company’s employer matching contribution totaled $48 million in 2019, $43 million in 2018 and $38 million in 2017.</w:t>
      </w:r>
    </w:p>
    <w:p>
      <w:pPr>
        <w:spacing w:after="0" w:line="2"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Excluding the nonoperating expense items already noted, nonpersonnel operating expenses were $1.55 billion in 2019, $1.51 billion in 2018 and $1.46 billion in 2017. The rise in such expenses in 2019 as compared with 2018 was predominantly the result of higher expenses for outside data processing and software, equipment and net occupancy, professional services, and the $48 million charge in 2019 associated with the sale of an equity investment in an asset manager. Those factors were partially offset by lower costs associated with legal-related matters and contributions to The M&amp;T Charitable Foundation, and a decline in FDIC assessments. The increased operating expenses in 2018 as compared with 2017 were predominantly the result of higher legal-related and professional services costs, partially offset by lower FDIC assessments and contributions to The M&amp;T Charitable Foundation. The declines in FDIC assessments since 2017 were due largely to the elimination of the large bank surcharge, effective October 1, 2018. The Deposit Insurance Fund Reserve Ratio exceeded the statutorily required minimum reserve ratio of 1.35% on September 30, 2018, resulting in the elimination of the surcharge. As noted previously, during 2019 the Company increased its reserve for legal matters, predominantly related to a subsidiary’s role as trustee of Employee Stock Ownership Plans in its Institutional Client Services business. In addition, during 2018 and 2017 WT Corp. reached agreements related to alleged conduct of that subsidiary prior to its acquisition by M&amp;T that led to the Company adding $135 million and $50 million to its reserve for legal matters during 2018 and 2017, respectively. The Company made contributions to The M&amp;T Charitable Foundation of $29 million and $50 million in 2018 and 2017, respectively. There were no similar contributions in 2019.</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29"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The provision for income taxes was $618 million in 2019, $590 million in 2018 and $916 million in 2017. The effective tax rates were 24.3% in 2019, 23.5% in 2018 and 39.4% in 2017. The decrease in the effective rate in 2019 and 2018 from 2017 primarily reflects the impact of the enactment of the Tax Act that was signed into law on December 22, 2017, reducing the corporate Federal income tax rate from 35% to 21% effective January 1, 2018 and making other changes to U.S. corporate income tax laws. In December 2018, M&amp;T received approval from the Internal Revenue Service to change its tax return treatment for certain loan fees retroactive to 2017, resulting in a $15 million reduction of income tax expense in the final quarter of 2018. In addition, accounting guidance requires that excess tax benefits and tax deficiencies associated with share-based compensation be recognized as a discrete component of income tax expense in the income statement. As a result, the Company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6" w:name="page87"/>
    <w:bookmarkEnd w:id="86"/>
    <w:p>
      <w:pPr>
        <w:ind w:right="1420"/>
        <w:spacing w:after="0" w:line="284" w:lineRule="auto"/>
        <w:rPr>
          <w:sz w:val="20"/>
          <w:szCs w:val="20"/>
          <w:color w:val="auto"/>
        </w:rPr>
      </w:pPr>
      <w:r>
        <w:rPr>
          <w:rFonts w:ascii="Arial" w:cs="Arial" w:eastAsia="Arial" w:hAnsi="Arial"/>
          <w:sz w:val="18"/>
          <w:szCs w:val="18"/>
          <w:color w:val="auto"/>
        </w:rPr>
        <w:t>recognized a reduction of income tax expense of $2 million, $9 million and $22 million during 2019, 2018 and 2017, respectively. Furthermore, GAAP requires that the impact of the provisions of the Tax Act be accounted for in the period of</w:t>
      </w:r>
    </w:p>
    <w:p>
      <w:pPr>
        <w:spacing w:after="0" w:line="1"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enactment. Accordingly, the estimated incremental income tax expense recorded by the Company in the fourth quarter of 2017 related to the Tax Act was $85 million. That additional expense was largely attributable to the reduction in carrying value of net deferred tax assets reflecting lower future tax benefits resulting from the lower corporate tax rate. Lastly, the 2017 settlement between WT Corp. and the U.S. Attorney’s Office for the District of Delaware resulted in a $44 million payment by WT Corp. that was not deductible for income tax purposes, contributing to a higher effective tax rate in 2017. If not for the impact of the Tax Act, the accounting for excess tax benefits from share-based compensation, and the non-deductible nature of the payment referred to above, the Company’s effective tax rate in 2017 would have been 36.0%.</w:t>
      </w:r>
    </w:p>
    <w:p>
      <w:pPr>
        <w:spacing w:after="0" w:line="5" w:lineRule="exact"/>
        <w:rPr>
          <w:sz w:val="20"/>
          <w:szCs w:val="20"/>
          <w:color w:val="auto"/>
        </w:rPr>
      </w:pPr>
    </w:p>
    <w:p>
      <w:pPr>
        <w:ind w:firstLine="598"/>
        <w:spacing w:after="0" w:line="263" w:lineRule="auto"/>
        <w:rPr>
          <w:sz w:val="20"/>
          <w:szCs w:val="20"/>
          <w:color w:val="auto"/>
        </w:rPr>
      </w:pPr>
      <w:r>
        <w:rPr>
          <w:rFonts w:ascii="Arial" w:cs="Arial" w:eastAsia="Arial" w:hAnsi="Arial"/>
          <w:sz w:val="19"/>
          <w:szCs w:val="19"/>
          <w:color w:val="auto"/>
        </w:rPr>
        <w:t>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discrete or infrequently occurring items. The Company’s effective tax rate in future periods will also be affected by any change in income tax laws or regulations and interpretations of income tax regulations that differ from the Company’s interpretations by any of various tax authorities that may examine tax returns filed by M&amp;T or any of its subsidiaries. Information about amounts accrued for uncertain tax positions and a reconciliation of income tax expense to the amount computed by applying the statutory federal income tax rate to pre-tax income is provided in note 13 of Notes to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Activities</w:t>
      </w:r>
    </w:p>
    <w:p>
      <w:pPr>
        <w:spacing w:after="0" w:line="29"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color w:val="auto"/>
        </w:rPr>
        <w:t>Assets and revenues associated with international activities represent less than 1% of the Company’s consolidated assets and revenues. International assets included $186 million and $172 million of loans to foreign borrowers at December 31, 2019 and 2018, respectively. Deposits in the Company’s office in the Cayman Islands aggregated $1.7 billion at December 31, 2019 and $812 million at December 31, 2018. The Company uses such deposits to facilitate customer demand, which increased in 2019 largely due to customers’ desire to sweep their deposit balances into higher earning products. Loans at M&amp;T Bank’s commercial banking office in Ontario, Canada included in international assets as of December 31, 2019 and 2018 totaled $143 million and $122 million, respectively. Deposits at that office were $23 million at December 31, 2019 and $22 million at December 31, 2018. The Company also offers trust-related services in Europe. Revenues from providing such services during 2019, 2018 and 2017 were approximately $32 million, $29 million and $24 million, respectively.</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Market Risk, and Interest Rate Sensitivity</w:t>
      </w:r>
    </w:p>
    <w:p>
      <w:pPr>
        <w:spacing w:after="0" w:line="29"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w:t>
      </w:r>
    </w:p>
    <w:p>
      <w:pPr>
        <w:spacing w:after="0" w:line="3" w:lineRule="exact"/>
        <w:rPr>
          <w:sz w:val="20"/>
          <w:szCs w:val="20"/>
          <w:color w:val="auto"/>
        </w:rPr>
      </w:pPr>
    </w:p>
    <w:p>
      <w:pPr>
        <w:ind w:right="20" w:firstLine="598"/>
        <w:spacing w:after="0" w:line="250" w:lineRule="auto"/>
        <w:rPr>
          <w:sz w:val="20"/>
          <w:szCs w:val="20"/>
          <w:color w:val="auto"/>
        </w:rPr>
      </w:pPr>
      <w:r>
        <w:rPr>
          <w:rFonts w:ascii="Arial" w:cs="Arial" w:eastAsia="Arial" w:hAnsi="Arial"/>
          <w:sz w:val="20"/>
          <w:szCs w:val="20"/>
          <w:color w:val="auto"/>
        </w:rPr>
        <w:t>Core deposits represent the most significant source of funding for the Company and are generated from a large base of consumer, corporate and institutional customers. That customer base has, over the past several years, become more geographically diverse as a result of expansion of the Company’s businesses. Nevertheless, the Company faces competition in offering products and services from a large array of financial market participants, including banks, thrifts, mutual funds,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7" w:name="page88"/>
    <w:bookmarkEnd w:id="87"/>
    <w:p>
      <w:pPr>
        <w:ind w:right="340"/>
        <w:spacing w:after="0" w:line="256" w:lineRule="auto"/>
        <w:rPr>
          <w:sz w:val="20"/>
          <w:szCs w:val="20"/>
          <w:color w:val="auto"/>
        </w:rPr>
      </w:pPr>
      <w:r>
        <w:rPr>
          <w:rFonts w:ascii="Arial" w:cs="Arial" w:eastAsia="Arial" w:hAnsi="Arial"/>
          <w:sz w:val="20"/>
          <w:szCs w:val="20"/>
          <w:color w:val="auto"/>
        </w:rPr>
        <w:t>securities dealers and others. Core deposits financed 83% of the Company’s earning assets at December 31, 2019, compared with 78% at December 31, 2018 and 84% at December 31, 2017.</w:t>
      </w:r>
    </w:p>
    <w:p>
      <w:pPr>
        <w:ind w:firstLine="598"/>
        <w:spacing w:after="0" w:line="274" w:lineRule="auto"/>
        <w:rPr>
          <w:sz w:val="20"/>
          <w:szCs w:val="20"/>
          <w:color w:val="auto"/>
        </w:rPr>
      </w:pPr>
      <w:r>
        <w:rPr>
          <w:rFonts w:ascii="Arial" w:cs="Arial" w:eastAsia="Arial" w:hAnsi="Arial"/>
          <w:sz w:val="18"/>
          <w:szCs w:val="18"/>
          <w:color w:val="auto"/>
        </w:rPr>
        <w:t>The Company supplements funding provided through core deposits with various short-term and long-term wholesale borrowings, including overnight federal funds purchased, short-term advances from the FHLB of New York, brokered deposits, Cayman Islands office deposits and longer-term borrowings. At December 31, 2019, M&amp;T Bank had short-term and long-term credit facilities with the FHLBs aggregating $18.2 billion. Outstanding borrowings under FHLB credit facilities totaled $2 million and $4.8 billion at December 31, 2019 and 2018, respectively. Such borrowings were secured by loans and investment securities. As previously noted, in December 2018 the Company borrowed $4.2 billion from the FHLB of New York for LCR and other liquidity purposes. M&amp;T Bank had an available line of credit with the Federal Reserve Bank of New York that totaled approximately $14.4 billion at December 31, 2019. The amount of that line is dependent upon the balances of loans and securities pledged as collateral. There were no borrowings outstanding under such line of credit at December 31, 2019 or December 31, 2018. Senior notes issued and outstanding totaled $4.9 billion at December 31, 2019 and $5.5 billion at December 31, 2018. The decline at December 31, 2019 as compared with the 2018 year-end reflects maturities of borrowings during</w:t>
      </w:r>
    </w:p>
    <w:p>
      <w:pPr>
        <w:spacing w:after="0" w:line="2" w:lineRule="exact"/>
        <w:rPr>
          <w:sz w:val="20"/>
          <w:szCs w:val="20"/>
          <w:color w:val="auto"/>
        </w:rPr>
      </w:pPr>
    </w:p>
    <w:p>
      <w:pPr>
        <w:ind w:right="300"/>
        <w:spacing w:after="0" w:line="259" w:lineRule="auto"/>
        <w:rPr>
          <w:sz w:val="20"/>
          <w:szCs w:val="20"/>
          <w:color w:val="auto"/>
        </w:rPr>
      </w:pPr>
      <w:r>
        <w:rPr>
          <w:rFonts w:ascii="Arial" w:cs="Arial" w:eastAsia="Arial" w:hAnsi="Arial"/>
          <w:sz w:val="19"/>
          <w:szCs w:val="19"/>
          <w:color w:val="auto"/>
        </w:rPr>
        <w:t>2019. During 2018, M&amp;T Bank issued $1.0 billion of senior notes that mature in 2021 and M&amp;T issued $750 million of senior notes that mature in 2023. On December 31, 2018 M&amp;T Bank redeemed $750 million of senior notes that were due to mature in January 2019. In addition, M&amp;T Bank redeemed $750 million of senior notes on January 7, 2020 that were due to mature in February 2020.</w:t>
      </w:r>
    </w:p>
    <w:p>
      <w:pPr>
        <w:spacing w:after="0" w:line="2"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The Company has, from time to time, issued subordinated capital notes and junior subordinated debentures associated with trust preferred securities to provide liquidity and enhance regulatory capital ratios. Pursuant to the Dodd-Frank Act, the Company’s junior subordinated debentures associated with trust preferred securities have been phased-out of the definition of Tier 1 capital but, similar to other subordinated capital notes, are considered Tier 2 capital and are includable in total regulatory capital. Information about the Company’s borrowings is included in note 8 of Notes to Financial Statements.</w:t>
      </w:r>
    </w:p>
    <w:p>
      <w:pPr>
        <w:spacing w:after="0" w:line="4" w:lineRule="exact"/>
        <w:rPr>
          <w:sz w:val="20"/>
          <w:szCs w:val="20"/>
          <w:color w:val="auto"/>
        </w:rPr>
      </w:pPr>
    </w:p>
    <w:p>
      <w:pPr>
        <w:ind w:right="140" w:firstLine="598"/>
        <w:spacing w:after="0" w:line="274" w:lineRule="auto"/>
        <w:rPr>
          <w:sz w:val="20"/>
          <w:szCs w:val="20"/>
          <w:color w:val="auto"/>
        </w:rPr>
      </w:pPr>
      <w:r>
        <w:rPr>
          <w:rFonts w:ascii="Arial" w:cs="Arial" w:eastAsia="Arial" w:hAnsi="Arial"/>
          <w:sz w:val="18"/>
          <w:szCs w:val="18"/>
          <w:color w:val="auto"/>
        </w:rPr>
        <w:t>Short-term federal funds borrowings totaled $137 million at December 31, 2018, while there were no such borrowings at December 31, 2019. In general, those borrowings were unsecured and matured on the next business day. In addition to satisfying customer demand, Cayman Islands office deposits may be used by the Company as an alternative to short-term borrowings. Cayman Islands office deposits totaled $1.7 billion and $812 million at December 31, 2019 and 2018, respectively. The Company has also benefited from the placement of brokered deposits. The Company has brokered savings and interest-bearing checking deposit accounts that aggregated $2.8 billion and $3.0 billion at December 31, 2019 and 2018, respectively. Brokered time deposits were not a significant source of funding as of those dates.</w:t>
      </w:r>
    </w:p>
    <w:p>
      <w:pPr>
        <w:spacing w:after="0" w:line="1" w:lineRule="exact"/>
        <w:rPr>
          <w:sz w:val="20"/>
          <w:szCs w:val="20"/>
          <w:color w:val="auto"/>
        </w:rPr>
      </w:pPr>
    </w:p>
    <w:p>
      <w:pPr>
        <w:ind w:right="20" w:firstLine="598"/>
        <w:spacing w:after="0" w:line="278" w:lineRule="auto"/>
        <w:rPr>
          <w:sz w:val="20"/>
          <w:szCs w:val="20"/>
          <w:color w:val="auto"/>
        </w:rPr>
      </w:pPr>
      <w:r>
        <w:rPr>
          <w:rFonts w:ascii="Arial" w:cs="Arial" w:eastAsia="Arial" w:hAnsi="Arial"/>
          <w:sz w:val="18"/>
          <w:szCs w:val="18"/>
          <w:color w:val="auto"/>
        </w:rPr>
        <w:t>The Company’s ability to obtain funding from these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Information about the credit ratings of M&amp;T and M&amp;T Bank is presented in table 17. Additional information regarding the terms and maturities of all of the Company’s short-term and long-term borrowings is provided in note 8 of Notes to Financial Statements.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88" w:name="page89"/>
    <w:bookmarkEnd w:id="88"/>
    <w:p>
      <w:pPr>
        <w:spacing w:after="0"/>
        <w:rPr>
          <w:sz w:val="20"/>
          <w:szCs w:val="20"/>
          <w:color w:val="auto"/>
        </w:rPr>
      </w:pPr>
      <w:r>
        <w:rPr>
          <w:rFonts w:ascii="Arial" w:cs="Arial" w:eastAsia="Arial" w:hAnsi="Arial"/>
          <w:sz w:val="20"/>
          <w:szCs w:val="20"/>
          <w:b w:val="1"/>
          <w:bCs w:val="1"/>
          <w:color w:val="auto"/>
        </w:rPr>
        <w:t>Table 17</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DEBT RATINGS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3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Moody’s</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Standard</w:t>
            </w:r>
          </w:p>
        </w:tc>
        <w:tc>
          <w:tcPr>
            <w:tcW w:w="1120" w:type="dxa"/>
            <w:vAlign w:val="bottom"/>
            <w:vMerge w:val="restart"/>
          </w:tcPr>
          <w:p>
            <w:pPr>
              <w:jc w:val="right"/>
              <w:ind w:right="304"/>
              <w:spacing w:after="0"/>
              <w:rPr>
                <w:sz w:val="20"/>
                <w:szCs w:val="20"/>
                <w:color w:val="auto"/>
              </w:rPr>
            </w:pPr>
            <w:r>
              <w:rPr>
                <w:rFonts w:ascii="Arial" w:cs="Arial" w:eastAsia="Arial" w:hAnsi="Arial"/>
                <w:sz w:val="14"/>
                <w:szCs w:val="14"/>
                <w:b w:val="1"/>
                <w:bCs w:val="1"/>
                <w:color w:val="auto"/>
              </w:rPr>
              <w:t>Fitch</w:t>
            </w:r>
          </w:p>
        </w:tc>
        <w:tc>
          <w:tcPr>
            <w:tcW w:w="0" w:type="dxa"/>
            <w:vAlign w:val="bottom"/>
          </w:tcPr>
          <w:p>
            <w:pPr>
              <w:spacing w:after="0"/>
              <w:rPr>
                <w:sz w:val="1"/>
                <w:szCs w:val="1"/>
                <w:color w:val="auto"/>
              </w:rPr>
            </w:pPr>
          </w:p>
        </w:tc>
      </w:tr>
      <w:tr>
        <w:trPr>
          <w:trHeight w:val="167"/>
        </w:trPr>
        <w:tc>
          <w:tcPr>
            <w:tcW w:w="76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and Poor’s</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M&amp;T Bank Corporation</w:t>
            </w:r>
          </w:p>
        </w:tc>
        <w:tc>
          <w:tcPr>
            <w:tcW w:w="1100" w:type="dxa"/>
            <w:vAlign w:val="bottom"/>
            <w:tcBorders>
              <w:top w:val="single" w:sz="8" w:color="auto"/>
            </w:tcBorders>
            <w:shd w:val="clear" w:color="auto" w:fill="CFF0FC"/>
          </w:tcPr>
          <w:p>
            <w:pPr>
              <w:spacing w:after="0"/>
              <w:rPr>
                <w:sz w:val="21"/>
                <w:szCs w:val="21"/>
                <w:color w:val="auto"/>
              </w:rPr>
            </w:pPr>
          </w:p>
        </w:tc>
        <w:tc>
          <w:tcPr>
            <w:tcW w:w="240" w:type="dxa"/>
            <w:vAlign w:val="bottom"/>
            <w:tcBorders>
              <w:top w:val="single" w:sz="8" w:color="CFF0FC"/>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240" w:type="dxa"/>
            <w:vAlign w:val="bottom"/>
            <w:tcBorders>
              <w:top w:val="single" w:sz="8" w:color="CFF0FC"/>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20" w:type="dxa"/>
            <w:vAlign w:val="bottom"/>
          </w:tcPr>
          <w:p>
            <w:pPr>
              <w:ind w:left="240"/>
              <w:spacing w:after="0"/>
              <w:rPr>
                <w:sz w:val="20"/>
                <w:szCs w:val="20"/>
                <w:color w:val="auto"/>
              </w:rPr>
            </w:pPr>
            <w:r>
              <w:rPr>
                <w:rFonts w:ascii="Arial" w:cs="Arial" w:eastAsia="Arial" w:hAnsi="Arial"/>
                <w:sz w:val="20"/>
                <w:szCs w:val="20"/>
                <w:color w:val="auto"/>
              </w:rPr>
              <w:t>Senior debt</w:t>
            </w:r>
          </w:p>
        </w:tc>
        <w:tc>
          <w:tcPr>
            <w:tcW w:w="1340" w:type="dxa"/>
            <w:vAlign w:val="bottom"/>
            <w:gridSpan w:val="2"/>
          </w:tcPr>
          <w:p>
            <w:pPr>
              <w:jc w:val="right"/>
              <w:ind w:right="260"/>
              <w:spacing w:after="0"/>
              <w:rPr>
                <w:sz w:val="20"/>
                <w:szCs w:val="20"/>
                <w:color w:val="auto"/>
              </w:rPr>
            </w:pPr>
            <w:r>
              <w:rPr>
                <w:rFonts w:ascii="Arial" w:cs="Arial" w:eastAsia="Arial" w:hAnsi="Arial"/>
                <w:sz w:val="20"/>
                <w:szCs w:val="20"/>
                <w:color w:val="auto"/>
              </w:rPr>
              <w:t>A3</w:t>
            </w:r>
          </w:p>
        </w:tc>
        <w:tc>
          <w:tcPr>
            <w:tcW w:w="1340" w:type="dxa"/>
            <w:vAlign w:val="bottom"/>
            <w:gridSpan w:val="2"/>
          </w:tcPr>
          <w:p>
            <w:pPr>
              <w:jc w:val="right"/>
              <w:ind w:right="240"/>
              <w:spacing w:after="0"/>
              <w:rPr>
                <w:sz w:val="20"/>
                <w:szCs w:val="20"/>
                <w:color w:val="auto"/>
              </w:rPr>
            </w:pPr>
            <w:r>
              <w:rPr>
                <w:rFonts w:ascii="Arial" w:cs="Arial" w:eastAsia="Arial" w:hAnsi="Arial"/>
                <w:sz w:val="20"/>
                <w:szCs w:val="20"/>
                <w:color w:val="auto"/>
              </w:rPr>
              <w:t>A–</w:t>
            </w:r>
          </w:p>
        </w:tc>
        <w:tc>
          <w:tcPr>
            <w:tcW w:w="1120" w:type="dxa"/>
            <w:vAlign w:val="bottom"/>
          </w:tcPr>
          <w:p>
            <w:pPr>
              <w:jc w:val="right"/>
              <w:spacing w:after="0"/>
              <w:rPr>
                <w:sz w:val="20"/>
                <w:szCs w:val="20"/>
                <w:color w:val="auto"/>
              </w:rPr>
            </w:pPr>
            <w:r>
              <w:rPr>
                <w:rFonts w:ascii="Arial" w:cs="Arial" w:eastAsia="Arial" w:hAnsi="Arial"/>
                <w:sz w:val="20"/>
                <w:szCs w:val="20"/>
                <w:color w:val="auto"/>
              </w:rPr>
              <w:t>A</w:t>
            </w:r>
          </w:p>
        </w:tc>
        <w:tc>
          <w:tcPr>
            <w:tcW w:w="0" w:type="dxa"/>
            <w:vAlign w:val="bottom"/>
          </w:tcPr>
          <w:p>
            <w:pPr>
              <w:spacing w:after="0"/>
              <w:rPr>
                <w:sz w:val="1"/>
                <w:szCs w:val="1"/>
                <w:color w:val="auto"/>
              </w:rPr>
            </w:pPr>
          </w:p>
        </w:tc>
      </w:tr>
      <w:tr>
        <w:trPr>
          <w:trHeight w:val="250"/>
        </w:trPr>
        <w:tc>
          <w:tcPr>
            <w:tcW w:w="76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Subordinated debt</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A3</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BBB+</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A–</w:t>
            </w:r>
          </w:p>
        </w:tc>
        <w:tc>
          <w:tcPr>
            <w:tcW w:w="0" w:type="dxa"/>
            <w:vAlign w:val="bottom"/>
          </w:tcPr>
          <w:p>
            <w:pPr>
              <w:spacing w:after="0"/>
              <w:rPr>
                <w:sz w:val="1"/>
                <w:szCs w:val="1"/>
                <w:color w:val="auto"/>
              </w:rPr>
            </w:pPr>
          </w:p>
        </w:tc>
      </w:tr>
      <w:tr>
        <w:trPr>
          <w:trHeight w:val="250"/>
        </w:trPr>
        <w:tc>
          <w:tcPr>
            <w:tcW w:w="7620" w:type="dxa"/>
            <w:vAlign w:val="bottom"/>
          </w:tcPr>
          <w:p>
            <w:pPr>
              <w:spacing w:after="0"/>
              <w:rPr>
                <w:sz w:val="20"/>
                <w:szCs w:val="20"/>
                <w:color w:val="auto"/>
              </w:rPr>
            </w:pPr>
            <w:r>
              <w:rPr>
                <w:rFonts w:ascii="Arial" w:cs="Arial" w:eastAsia="Arial" w:hAnsi="Arial"/>
                <w:sz w:val="20"/>
                <w:szCs w:val="20"/>
                <w:color w:val="auto"/>
              </w:rPr>
              <w:t>M&amp;T Bank</w:t>
            </w: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Short-term deposits</w:t>
            </w:r>
          </w:p>
        </w:tc>
        <w:tc>
          <w:tcPr>
            <w:tcW w:w="1340" w:type="dxa"/>
            <w:vAlign w:val="bottom"/>
            <w:gridSpan w:val="2"/>
            <w:shd w:val="clear" w:color="auto" w:fill="CFF0FC"/>
          </w:tcPr>
          <w:p>
            <w:pPr>
              <w:ind w:left="440"/>
              <w:spacing w:after="0"/>
              <w:rPr>
                <w:sz w:val="20"/>
                <w:szCs w:val="20"/>
                <w:color w:val="auto"/>
              </w:rPr>
            </w:pPr>
            <w:r>
              <w:rPr>
                <w:rFonts w:ascii="Arial" w:cs="Arial" w:eastAsia="Arial" w:hAnsi="Arial"/>
                <w:sz w:val="20"/>
                <w:szCs w:val="20"/>
                <w:color w:val="auto"/>
              </w:rPr>
              <w:t>Prime-1</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A-1</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F1</w:t>
            </w:r>
          </w:p>
        </w:tc>
        <w:tc>
          <w:tcPr>
            <w:tcW w:w="0" w:type="dxa"/>
            <w:vAlign w:val="bottom"/>
          </w:tcPr>
          <w:p>
            <w:pPr>
              <w:spacing w:after="0"/>
              <w:rPr>
                <w:sz w:val="1"/>
                <w:szCs w:val="1"/>
                <w:color w:val="auto"/>
              </w:rPr>
            </w:pPr>
          </w:p>
        </w:tc>
      </w:tr>
      <w:tr>
        <w:trPr>
          <w:trHeight w:val="250"/>
        </w:trPr>
        <w:tc>
          <w:tcPr>
            <w:tcW w:w="7620" w:type="dxa"/>
            <w:vAlign w:val="bottom"/>
          </w:tcPr>
          <w:p>
            <w:pPr>
              <w:ind w:left="240"/>
              <w:spacing w:after="0"/>
              <w:rPr>
                <w:sz w:val="20"/>
                <w:szCs w:val="20"/>
                <w:color w:val="auto"/>
              </w:rPr>
            </w:pPr>
            <w:r>
              <w:rPr>
                <w:rFonts w:ascii="Arial" w:cs="Arial" w:eastAsia="Arial" w:hAnsi="Arial"/>
                <w:sz w:val="20"/>
                <w:szCs w:val="20"/>
                <w:color w:val="auto"/>
              </w:rPr>
              <w:t>Long-term deposits</w:t>
            </w:r>
          </w:p>
        </w:tc>
        <w:tc>
          <w:tcPr>
            <w:tcW w:w="1340" w:type="dxa"/>
            <w:vAlign w:val="bottom"/>
            <w:gridSpan w:val="2"/>
          </w:tcPr>
          <w:p>
            <w:pPr>
              <w:jc w:val="right"/>
              <w:ind w:right="260"/>
              <w:spacing w:after="0"/>
              <w:rPr>
                <w:sz w:val="20"/>
                <w:szCs w:val="20"/>
                <w:color w:val="auto"/>
              </w:rPr>
            </w:pPr>
            <w:r>
              <w:rPr>
                <w:rFonts w:ascii="Arial" w:cs="Arial" w:eastAsia="Arial" w:hAnsi="Arial"/>
                <w:sz w:val="20"/>
                <w:szCs w:val="20"/>
                <w:color w:val="auto"/>
              </w:rPr>
              <w:t>Aa3</w:t>
            </w:r>
          </w:p>
        </w:tc>
        <w:tc>
          <w:tcPr>
            <w:tcW w:w="1340" w:type="dxa"/>
            <w:vAlign w:val="bottom"/>
            <w:gridSpan w:val="2"/>
          </w:tcPr>
          <w:p>
            <w:pPr>
              <w:jc w:val="right"/>
              <w:ind w:right="240"/>
              <w:spacing w:after="0"/>
              <w:rPr>
                <w:sz w:val="20"/>
                <w:szCs w:val="20"/>
                <w:color w:val="auto"/>
              </w:rPr>
            </w:pPr>
            <w:r>
              <w:rPr>
                <w:rFonts w:ascii="Arial" w:cs="Arial" w:eastAsia="Arial" w:hAnsi="Arial"/>
                <w:sz w:val="20"/>
                <w:szCs w:val="20"/>
                <w:color w:val="auto"/>
              </w:rPr>
              <w:t>A</w:t>
            </w:r>
          </w:p>
        </w:tc>
        <w:tc>
          <w:tcPr>
            <w:tcW w:w="1120" w:type="dxa"/>
            <w:vAlign w:val="bottom"/>
          </w:tcPr>
          <w:p>
            <w:pPr>
              <w:jc w:val="right"/>
              <w:spacing w:after="0"/>
              <w:rPr>
                <w:sz w:val="20"/>
                <w:szCs w:val="20"/>
                <w:color w:val="auto"/>
              </w:rPr>
            </w:pPr>
            <w:r>
              <w:rPr>
                <w:rFonts w:ascii="Arial" w:cs="Arial" w:eastAsia="Arial" w:hAnsi="Arial"/>
                <w:sz w:val="20"/>
                <w:szCs w:val="20"/>
                <w:color w:val="auto"/>
              </w:rPr>
              <w:t>A+</w:t>
            </w:r>
          </w:p>
        </w:tc>
        <w:tc>
          <w:tcPr>
            <w:tcW w:w="0" w:type="dxa"/>
            <w:vAlign w:val="bottom"/>
          </w:tcPr>
          <w:p>
            <w:pPr>
              <w:spacing w:after="0"/>
              <w:rPr>
                <w:sz w:val="1"/>
                <w:szCs w:val="1"/>
                <w:color w:val="auto"/>
              </w:rPr>
            </w:pPr>
          </w:p>
        </w:tc>
      </w:tr>
      <w:tr>
        <w:trPr>
          <w:trHeight w:val="250"/>
        </w:trPr>
        <w:tc>
          <w:tcPr>
            <w:tcW w:w="76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Senior debt</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A3</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A</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A</w:t>
            </w:r>
          </w:p>
        </w:tc>
        <w:tc>
          <w:tcPr>
            <w:tcW w:w="0" w:type="dxa"/>
            <w:vAlign w:val="bottom"/>
          </w:tcPr>
          <w:p>
            <w:pPr>
              <w:spacing w:after="0"/>
              <w:rPr>
                <w:sz w:val="1"/>
                <w:szCs w:val="1"/>
                <w:color w:val="auto"/>
              </w:rPr>
            </w:pPr>
          </w:p>
        </w:tc>
      </w:tr>
      <w:tr>
        <w:trPr>
          <w:trHeight w:val="257"/>
        </w:trPr>
        <w:tc>
          <w:tcPr>
            <w:tcW w:w="7620" w:type="dxa"/>
            <w:vAlign w:val="bottom"/>
          </w:tcPr>
          <w:p>
            <w:pPr>
              <w:ind w:left="240"/>
              <w:spacing w:after="0"/>
              <w:rPr>
                <w:sz w:val="20"/>
                <w:szCs w:val="20"/>
                <w:color w:val="auto"/>
              </w:rPr>
            </w:pPr>
            <w:r>
              <w:rPr>
                <w:rFonts w:ascii="Arial" w:cs="Arial" w:eastAsia="Arial" w:hAnsi="Arial"/>
                <w:sz w:val="20"/>
                <w:szCs w:val="20"/>
                <w:color w:val="auto"/>
              </w:rPr>
              <w:t>Subordinated debt</w:t>
            </w:r>
          </w:p>
        </w:tc>
        <w:tc>
          <w:tcPr>
            <w:tcW w:w="1340" w:type="dxa"/>
            <w:vAlign w:val="bottom"/>
            <w:gridSpan w:val="2"/>
          </w:tcPr>
          <w:p>
            <w:pPr>
              <w:jc w:val="right"/>
              <w:ind w:right="260"/>
              <w:spacing w:after="0"/>
              <w:rPr>
                <w:sz w:val="20"/>
                <w:szCs w:val="20"/>
                <w:color w:val="auto"/>
              </w:rPr>
            </w:pPr>
            <w:r>
              <w:rPr>
                <w:rFonts w:ascii="Arial" w:cs="Arial" w:eastAsia="Arial" w:hAnsi="Arial"/>
                <w:sz w:val="20"/>
                <w:szCs w:val="20"/>
                <w:color w:val="auto"/>
              </w:rPr>
              <w:t>A3</w:t>
            </w:r>
          </w:p>
        </w:tc>
        <w:tc>
          <w:tcPr>
            <w:tcW w:w="1340" w:type="dxa"/>
            <w:vAlign w:val="bottom"/>
            <w:gridSpan w:val="2"/>
          </w:tcPr>
          <w:p>
            <w:pPr>
              <w:jc w:val="right"/>
              <w:ind w:right="240"/>
              <w:spacing w:after="0"/>
              <w:rPr>
                <w:sz w:val="20"/>
                <w:szCs w:val="20"/>
                <w:color w:val="auto"/>
              </w:rPr>
            </w:pPr>
            <w:r>
              <w:rPr>
                <w:rFonts w:ascii="Arial" w:cs="Arial" w:eastAsia="Arial" w:hAnsi="Arial"/>
                <w:sz w:val="20"/>
                <w:szCs w:val="20"/>
                <w:color w:val="auto"/>
              </w:rPr>
              <w:t>A–</w:t>
            </w:r>
          </w:p>
        </w:tc>
        <w:tc>
          <w:tcPr>
            <w:tcW w:w="1120" w:type="dxa"/>
            <w:vAlign w:val="bottom"/>
          </w:tcPr>
          <w:p>
            <w:pPr>
              <w:jc w:val="right"/>
              <w:spacing w:after="0"/>
              <w:rPr>
                <w:sz w:val="20"/>
                <w:szCs w:val="20"/>
                <w:color w:val="auto"/>
              </w:rPr>
            </w:pPr>
            <w:r>
              <w:rPr>
                <w:rFonts w:ascii="Arial" w:cs="Arial" w:eastAsia="Arial" w:hAnsi="Arial"/>
                <w:sz w:val="20"/>
                <w:szCs w:val="20"/>
                <w:color w:val="auto"/>
              </w:rPr>
              <w:t>A–</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40" w:firstLine="598"/>
        <w:spacing w:after="0" w:line="266" w:lineRule="auto"/>
        <w:rPr>
          <w:sz w:val="20"/>
          <w:szCs w:val="20"/>
          <w:color w:val="auto"/>
        </w:rPr>
      </w:pPr>
      <w:r>
        <w:rPr>
          <w:rFonts w:ascii="Arial" w:cs="Arial" w:eastAsia="Arial" w:hAnsi="Arial"/>
          <w:sz w:val="19"/>
          <w:szCs w:val="19"/>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 value of VRDBs in the Company’s trading account was not material at December 31, 2019 or December 31, 2018. The total amount of VRDBs outstanding backed by M&amp;T Bank letters of credit was $857 million and $793 million at December 31, 2019 and 2018, respectively. M&amp;T Bank also serves as remarketing agent for most of those bonds.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18</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MATURITY DISTRIBUTION OF SELECTED LOANS(a)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Arial" w:cs="Arial" w:eastAsia="Arial" w:hAnsi="Arial"/>
                <w:sz w:val="14"/>
                <w:szCs w:val="14"/>
                <w:b w:val="1"/>
                <w:bCs w:val="1"/>
                <w:color w:val="auto"/>
              </w:rPr>
              <w:t>Demand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64"/>
              <w:spacing w:after="0"/>
              <w:rPr>
                <w:sz w:val="20"/>
                <w:szCs w:val="20"/>
                <w:color w:val="auto"/>
              </w:rPr>
            </w:pPr>
            <w:r>
              <w:rPr>
                <w:rFonts w:ascii="Arial" w:cs="Arial" w:eastAsia="Arial" w:hAnsi="Arial"/>
                <w:sz w:val="14"/>
                <w:szCs w:val="14"/>
                <w:b w:val="1"/>
                <w:bCs w:val="1"/>
                <w:color w:val="auto"/>
                <w:w w:val="96"/>
              </w:rPr>
              <w:t>2021 - 2024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After 2024</w:t>
            </w:r>
          </w:p>
        </w:tc>
      </w:tr>
      <w:tr>
        <w:trPr>
          <w:trHeight w:val="183"/>
        </w:trPr>
        <w:tc>
          <w:tcPr>
            <w:tcW w:w="1140" w:type="dxa"/>
            <w:vAlign w:val="bottom"/>
            <w:tcBorders>
              <w:top w:val="single" w:sz="8" w:color="auto"/>
            </w:tcBorders>
          </w:tcPr>
          <w:p>
            <w:pPr>
              <w:spacing w:after="0"/>
              <w:rPr>
                <w:sz w:val="15"/>
                <w:szCs w:val="15"/>
                <w:color w:val="auto"/>
              </w:rPr>
            </w:pPr>
          </w:p>
        </w:tc>
        <w:tc>
          <w:tcPr>
            <w:tcW w:w="48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580" w:type="dxa"/>
            <w:vAlign w:val="bottom"/>
            <w:tcBorders>
              <w:top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82"/>
        </w:trPr>
        <w:tc>
          <w:tcPr>
            <w:tcW w:w="5940" w:type="dxa"/>
            <w:vAlign w:val="bottom"/>
            <w:gridSpan w:val="2"/>
          </w:tcPr>
          <w:p>
            <w:pPr>
              <w:spacing w:after="0"/>
              <w:rPr>
                <w:sz w:val="20"/>
                <w:szCs w:val="20"/>
                <w:color w:val="auto"/>
              </w:rPr>
            </w:pPr>
            <w:r>
              <w:rPr>
                <w:rFonts w:ascii="Arial" w:cs="Arial" w:eastAsia="Arial" w:hAnsi="Arial"/>
                <w:sz w:val="20"/>
                <w:szCs w:val="20"/>
                <w:color w:val="auto"/>
              </w:rPr>
              <w:t>Commercial, financial, etc.</w:t>
            </w: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8,600,988</w:t>
            </w:r>
          </w:p>
        </w:tc>
        <w:tc>
          <w:tcPr>
            <w:tcW w:w="46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2,641,583</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9,257,923</w:t>
            </w:r>
          </w:p>
        </w:tc>
        <w:tc>
          <w:tcPr>
            <w:tcW w:w="220" w:type="dxa"/>
            <w:vAlign w:val="bottom"/>
          </w:tcPr>
          <w:p>
            <w:pPr>
              <w:spacing w:after="0"/>
              <w:rPr>
                <w:sz w:val="24"/>
                <w:szCs w:val="24"/>
                <w:color w:val="auto"/>
              </w:rPr>
            </w:pPr>
          </w:p>
        </w:tc>
        <w:tc>
          <w:tcPr>
            <w:tcW w:w="180" w:type="dxa"/>
            <w:vAlign w:val="bottom"/>
            <w:gridSpan w:val="2"/>
          </w:tcPr>
          <w:p>
            <w:pPr>
              <w:jc w:val="right"/>
              <w:ind w:right="4"/>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1,781,724</w:t>
            </w:r>
          </w:p>
        </w:tc>
        <w:tc>
          <w:tcPr>
            <w:tcW w:w="100" w:type="dxa"/>
            <w:vAlign w:val="bottom"/>
          </w:tcPr>
          <w:p>
            <w:pPr>
              <w:spacing w:after="0"/>
              <w:rPr>
                <w:sz w:val="24"/>
                <w:szCs w:val="24"/>
                <w:color w:val="auto"/>
              </w:rPr>
            </w:pPr>
          </w:p>
        </w:tc>
      </w:tr>
      <w:tr>
        <w:trPr>
          <w:trHeight w:val="250"/>
        </w:trPr>
        <w:tc>
          <w:tcPr>
            <w:tcW w:w="59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Real estate — construction</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133,424</w:t>
            </w:r>
          </w:p>
        </w:tc>
        <w:tc>
          <w:tcPr>
            <w:tcW w:w="2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3,353,498</w:t>
            </w:r>
          </w:p>
        </w:tc>
        <w:tc>
          <w:tcPr>
            <w:tcW w:w="2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4,789,471</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695,403</w:t>
            </w:r>
          </w:p>
        </w:tc>
        <w:tc>
          <w:tcPr>
            <w:tcW w:w="100" w:type="dxa"/>
            <w:vAlign w:val="bottom"/>
            <w:shd w:val="clear" w:color="auto" w:fill="CFF0FC"/>
          </w:tcPr>
          <w:p>
            <w:pPr>
              <w:spacing w:after="0"/>
              <w:rPr>
                <w:sz w:val="21"/>
                <w:szCs w:val="21"/>
                <w:color w:val="auto"/>
              </w:rPr>
            </w:pPr>
          </w:p>
        </w:tc>
      </w:tr>
      <w:tr>
        <w:trPr>
          <w:trHeight w:val="283"/>
        </w:trPr>
        <w:tc>
          <w:tcPr>
            <w:tcW w:w="5940" w:type="dxa"/>
            <w:vAlign w:val="bottom"/>
            <w:tcBorders>
              <w:bottom w:val="single" w:sz="8" w:color="CFF0FC"/>
            </w:tcBorders>
            <w:gridSpan w:val="2"/>
          </w:tcPr>
          <w:p>
            <w:pPr>
              <w:ind w:left="240"/>
              <w:spacing w:after="0"/>
              <w:rPr>
                <w:sz w:val="20"/>
                <w:szCs w:val="20"/>
                <w:color w:val="auto"/>
              </w:rPr>
            </w:pPr>
            <w:r>
              <w:rPr>
                <w:rFonts w:ascii="Arial" w:cs="Arial" w:eastAsia="Arial" w:hAnsi="Arial"/>
                <w:sz w:val="20"/>
                <w:szCs w:val="20"/>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8,734,412</w:t>
            </w:r>
          </w:p>
        </w:tc>
        <w:tc>
          <w:tcPr>
            <w:tcW w:w="2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5,995,081</w:t>
            </w:r>
          </w:p>
        </w:tc>
        <w:tc>
          <w:tcPr>
            <w:tcW w:w="2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14,047,394</w:t>
            </w:r>
          </w:p>
        </w:tc>
        <w:tc>
          <w:tcPr>
            <w:tcW w:w="2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2,477,127</w:t>
            </w:r>
          </w:p>
        </w:tc>
        <w:tc>
          <w:tcPr>
            <w:tcW w:w="100" w:type="dxa"/>
            <w:vAlign w:val="bottom"/>
            <w:tcBorders>
              <w:bottom w:val="single" w:sz="8" w:color="CFF0FC"/>
            </w:tcBorders>
          </w:tcPr>
          <w:p>
            <w:pPr>
              <w:spacing w:after="0"/>
              <w:rPr>
                <w:sz w:val="24"/>
                <w:szCs w:val="24"/>
                <w:color w:val="auto"/>
              </w:rPr>
            </w:pPr>
          </w:p>
        </w:tc>
      </w:tr>
      <w:tr>
        <w:trPr>
          <w:trHeight w:val="229"/>
        </w:trPr>
        <w:tc>
          <w:tcPr>
            <w:tcW w:w="1140" w:type="dxa"/>
            <w:vAlign w:val="bottom"/>
            <w:shd w:val="clear" w:color="auto" w:fill="CFF0FC"/>
          </w:tcPr>
          <w:p>
            <w:pPr>
              <w:spacing w:after="0"/>
              <w:rPr>
                <w:sz w:val="19"/>
                <w:szCs w:val="19"/>
                <w:color w:val="auto"/>
              </w:rPr>
            </w:pPr>
          </w:p>
        </w:tc>
        <w:tc>
          <w:tcPr>
            <w:tcW w:w="4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50"/>
        </w:trPr>
        <w:tc>
          <w:tcPr>
            <w:tcW w:w="5940" w:type="dxa"/>
            <w:vAlign w:val="bottom"/>
            <w:gridSpan w:val="2"/>
          </w:tcPr>
          <w:p>
            <w:pPr>
              <w:spacing w:after="0"/>
              <w:rPr>
                <w:sz w:val="20"/>
                <w:szCs w:val="20"/>
                <w:color w:val="auto"/>
              </w:rPr>
            </w:pPr>
            <w:r>
              <w:rPr>
                <w:rFonts w:ascii="Arial" w:cs="Arial" w:eastAsia="Arial" w:hAnsi="Arial"/>
                <w:sz w:val="20"/>
                <w:szCs w:val="20"/>
                <w:color w:val="auto"/>
              </w:rPr>
              <w:t>Floating or adjustable interest rates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w w:val="95"/>
              </w:rPr>
              <w:t>12,034,158</w:t>
            </w:r>
          </w:p>
        </w:tc>
        <w:tc>
          <w:tcPr>
            <w:tcW w:w="220" w:type="dxa"/>
            <w:vAlign w:val="bottom"/>
          </w:tcPr>
          <w:p>
            <w:pPr>
              <w:spacing w:after="0"/>
              <w:rPr>
                <w:sz w:val="21"/>
                <w:szCs w:val="21"/>
                <w:color w:val="auto"/>
              </w:rPr>
            </w:pPr>
          </w:p>
        </w:tc>
        <w:tc>
          <w:tcPr>
            <w:tcW w:w="180" w:type="dxa"/>
            <w:vAlign w:val="bottom"/>
            <w:gridSpan w:val="2"/>
          </w:tcPr>
          <w:p>
            <w:pPr>
              <w:jc w:val="right"/>
              <w:ind w:right="4"/>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1,183,197</w:t>
            </w:r>
          </w:p>
        </w:tc>
        <w:tc>
          <w:tcPr>
            <w:tcW w:w="100" w:type="dxa"/>
            <w:vAlign w:val="bottom"/>
          </w:tcPr>
          <w:p>
            <w:pPr>
              <w:spacing w:after="0"/>
              <w:rPr>
                <w:sz w:val="21"/>
                <w:szCs w:val="21"/>
                <w:color w:val="auto"/>
              </w:rPr>
            </w:pPr>
          </w:p>
        </w:tc>
      </w:tr>
      <w:tr>
        <w:trPr>
          <w:trHeight w:val="250"/>
        </w:trPr>
        <w:tc>
          <w:tcPr>
            <w:tcW w:w="59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Fixed or predetermined interest rates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2,013,236</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1,293,930</w:t>
            </w:r>
          </w:p>
        </w:tc>
        <w:tc>
          <w:tcPr>
            <w:tcW w:w="100" w:type="dxa"/>
            <w:vAlign w:val="bottom"/>
            <w:shd w:val="clear" w:color="auto" w:fill="CFF0FC"/>
          </w:tcPr>
          <w:p>
            <w:pPr>
              <w:spacing w:after="0"/>
              <w:rPr>
                <w:sz w:val="21"/>
                <w:szCs w:val="21"/>
                <w:color w:val="auto"/>
              </w:rPr>
            </w:pPr>
          </w:p>
        </w:tc>
      </w:tr>
      <w:tr>
        <w:trPr>
          <w:trHeight w:val="243"/>
        </w:trPr>
        <w:tc>
          <w:tcPr>
            <w:tcW w:w="5940" w:type="dxa"/>
            <w:vAlign w:val="bottom"/>
            <w:gridSpan w:val="2"/>
          </w:tcPr>
          <w:p>
            <w:pPr>
              <w:ind w:left="240"/>
              <w:spacing w:after="0"/>
              <w:rPr>
                <w:sz w:val="20"/>
                <w:szCs w:val="20"/>
                <w:color w:val="auto"/>
              </w:rPr>
            </w:pPr>
            <w:r>
              <w:rPr>
                <w:rFonts w:ascii="Arial" w:cs="Arial" w:eastAsia="Arial" w:hAnsi="Arial"/>
                <w:sz w:val="20"/>
                <w:szCs w:val="20"/>
                <w:color w:val="auto"/>
              </w:rPr>
              <w:t>Total</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14,047,394</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2,477,127</w:t>
            </w:r>
          </w:p>
        </w:tc>
        <w:tc>
          <w:tcPr>
            <w:tcW w:w="1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ind w:left="600" w:hanging="595"/>
        <w:spacing w:after="0"/>
        <w:tabs>
          <w:tab w:leader="none" w:pos="600" w:val="left"/>
        </w:tabs>
        <w:numPr>
          <w:ilvl w:val="0"/>
          <w:numId w:val="34"/>
        </w:numPr>
        <w:rPr>
          <w:rFonts w:ascii="Arial" w:cs="Arial" w:eastAsia="Arial" w:hAnsi="Arial"/>
          <w:sz w:val="20"/>
          <w:szCs w:val="20"/>
          <w:i w:val="1"/>
          <w:iCs w:val="1"/>
          <w:color w:val="auto"/>
        </w:rPr>
      </w:pPr>
      <w:r>
        <w:rPr>
          <w:rFonts w:ascii="Arial" w:cs="Arial" w:eastAsia="Arial" w:hAnsi="Arial"/>
          <w:sz w:val="20"/>
          <w:szCs w:val="20"/>
          <w:i w:val="1"/>
          <w:iCs w:val="1"/>
          <w:color w:val="auto"/>
        </w:rPr>
        <w:t>The data do not include nonaccrual loans.</w:t>
      </w:r>
    </w:p>
    <w:p>
      <w:pPr>
        <w:spacing w:after="0" w:line="230" w:lineRule="exact"/>
        <w:rPr>
          <w:sz w:val="20"/>
          <w:szCs w:val="20"/>
          <w:color w:val="auto"/>
        </w:rPr>
      </w:pPr>
    </w:p>
    <w:p>
      <w:pPr>
        <w:ind w:right="100" w:firstLine="598"/>
        <w:spacing w:after="0" w:line="252" w:lineRule="auto"/>
        <w:rPr>
          <w:sz w:val="20"/>
          <w:szCs w:val="20"/>
          <w:color w:val="auto"/>
        </w:rPr>
      </w:pPr>
      <w:r>
        <w:rPr>
          <w:rFonts w:ascii="Arial" w:cs="Arial" w:eastAsia="Arial" w:hAnsi="Arial"/>
          <w:sz w:val="20"/>
          <w:szCs w:val="20"/>
          <w:color w:val="auto"/>
        </w:rPr>
        <w:t>The Company enters into contractual obligations in the normal course of business that require future cash payments. The contractual amounts and timing of those payments as of December 31, 2019 are summarized in table 19.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89" w:name="page90"/>
    <w:bookmarkEnd w:id="89"/>
    <w:p>
      <w:pPr>
        <w:ind w:right="200"/>
        <w:spacing w:after="0" w:line="275" w:lineRule="auto"/>
        <w:rPr>
          <w:sz w:val="20"/>
          <w:szCs w:val="20"/>
          <w:color w:val="auto"/>
        </w:rPr>
      </w:pPr>
      <w:r>
        <w:rPr>
          <w:rFonts w:ascii="Arial" w:cs="Arial" w:eastAsia="Arial" w:hAnsi="Arial"/>
          <w:sz w:val="20"/>
          <w:szCs w:val="20"/>
          <w:color w:val="auto"/>
        </w:rPr>
        <w:t>in note 21 of Notes to Financial Statements. Table 19 summarizes the Company’s other commitments as of December 31, 2019 and the timing of the expiration of such commitments.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19</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CONTRACTUAL OBLIGATIONS AND OTHER COMMITMENTS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15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Less Than One</w:t>
            </w:r>
          </w:p>
        </w:tc>
        <w:tc>
          <w:tcPr>
            <w:tcW w:w="12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Arial" w:cs="Arial" w:eastAsia="Arial" w:hAnsi="Arial"/>
                <w:sz w:val="14"/>
                <w:szCs w:val="14"/>
                <w:b w:val="1"/>
                <w:bCs w:val="1"/>
                <w:color w:val="auto"/>
                <w:w w:val="92"/>
              </w:rPr>
              <w:t>One to Three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Three to Five</w:t>
            </w:r>
          </w:p>
        </w:tc>
        <w:tc>
          <w:tcPr>
            <w:tcW w:w="160" w:type="dxa"/>
            <w:vAlign w:val="bottom"/>
          </w:tcPr>
          <w:p>
            <w:pPr>
              <w:spacing w:after="0"/>
              <w:rPr>
                <w:sz w:val="14"/>
                <w:szCs w:val="14"/>
                <w:color w:val="auto"/>
              </w:rPr>
            </w:pPr>
          </w:p>
        </w:tc>
        <w:tc>
          <w:tcPr>
            <w:tcW w:w="940" w:type="dxa"/>
            <w:vAlign w:val="bottom"/>
          </w:tcPr>
          <w:p>
            <w:pPr>
              <w:jc w:val="right"/>
              <w:ind w:right="163"/>
              <w:spacing w:after="0"/>
              <w:rPr>
                <w:sz w:val="20"/>
                <w:szCs w:val="20"/>
                <w:color w:val="auto"/>
              </w:rPr>
            </w:pPr>
            <w:r>
              <w:rPr>
                <w:rFonts w:ascii="Arial" w:cs="Arial" w:eastAsia="Arial" w:hAnsi="Arial"/>
                <w:sz w:val="14"/>
                <w:szCs w:val="14"/>
                <w:b w:val="1"/>
                <w:bCs w:val="1"/>
                <w:color w:val="auto"/>
              </w:rPr>
              <w:t>Over Five</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600"/>
              <w:spacing w:after="0" w:line="154" w:lineRule="exact"/>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3"/>
                <w:szCs w:val="13"/>
                <w:color w:val="auto"/>
              </w:rPr>
            </w:pPr>
          </w:p>
        </w:tc>
        <w:tc>
          <w:tcPr>
            <w:tcW w:w="980" w:type="dxa"/>
            <w:vAlign w:val="bottom"/>
          </w:tcPr>
          <w:p>
            <w:pPr>
              <w:jc w:val="right"/>
              <w:ind w:right="303"/>
              <w:spacing w:after="0" w:line="154" w:lineRule="exact"/>
              <w:rPr>
                <w:sz w:val="20"/>
                <w:szCs w:val="20"/>
                <w:color w:val="auto"/>
              </w:rPr>
            </w:pPr>
            <w:r>
              <w:rPr>
                <w:rFonts w:ascii="Arial" w:cs="Arial" w:eastAsia="Arial" w:hAnsi="Arial"/>
                <w:sz w:val="14"/>
                <w:szCs w:val="14"/>
                <w:b w:val="1"/>
                <w:bCs w:val="1"/>
                <w:color w:val="auto"/>
              </w:rPr>
              <w:t>Years</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600"/>
              <w:spacing w:after="0" w:line="154" w:lineRule="exact"/>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3"/>
                <w:szCs w:val="13"/>
                <w:color w:val="auto"/>
              </w:rPr>
            </w:pPr>
          </w:p>
        </w:tc>
        <w:tc>
          <w:tcPr>
            <w:tcW w:w="940" w:type="dxa"/>
            <w:vAlign w:val="bottom"/>
          </w:tcPr>
          <w:p>
            <w:pPr>
              <w:jc w:val="right"/>
              <w:ind w:right="283"/>
              <w:spacing w:after="0" w:line="154" w:lineRule="exact"/>
              <w:rPr>
                <w:sz w:val="20"/>
                <w:szCs w:val="20"/>
                <w:color w:val="auto"/>
              </w:rPr>
            </w:pPr>
            <w:r>
              <w:rPr>
                <w:rFonts w:ascii="Arial" w:cs="Arial" w:eastAsia="Arial" w:hAnsi="Arial"/>
                <w:sz w:val="14"/>
                <w:szCs w:val="14"/>
                <w:b w:val="1"/>
                <w:bCs w:val="1"/>
                <w:color w:val="auto"/>
              </w:rPr>
              <w:t>Years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140" w:type="dxa"/>
            <w:vAlign w:val="bottom"/>
            <w:tcBorders>
              <w:top w:val="single" w:sz="8" w:color="auto"/>
            </w:tcBorders>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39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Payments due for contractual</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FF0FC"/>
          </w:tcPr>
          <w:p>
            <w:pPr>
              <w:ind w:left="160"/>
              <w:spacing w:after="0"/>
              <w:rPr>
                <w:sz w:val="20"/>
                <w:szCs w:val="20"/>
                <w:color w:val="auto"/>
              </w:rPr>
            </w:pPr>
            <w:r>
              <w:rPr>
                <w:rFonts w:ascii="Arial" w:cs="Arial" w:eastAsia="Arial" w:hAnsi="Arial"/>
                <w:sz w:val="20"/>
                <w:szCs w:val="20"/>
                <w:color w:val="auto"/>
              </w:rPr>
              <w:t>obligations</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ind w:left="240"/>
              <w:spacing w:after="0"/>
              <w:rPr>
                <w:sz w:val="20"/>
                <w:szCs w:val="20"/>
                <w:color w:val="auto"/>
              </w:rPr>
            </w:pPr>
            <w:r>
              <w:rPr>
                <w:rFonts w:ascii="Arial" w:cs="Arial" w:eastAsia="Arial" w:hAnsi="Arial"/>
                <w:sz w:val="20"/>
                <w:szCs w:val="20"/>
                <w:color w:val="auto"/>
              </w:rPr>
              <w:t>Time deposits</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4,078,663</w:t>
            </w:r>
          </w:p>
        </w:tc>
        <w:tc>
          <w:tcPr>
            <w:tcW w:w="4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1,592,344</w:t>
            </w:r>
          </w:p>
        </w:tc>
        <w:tc>
          <w:tcPr>
            <w:tcW w:w="5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86,449</w:t>
            </w:r>
          </w:p>
        </w:tc>
        <w:tc>
          <w:tcPr>
            <w:tcW w:w="4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5,757,456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Deposits at Cayman</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FF0FC"/>
          </w:tcPr>
          <w:p>
            <w:pPr>
              <w:ind w:left="400"/>
              <w:spacing w:after="0"/>
              <w:rPr>
                <w:sz w:val="20"/>
                <w:szCs w:val="20"/>
                <w:color w:val="auto"/>
              </w:rPr>
            </w:pPr>
            <w:r>
              <w:rPr>
                <w:rFonts w:ascii="Arial" w:cs="Arial" w:eastAsia="Arial" w:hAnsi="Arial"/>
                <w:sz w:val="20"/>
                <w:szCs w:val="20"/>
                <w:color w:val="auto"/>
              </w:rPr>
              <w:t>Islands office</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1,684,044</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80"/>
              <w:spacing w:after="0"/>
              <w:rPr>
                <w:sz w:val="20"/>
                <w:szCs w:val="20"/>
                <w:color w:val="auto"/>
              </w:rPr>
            </w:pPr>
            <w:r>
              <w:rPr>
                <w:rFonts w:ascii="Arial" w:cs="Arial" w:eastAsia="Arial" w:hAnsi="Arial"/>
                <w:sz w:val="20"/>
                <w:szCs w:val="20"/>
                <w:color w:val="auto"/>
              </w:rPr>
              <w:t>—</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1,684,044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ind w:left="240"/>
              <w:spacing w:after="0"/>
              <w:rPr>
                <w:sz w:val="20"/>
                <w:szCs w:val="20"/>
                <w:color w:val="auto"/>
              </w:rPr>
            </w:pPr>
            <w:r>
              <w:rPr>
                <w:rFonts w:ascii="Arial" w:cs="Arial" w:eastAsia="Arial" w:hAnsi="Arial"/>
                <w:sz w:val="20"/>
                <w:szCs w:val="20"/>
                <w:color w:val="auto"/>
              </w:rPr>
              <w:t>Short-term borrowings</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62,363</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62,363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Long-term borrowings</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2,010,251</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2,414,461</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770,690</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1,790,784</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6,986,186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ind w:left="240"/>
              <w:spacing w:after="0"/>
              <w:rPr>
                <w:sz w:val="20"/>
                <w:szCs w:val="20"/>
                <w:color w:val="auto"/>
              </w:rPr>
            </w:pPr>
            <w:r>
              <w:rPr>
                <w:rFonts w:ascii="Arial" w:cs="Arial" w:eastAsia="Arial" w:hAnsi="Arial"/>
                <w:sz w:val="20"/>
                <w:szCs w:val="20"/>
                <w:color w:val="auto"/>
              </w:rPr>
              <w:t>Operating leases</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100,386</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173,172</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106,147</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107,850</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487,555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Other</w:t>
            </w: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258,069</w:t>
            </w:r>
          </w:p>
        </w:tc>
        <w:tc>
          <w:tcPr>
            <w:tcW w:w="46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187,113</w:t>
            </w:r>
          </w:p>
        </w:tc>
        <w:tc>
          <w:tcPr>
            <w:tcW w:w="46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15,994</w:t>
            </w:r>
          </w:p>
        </w:tc>
        <w:tc>
          <w:tcPr>
            <w:tcW w:w="46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27,871</w:t>
            </w:r>
          </w:p>
        </w:tc>
        <w:tc>
          <w:tcPr>
            <w:tcW w:w="46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489,047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900" w:type="dxa"/>
            <w:vAlign w:val="bottom"/>
            <w:tcBorders>
              <w:bottom w:val="single" w:sz="8" w:color="CFF0FC"/>
            </w:tcBorders>
            <w:gridSpan w:val="2"/>
          </w:tcPr>
          <w:p>
            <w:pPr>
              <w:ind w:left="240"/>
              <w:spacing w:after="0"/>
              <w:rPr>
                <w:sz w:val="20"/>
                <w:szCs w:val="20"/>
                <w:color w:val="auto"/>
              </w:rPr>
            </w:pPr>
            <w:r>
              <w:rPr>
                <w:rFonts w:ascii="Arial" w:cs="Arial" w:eastAsia="Arial" w:hAnsi="Arial"/>
                <w:sz w:val="20"/>
                <w:szCs w:val="20"/>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8,193,776</w:t>
            </w:r>
          </w:p>
        </w:tc>
        <w:tc>
          <w:tcPr>
            <w:tcW w:w="46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4,367,090</w:t>
            </w:r>
          </w:p>
        </w:tc>
        <w:tc>
          <w:tcPr>
            <w:tcW w:w="46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979,280</w:t>
            </w:r>
          </w:p>
        </w:tc>
        <w:tc>
          <w:tcPr>
            <w:tcW w:w="46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1,926,505</w:t>
            </w:r>
          </w:p>
        </w:tc>
        <w:tc>
          <w:tcPr>
            <w:tcW w:w="46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3"/>
              </w:rPr>
              <w:t>15,466,651</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Other commitments</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00" w:type="dxa"/>
            <w:vAlign w:val="bottom"/>
            <w:gridSpan w:val="2"/>
          </w:tcPr>
          <w:p>
            <w:pPr>
              <w:ind w:left="240"/>
              <w:spacing w:after="0"/>
              <w:rPr>
                <w:sz w:val="20"/>
                <w:szCs w:val="20"/>
                <w:color w:val="auto"/>
              </w:rPr>
            </w:pPr>
            <w:r>
              <w:rPr>
                <w:rFonts w:ascii="Arial" w:cs="Arial" w:eastAsia="Arial" w:hAnsi="Arial"/>
                <w:sz w:val="20"/>
                <w:szCs w:val="20"/>
                <w:color w:val="auto"/>
              </w:rPr>
              <w:t>Commitments to extend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ind w:left="400"/>
              <w:spacing w:after="0"/>
              <w:rPr>
                <w:sz w:val="20"/>
                <w:szCs w:val="20"/>
                <w:color w:val="auto"/>
              </w:rPr>
            </w:pPr>
            <w:r>
              <w:rPr>
                <w:rFonts w:ascii="Arial" w:cs="Arial" w:eastAsia="Arial" w:hAnsi="Arial"/>
                <w:sz w:val="20"/>
                <w:szCs w:val="20"/>
                <w:color w:val="auto"/>
              </w:rPr>
              <w:t>credit (a)</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w w:val="93"/>
              </w:rPr>
              <w:t>11,861,919</w:t>
            </w:r>
          </w:p>
        </w:tc>
        <w:tc>
          <w:tcPr>
            <w:tcW w:w="4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8,169,759</w:t>
            </w:r>
          </w:p>
        </w:tc>
        <w:tc>
          <w:tcPr>
            <w:tcW w:w="5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7,439,686</w:t>
            </w:r>
          </w:p>
        </w:tc>
        <w:tc>
          <w:tcPr>
            <w:tcW w:w="4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4,206,642</w:t>
            </w:r>
          </w:p>
        </w:tc>
        <w:tc>
          <w:tcPr>
            <w:tcW w:w="6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w w:val="93"/>
              </w:rPr>
              <w:t>31,678,006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Standby letters of credit</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1,329,397</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607,035</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287,533</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217,467</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2,441,432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00" w:type="dxa"/>
            <w:vAlign w:val="bottom"/>
            <w:gridSpan w:val="2"/>
          </w:tcPr>
          <w:p>
            <w:pPr>
              <w:ind w:left="240"/>
              <w:spacing w:after="0"/>
              <w:rPr>
                <w:sz w:val="20"/>
                <w:szCs w:val="20"/>
                <w:color w:val="auto"/>
              </w:rPr>
            </w:pPr>
            <w:r>
              <w:rPr>
                <w:rFonts w:ascii="Arial" w:cs="Arial" w:eastAsia="Arial" w:hAnsi="Arial"/>
                <w:sz w:val="20"/>
                <w:szCs w:val="20"/>
                <w:color w:val="auto"/>
              </w:rPr>
              <w:t>Commercial letters of</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ind w:left="400"/>
              <w:spacing w:after="0"/>
              <w:rPr>
                <w:sz w:val="20"/>
                <w:szCs w:val="20"/>
                <w:color w:val="auto"/>
              </w:rPr>
            </w:pPr>
            <w:r>
              <w:rPr>
                <w:rFonts w:ascii="Arial" w:cs="Arial" w:eastAsia="Arial" w:hAnsi="Arial"/>
                <w:sz w:val="20"/>
                <w:szCs w:val="20"/>
                <w:color w:val="auto"/>
              </w:rPr>
              <w:t>credit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10,658</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30,300</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101</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41,059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Financial guarantees and</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FF0FC"/>
          </w:tcPr>
          <w:p>
            <w:pPr>
              <w:ind w:left="400"/>
              <w:spacing w:after="0"/>
              <w:rPr>
                <w:sz w:val="20"/>
                <w:szCs w:val="20"/>
                <w:color w:val="auto"/>
              </w:rPr>
            </w:pPr>
            <w:r>
              <w:rPr>
                <w:rFonts w:ascii="Arial" w:cs="Arial" w:eastAsia="Arial" w:hAnsi="Arial"/>
                <w:sz w:val="20"/>
                <w:szCs w:val="20"/>
                <w:color w:val="auto"/>
              </w:rPr>
              <w:t>indemnification contracts</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160,685</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246,159</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382,357</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3,319,371</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4,108,572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00" w:type="dxa"/>
            <w:vAlign w:val="bottom"/>
            <w:gridSpan w:val="2"/>
          </w:tcPr>
          <w:p>
            <w:pPr>
              <w:ind w:left="240"/>
              <w:spacing w:after="0"/>
              <w:rPr>
                <w:sz w:val="20"/>
                <w:szCs w:val="20"/>
                <w:color w:val="auto"/>
              </w:rPr>
            </w:pPr>
            <w:r>
              <w:rPr>
                <w:rFonts w:ascii="Arial" w:cs="Arial" w:eastAsia="Arial" w:hAnsi="Arial"/>
                <w:sz w:val="20"/>
                <w:szCs w:val="20"/>
                <w:color w:val="auto"/>
              </w:rPr>
              <w:t>Commitments to sell real</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ind w:left="400"/>
              <w:spacing w:after="0"/>
              <w:rPr>
                <w:sz w:val="20"/>
                <w:szCs w:val="20"/>
                <w:color w:val="auto"/>
              </w:rPr>
            </w:pPr>
            <w:r>
              <w:rPr>
                <w:rFonts w:ascii="Arial" w:cs="Arial" w:eastAsia="Arial" w:hAnsi="Arial"/>
                <w:sz w:val="20"/>
                <w:szCs w:val="20"/>
                <w:color w:val="auto"/>
              </w:rPr>
              <w:t>estate loans</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882,915</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23,122</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906,037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20"/>
                <w:szCs w:val="20"/>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3"/>
              </w:rPr>
              <w:t>14,245,574</w:t>
            </w:r>
          </w:p>
        </w:tc>
        <w:tc>
          <w:tcPr>
            <w:tcW w:w="46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9,076,375</w:t>
            </w:r>
          </w:p>
        </w:tc>
        <w:tc>
          <w:tcPr>
            <w:tcW w:w="46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8,109,677</w:t>
            </w:r>
          </w:p>
        </w:tc>
        <w:tc>
          <w:tcPr>
            <w:tcW w:w="46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7,743,480</w:t>
            </w:r>
          </w:p>
        </w:tc>
        <w:tc>
          <w:tcPr>
            <w:tcW w:w="46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3"/>
              </w:rPr>
              <w:t>39,175,106</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right="360" w:hanging="590"/>
        <w:spacing w:after="0" w:line="261" w:lineRule="auto"/>
        <w:tabs>
          <w:tab w:leader="none" w:pos="580" w:val="left"/>
        </w:tabs>
        <w:rPr>
          <w:sz w:val="20"/>
          <w:szCs w:val="20"/>
          <w:color w:val="auto"/>
        </w:rPr>
      </w:pPr>
      <w:r>
        <w:rPr>
          <w:rFonts w:ascii="Arial" w:cs="Arial" w:eastAsia="Arial" w:hAnsi="Arial"/>
          <w:sz w:val="14"/>
          <w:szCs w:val="14"/>
          <w:i w:val="1"/>
          <w:iCs w:val="1"/>
          <w:color w:val="auto"/>
        </w:rPr>
        <w:t>(</w:t>
      </w:r>
      <w:r>
        <w:rPr>
          <w:rFonts w:ascii="Arial" w:cs="Arial" w:eastAsia="Arial" w:hAnsi="Arial"/>
          <w:sz w:val="17"/>
          <w:szCs w:val="17"/>
          <w:i w:val="1"/>
          <w:iCs w:val="1"/>
          <w:color w:val="auto"/>
        </w:rPr>
        <w:t>a)</w:t>
      </w:r>
      <w:r>
        <w:rPr>
          <w:sz w:val="20"/>
          <w:szCs w:val="20"/>
          <w:color w:val="auto"/>
        </w:rPr>
        <w:tab/>
      </w:r>
      <w:r>
        <w:rPr>
          <w:rFonts w:ascii="Arial" w:cs="Arial" w:eastAsia="Arial" w:hAnsi="Arial"/>
          <w:sz w:val="18"/>
          <w:szCs w:val="18"/>
          <w:i w:val="1"/>
          <w:iCs w:val="1"/>
          <w:color w:val="auto"/>
        </w:rPr>
        <w:t>Amounts exclude discretionary funding commitments to commercial customers of $9.1 billion that the Company has the unconditional right to cancel prior to funding.</w:t>
      </w:r>
    </w:p>
    <w:p>
      <w:pPr>
        <w:spacing w:after="0" w:line="192" w:lineRule="exact"/>
        <w:rPr>
          <w:sz w:val="20"/>
          <w:szCs w:val="20"/>
          <w:color w:val="auto"/>
        </w:rPr>
      </w:pPr>
    </w:p>
    <w:p>
      <w:pPr>
        <w:ind w:right="160" w:firstLine="598"/>
        <w:spacing w:after="0" w:line="283" w:lineRule="auto"/>
        <w:rPr>
          <w:sz w:val="20"/>
          <w:szCs w:val="20"/>
          <w:color w:val="auto"/>
        </w:rPr>
      </w:pPr>
      <w:r>
        <w:rPr>
          <w:rFonts w:ascii="Arial" w:cs="Arial" w:eastAsia="Arial" w:hAnsi="Arial"/>
          <w:sz w:val="18"/>
          <w:szCs w:val="18"/>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 subsidiary to M&amp;T are limited by the amount of earnings of the subsidiary in the current year and the two preceding years. For purposes of that test, at December 31, 2019 approximately $605 million was available for payment of dividends to M&amp;T from banking subsidiaries. M&amp;T also may obtain funding through long-term borrowings. Outstanding senior notes of M&amp;T at December 31, 2019 and December 31, 2018 were $770 million and $756 million, respectively. Junior subordinated debentures of M&amp;T associated with trust preferred securities outstanding at December 31, 2019 and December 31, 2018 totaled $525 million and $522 million, respectively.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90" w:name="page91"/>
    <w:bookmarkEnd w:id="90"/>
    <w:p>
      <w:pPr>
        <w:spacing w:after="0"/>
        <w:rPr>
          <w:sz w:val="20"/>
          <w:szCs w:val="20"/>
          <w:color w:val="auto"/>
        </w:rPr>
      </w:pPr>
      <w:r>
        <w:rPr>
          <w:rFonts w:ascii="Arial" w:cs="Arial" w:eastAsia="Arial" w:hAnsi="Arial"/>
          <w:sz w:val="20"/>
          <w:szCs w:val="20"/>
          <w:b w:val="1"/>
          <w:bCs w:val="1"/>
          <w:color w:val="auto"/>
        </w:rPr>
        <w:t>Table 20</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MATURITY AND TAXABLE-EQUIVALENT YIELD OF INVESTMENT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One Year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1"/>
              </w:rPr>
              <w:t>One to Five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Five to Ten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Over Ten</w:t>
            </w:r>
          </w:p>
        </w:tc>
        <w:tc>
          <w:tcPr>
            <w:tcW w:w="200" w:type="dxa"/>
            <w:vAlign w:val="bottom"/>
          </w:tcPr>
          <w:p>
            <w:pPr>
              <w:spacing w:after="0"/>
              <w:rPr>
                <w:sz w:val="14"/>
                <w:szCs w:val="14"/>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940" w:type="dxa"/>
            <w:vAlign w:val="bottom"/>
            <w:gridSpan w:val="2"/>
            <w:vMerge w:val="continue"/>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80"/>
              <w:spacing w:after="0" w:line="154" w:lineRule="exact"/>
              <w:rPr>
                <w:sz w:val="20"/>
                <w:szCs w:val="20"/>
                <w:color w:val="auto"/>
              </w:rPr>
            </w:pPr>
            <w:r>
              <w:rPr>
                <w:rFonts w:ascii="Arial" w:cs="Arial" w:eastAsia="Arial" w:hAnsi="Arial"/>
                <w:sz w:val="14"/>
                <w:szCs w:val="14"/>
                <w:b w:val="1"/>
                <w:bCs w:val="1"/>
                <w:color w:val="auto"/>
              </w:rPr>
              <w:t>or Less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450"/>
              <w:spacing w:after="0" w:line="154" w:lineRule="exact"/>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320"/>
              <w:spacing w:after="0" w:line="154" w:lineRule="exact"/>
              <w:rPr>
                <w:sz w:val="20"/>
                <w:szCs w:val="20"/>
                <w:color w:val="auto"/>
              </w:rPr>
            </w:pPr>
            <w:r>
              <w:rPr>
                <w:rFonts w:ascii="Arial" w:cs="Arial" w:eastAsia="Arial" w:hAnsi="Arial"/>
                <w:sz w:val="14"/>
                <w:szCs w:val="14"/>
                <w:b w:val="1"/>
                <w:bCs w:val="1"/>
                <w:color w:val="auto"/>
                <w:w w:val="89"/>
              </w:rPr>
              <w:t>Years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600"/>
              <w:spacing w:after="0" w:line="154" w:lineRule="exact"/>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140" w:type="dxa"/>
            <w:vAlign w:val="bottom"/>
            <w:tcBorders>
              <w:top w:val="single" w:sz="8" w:color="auto"/>
            </w:tcBorders>
          </w:tcPr>
          <w:p>
            <w:pPr>
              <w:spacing w:after="0"/>
              <w:rPr>
                <w:sz w:val="13"/>
                <w:szCs w:val="13"/>
                <w:color w:val="auto"/>
              </w:rPr>
            </w:pPr>
          </w:p>
        </w:tc>
        <w:tc>
          <w:tcPr>
            <w:tcW w:w="2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5"/>
          </w:tcPr>
          <w:p>
            <w:pPr>
              <w:jc w:val="center"/>
              <w:spacing w:after="0" w:line="158" w:lineRule="exact"/>
              <w:rPr>
                <w:sz w:val="20"/>
                <w:szCs w:val="20"/>
                <w:color w:val="auto"/>
              </w:rPr>
            </w:pPr>
            <w:r>
              <w:rPr>
                <w:rFonts w:ascii="Arial" w:cs="Arial" w:eastAsia="Arial" w:hAnsi="Arial"/>
                <w:sz w:val="14"/>
                <w:szCs w:val="14"/>
                <w:b w:val="1"/>
                <w:bCs w:val="1"/>
                <w:color w:val="auto"/>
                <w:w w:val="89"/>
              </w:rPr>
              <w:t>(Dollars in thousands)</w:t>
            </w: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spacing w:after="0" w:line="158" w:lineRule="exact"/>
              <w:rPr>
                <w:sz w:val="20"/>
                <w:szCs w:val="20"/>
                <w:color w:val="auto"/>
              </w:rPr>
            </w:pPr>
            <w:r>
              <w:rPr>
                <w:rFonts w:ascii="Arial" w:cs="Arial" w:eastAsia="Arial" w:hAnsi="Arial"/>
                <w:sz w:val="14"/>
                <w:szCs w:val="14"/>
                <w:i w:val="1"/>
                <w:iCs w:val="1"/>
                <w:color w:val="auto"/>
              </w:rPr>
              <w:t>Investment securities available for sale(a)</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spacing w:after="0" w:line="158" w:lineRule="exact"/>
              <w:rPr>
                <w:sz w:val="20"/>
                <w:szCs w:val="20"/>
                <w:color w:val="auto"/>
              </w:rPr>
            </w:pPr>
            <w:r>
              <w:rPr>
                <w:rFonts w:ascii="Arial" w:cs="Arial" w:eastAsia="Arial" w:hAnsi="Arial"/>
                <w:sz w:val="14"/>
                <w:szCs w:val="14"/>
                <w:color w:val="auto"/>
              </w:rPr>
              <w:t>U.S. Treasury and federal agencies</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Carrying value</w:t>
            </w:r>
          </w:p>
        </w:tc>
        <w:tc>
          <w:tcPr>
            <w:tcW w:w="148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2,673</w:t>
            </w:r>
          </w:p>
        </w:tc>
        <w:tc>
          <w:tcPr>
            <w:tcW w:w="18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7,094</w:t>
            </w:r>
          </w:p>
        </w:tc>
        <w:tc>
          <w:tcPr>
            <w:tcW w:w="18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9,767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Yield</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1.70%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1.73%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spacing w:after="0" w:line="158" w:lineRule="exact"/>
              <w:rPr>
                <w:sz w:val="20"/>
                <w:szCs w:val="20"/>
                <w:color w:val="auto"/>
              </w:rPr>
            </w:pPr>
            <w:r>
              <w:rPr>
                <w:rFonts w:ascii="Arial" w:cs="Arial" w:eastAsia="Arial" w:hAnsi="Arial"/>
                <w:sz w:val="14"/>
                <w:szCs w:val="14"/>
                <w:color w:val="auto"/>
              </w:rPr>
              <w:t>Obligations of states and political subdivisions</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Carrying value</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497</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3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278</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775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Yield</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4.51%</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3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line="158" w:lineRule="exact"/>
              <w:rPr>
                <w:sz w:val="20"/>
                <w:szCs w:val="20"/>
                <w:color w:val="auto"/>
              </w:rPr>
            </w:pPr>
            <w:r>
              <w:rPr>
                <w:rFonts w:ascii="Arial" w:cs="Arial" w:eastAsia="Arial" w:hAnsi="Arial"/>
                <w:sz w:val="14"/>
                <w:szCs w:val="14"/>
                <w:color w:val="auto"/>
              </w:rPr>
              <w:t>4.84%</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158"/>
        </w:trPr>
        <w:tc>
          <w:tcPr>
            <w:tcW w:w="3940" w:type="dxa"/>
            <w:vAlign w:val="bottom"/>
            <w:gridSpan w:val="2"/>
          </w:tcPr>
          <w:p>
            <w:pPr>
              <w:spacing w:after="0" w:line="158" w:lineRule="exact"/>
              <w:rPr>
                <w:sz w:val="20"/>
                <w:szCs w:val="20"/>
                <w:color w:val="auto"/>
              </w:rPr>
            </w:pPr>
            <w:r>
              <w:rPr>
                <w:rFonts w:ascii="Arial" w:cs="Arial" w:eastAsia="Arial" w:hAnsi="Arial"/>
                <w:sz w:val="14"/>
                <w:szCs w:val="14"/>
                <w:color w:val="auto"/>
              </w:rPr>
              <w:t>Mortgage-backed securities(b)</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Government issued or guaranteed</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480"/>
              <w:spacing w:after="0" w:line="158" w:lineRule="exact"/>
              <w:rPr>
                <w:sz w:val="20"/>
                <w:szCs w:val="20"/>
                <w:color w:val="auto"/>
              </w:rPr>
            </w:pPr>
            <w:r>
              <w:rPr>
                <w:rFonts w:ascii="Arial" w:cs="Arial" w:eastAsia="Arial" w:hAnsi="Arial"/>
                <w:sz w:val="14"/>
                <w:szCs w:val="14"/>
                <w:color w:val="auto"/>
              </w:rPr>
              <w:t>Carrying value</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454,650</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1,955,727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2,214,356</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1,556,207</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6,180,940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480"/>
              <w:spacing w:after="0" w:line="158" w:lineRule="exact"/>
              <w:rPr>
                <w:sz w:val="20"/>
                <w:szCs w:val="20"/>
                <w:color w:val="auto"/>
              </w:rPr>
            </w:pPr>
            <w:r>
              <w:rPr>
                <w:rFonts w:ascii="Arial" w:cs="Arial" w:eastAsia="Arial" w:hAnsi="Arial"/>
                <w:sz w:val="14"/>
                <w:szCs w:val="14"/>
                <w:color w:val="auto"/>
              </w:rPr>
              <w:t>Yield</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2.42%</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2.42%</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line="158" w:lineRule="exact"/>
              <w:rPr>
                <w:sz w:val="20"/>
                <w:szCs w:val="20"/>
                <w:color w:val="auto"/>
              </w:rPr>
            </w:pPr>
            <w:r>
              <w:rPr>
                <w:rFonts w:ascii="Arial" w:cs="Arial" w:eastAsia="Arial" w:hAnsi="Arial"/>
                <w:sz w:val="14"/>
                <w:szCs w:val="14"/>
                <w:color w:val="auto"/>
              </w:rPr>
              <w:t>2.42%</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2.43%</w:t>
            </w: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58"/>
        </w:trPr>
        <w:tc>
          <w:tcPr>
            <w:tcW w:w="394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Privately issued</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480"/>
              <w:spacing w:after="0" w:line="158" w:lineRule="exact"/>
              <w:rPr>
                <w:sz w:val="20"/>
                <w:szCs w:val="20"/>
                <w:color w:val="auto"/>
              </w:rPr>
            </w:pPr>
            <w:r>
              <w:rPr>
                <w:rFonts w:ascii="Arial" w:cs="Arial" w:eastAsia="Arial" w:hAnsi="Arial"/>
                <w:sz w:val="14"/>
                <w:szCs w:val="14"/>
                <w:color w:val="auto"/>
              </w:rPr>
              <w:t>Carrying value</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13</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480"/>
              <w:spacing w:after="0" w:line="158" w:lineRule="exact"/>
              <w:rPr>
                <w:sz w:val="20"/>
                <w:szCs w:val="20"/>
                <w:color w:val="auto"/>
              </w:rPr>
            </w:pPr>
            <w:r>
              <w:rPr>
                <w:rFonts w:ascii="Arial" w:cs="Arial" w:eastAsia="Arial" w:hAnsi="Arial"/>
                <w:sz w:val="14"/>
                <w:szCs w:val="14"/>
                <w:color w:val="auto"/>
              </w:rPr>
              <w:t>Yield</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5.00%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5.00%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5.00%</w:t>
            </w:r>
          </w:p>
        </w:tc>
        <w:tc>
          <w:tcPr>
            <w:tcW w:w="200" w:type="dxa"/>
            <w:vAlign w:val="bottom"/>
          </w:tcPr>
          <w:p>
            <w:pPr>
              <w:spacing w:after="0"/>
              <w:rPr>
                <w:sz w:val="13"/>
                <w:szCs w:val="13"/>
                <w:color w:val="auto"/>
              </w:rPr>
            </w:pPr>
          </w:p>
        </w:tc>
        <w:tc>
          <w:tcPr>
            <w:tcW w:w="9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spacing w:after="0" w:line="158" w:lineRule="exact"/>
              <w:rPr>
                <w:sz w:val="20"/>
                <w:szCs w:val="20"/>
                <w:color w:val="auto"/>
              </w:rPr>
            </w:pPr>
            <w:r>
              <w:rPr>
                <w:rFonts w:ascii="Arial" w:cs="Arial" w:eastAsia="Arial" w:hAnsi="Arial"/>
                <w:sz w:val="14"/>
                <w:szCs w:val="14"/>
                <w:color w:val="auto"/>
              </w:rPr>
              <w:t>Other debt securities</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Carrying value</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1,257</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3,683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98,338</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24,000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127,278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Yield</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3.34%</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2.60%</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line="158" w:lineRule="exact"/>
              <w:rPr>
                <w:sz w:val="20"/>
                <w:szCs w:val="20"/>
                <w:color w:val="auto"/>
              </w:rPr>
            </w:pPr>
            <w:r>
              <w:rPr>
                <w:rFonts w:ascii="Arial" w:cs="Arial" w:eastAsia="Arial" w:hAnsi="Arial"/>
                <w:sz w:val="14"/>
                <w:szCs w:val="14"/>
                <w:color w:val="auto"/>
              </w:rPr>
              <w:t>3.27%</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4.11%</w:t>
            </w: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51"/>
        </w:trPr>
        <w:tc>
          <w:tcPr>
            <w:tcW w:w="3940" w:type="dxa"/>
            <w:vAlign w:val="bottom"/>
            <w:gridSpan w:val="2"/>
          </w:tcPr>
          <w:p>
            <w:pPr>
              <w:spacing w:after="0" w:line="151" w:lineRule="exact"/>
              <w:rPr>
                <w:sz w:val="20"/>
                <w:szCs w:val="20"/>
                <w:color w:val="auto"/>
              </w:rPr>
            </w:pPr>
            <w:r>
              <w:rPr>
                <w:rFonts w:ascii="Arial" w:cs="Arial" w:eastAsia="Arial" w:hAnsi="Arial"/>
                <w:sz w:val="14"/>
                <w:szCs w:val="14"/>
                <w:color w:val="auto"/>
              </w:rPr>
              <w:t>Total investment securities available for sale</w:t>
            </w:r>
          </w:p>
        </w:tc>
        <w:tc>
          <w:tcPr>
            <w:tcW w:w="1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Carrying value</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459,077</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1,966,505</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2,312,974</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1,580,220</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6,318,776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Yield</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2.42%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2.41%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2.45%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2.46%</w:t>
            </w:r>
          </w:p>
        </w:tc>
        <w:tc>
          <w:tcPr>
            <w:tcW w:w="200" w:type="dxa"/>
            <w:vAlign w:val="bottom"/>
          </w:tcPr>
          <w:p>
            <w:pPr>
              <w:spacing w:after="0"/>
              <w:rPr>
                <w:sz w:val="13"/>
                <w:szCs w:val="13"/>
                <w:color w:val="auto"/>
              </w:rPr>
            </w:pPr>
          </w:p>
        </w:tc>
        <w:tc>
          <w:tcPr>
            <w:tcW w:w="9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51"/>
        </w:trPr>
        <w:tc>
          <w:tcPr>
            <w:tcW w:w="3940" w:type="dxa"/>
            <w:vAlign w:val="bottom"/>
            <w:tcBorders>
              <w:top w:val="single" w:sz="8" w:color="CFF0FC"/>
            </w:tcBorders>
            <w:gridSpan w:val="2"/>
            <w:shd w:val="clear" w:color="auto" w:fill="CFF0FC"/>
          </w:tcPr>
          <w:p>
            <w:pPr>
              <w:spacing w:after="0" w:line="151" w:lineRule="exact"/>
              <w:rPr>
                <w:sz w:val="20"/>
                <w:szCs w:val="20"/>
                <w:color w:val="auto"/>
              </w:rPr>
            </w:pPr>
            <w:r>
              <w:rPr>
                <w:rFonts w:ascii="Arial" w:cs="Arial" w:eastAsia="Arial" w:hAnsi="Arial"/>
                <w:sz w:val="14"/>
                <w:szCs w:val="14"/>
                <w:i w:val="1"/>
                <w:iCs w:val="1"/>
                <w:color w:val="auto"/>
              </w:rPr>
              <w:t>Investment securities held to maturity</w:t>
            </w:r>
          </w:p>
        </w:tc>
        <w:tc>
          <w:tcPr>
            <w:tcW w:w="13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spacing w:after="0" w:line="158" w:lineRule="exact"/>
              <w:rPr>
                <w:sz w:val="20"/>
                <w:szCs w:val="20"/>
                <w:color w:val="auto"/>
              </w:rPr>
            </w:pPr>
            <w:r>
              <w:rPr>
                <w:rFonts w:ascii="Arial" w:cs="Arial" w:eastAsia="Arial" w:hAnsi="Arial"/>
                <w:sz w:val="14"/>
                <w:szCs w:val="14"/>
                <w:color w:val="auto"/>
              </w:rPr>
              <w:t>U.S. Treasury and federal agencies</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Carrying value</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249,862</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3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249,862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Yield</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2.60%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3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spacing w:after="0" w:line="158" w:lineRule="exact"/>
              <w:rPr>
                <w:sz w:val="20"/>
                <w:szCs w:val="20"/>
                <w:color w:val="auto"/>
              </w:rPr>
            </w:pPr>
            <w:r>
              <w:rPr>
                <w:rFonts w:ascii="Arial" w:cs="Arial" w:eastAsia="Arial" w:hAnsi="Arial"/>
                <w:sz w:val="14"/>
                <w:szCs w:val="14"/>
                <w:color w:val="auto"/>
              </w:rPr>
              <w:t>Obligations of states and political subdivisions</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Carrying value</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1,595</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2,545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4,140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Yield</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4.44%</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4.78%</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58"/>
        </w:trPr>
        <w:tc>
          <w:tcPr>
            <w:tcW w:w="3940" w:type="dxa"/>
            <w:vAlign w:val="bottom"/>
            <w:gridSpan w:val="2"/>
          </w:tcPr>
          <w:p>
            <w:pPr>
              <w:spacing w:after="0" w:line="158" w:lineRule="exact"/>
              <w:rPr>
                <w:sz w:val="20"/>
                <w:szCs w:val="20"/>
                <w:color w:val="auto"/>
              </w:rPr>
            </w:pPr>
            <w:r>
              <w:rPr>
                <w:rFonts w:ascii="Arial" w:cs="Arial" w:eastAsia="Arial" w:hAnsi="Arial"/>
                <w:sz w:val="14"/>
                <w:szCs w:val="14"/>
                <w:color w:val="auto"/>
              </w:rPr>
              <w:t>Mortgage-backed securities(b)</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Government issued or guaranteed</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480"/>
              <w:spacing w:after="0" w:line="158" w:lineRule="exact"/>
              <w:rPr>
                <w:sz w:val="20"/>
                <w:szCs w:val="20"/>
                <w:color w:val="auto"/>
              </w:rPr>
            </w:pPr>
            <w:r>
              <w:rPr>
                <w:rFonts w:ascii="Arial" w:cs="Arial" w:eastAsia="Arial" w:hAnsi="Arial"/>
                <w:sz w:val="14"/>
                <w:szCs w:val="14"/>
                <w:color w:val="auto"/>
              </w:rPr>
              <w:t>Carrying value</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113,597</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487,110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590,579</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1,114,894</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2,306,180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480"/>
              <w:spacing w:after="0" w:line="158" w:lineRule="exact"/>
              <w:rPr>
                <w:sz w:val="20"/>
                <w:szCs w:val="20"/>
                <w:color w:val="auto"/>
              </w:rPr>
            </w:pPr>
            <w:r>
              <w:rPr>
                <w:rFonts w:ascii="Arial" w:cs="Arial" w:eastAsia="Arial" w:hAnsi="Arial"/>
                <w:sz w:val="14"/>
                <w:szCs w:val="14"/>
                <w:color w:val="auto"/>
              </w:rPr>
              <w:t>Yield</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2.70%</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2.70%</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line="158" w:lineRule="exact"/>
              <w:rPr>
                <w:sz w:val="20"/>
                <w:szCs w:val="20"/>
                <w:color w:val="auto"/>
              </w:rPr>
            </w:pPr>
            <w:r>
              <w:rPr>
                <w:rFonts w:ascii="Arial" w:cs="Arial" w:eastAsia="Arial" w:hAnsi="Arial"/>
                <w:sz w:val="14"/>
                <w:szCs w:val="14"/>
                <w:color w:val="auto"/>
              </w:rPr>
              <w:t>2.70%</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2.71%</w:t>
            </w: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58"/>
        </w:trPr>
        <w:tc>
          <w:tcPr>
            <w:tcW w:w="394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Privately issued</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480"/>
              <w:spacing w:after="0" w:line="158" w:lineRule="exact"/>
              <w:rPr>
                <w:sz w:val="20"/>
                <w:szCs w:val="20"/>
                <w:color w:val="auto"/>
              </w:rPr>
            </w:pPr>
            <w:r>
              <w:rPr>
                <w:rFonts w:ascii="Arial" w:cs="Arial" w:eastAsia="Arial" w:hAnsi="Arial"/>
                <w:sz w:val="14"/>
                <w:szCs w:val="14"/>
                <w:color w:val="auto"/>
              </w:rPr>
              <w:t>Carrying value</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4,377</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17,951</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23,784</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47,384</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93,496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480"/>
              <w:spacing w:after="0" w:line="158" w:lineRule="exact"/>
              <w:rPr>
                <w:sz w:val="20"/>
                <w:szCs w:val="20"/>
                <w:color w:val="auto"/>
              </w:rPr>
            </w:pPr>
            <w:r>
              <w:rPr>
                <w:rFonts w:ascii="Arial" w:cs="Arial" w:eastAsia="Arial" w:hAnsi="Arial"/>
                <w:sz w:val="14"/>
                <w:szCs w:val="14"/>
                <w:color w:val="auto"/>
              </w:rPr>
              <w:t>Yield</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4.13%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4.00%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3.74%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3.61%</w:t>
            </w:r>
          </w:p>
        </w:tc>
        <w:tc>
          <w:tcPr>
            <w:tcW w:w="200" w:type="dxa"/>
            <w:vAlign w:val="bottom"/>
          </w:tcPr>
          <w:p>
            <w:pPr>
              <w:spacing w:after="0"/>
              <w:rPr>
                <w:sz w:val="13"/>
                <w:szCs w:val="13"/>
                <w:color w:val="auto"/>
              </w:rPr>
            </w:pPr>
          </w:p>
        </w:tc>
        <w:tc>
          <w:tcPr>
            <w:tcW w:w="9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spacing w:after="0" w:line="158" w:lineRule="exact"/>
              <w:rPr>
                <w:sz w:val="20"/>
                <w:szCs w:val="20"/>
                <w:color w:val="auto"/>
              </w:rPr>
            </w:pPr>
            <w:r>
              <w:rPr>
                <w:rFonts w:ascii="Arial" w:cs="Arial" w:eastAsia="Arial" w:hAnsi="Arial"/>
                <w:sz w:val="14"/>
                <w:szCs w:val="14"/>
                <w:color w:val="auto"/>
              </w:rPr>
              <w:t>Other debt securities</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Carrying value</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3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3,239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3,239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Yield</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3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4.38%</w:t>
            </w: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51"/>
        </w:trPr>
        <w:tc>
          <w:tcPr>
            <w:tcW w:w="3940" w:type="dxa"/>
            <w:vAlign w:val="bottom"/>
            <w:gridSpan w:val="2"/>
          </w:tcPr>
          <w:p>
            <w:pPr>
              <w:spacing w:after="0" w:line="151" w:lineRule="exact"/>
              <w:rPr>
                <w:sz w:val="20"/>
                <w:szCs w:val="20"/>
                <w:color w:val="auto"/>
              </w:rPr>
            </w:pPr>
            <w:r>
              <w:rPr>
                <w:rFonts w:ascii="Arial" w:cs="Arial" w:eastAsia="Arial" w:hAnsi="Arial"/>
                <w:sz w:val="14"/>
                <w:szCs w:val="14"/>
                <w:color w:val="auto"/>
              </w:rPr>
              <w:t>Total investment securities held to maturity</w:t>
            </w:r>
          </w:p>
        </w:tc>
        <w:tc>
          <w:tcPr>
            <w:tcW w:w="1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Carrying value</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369,431</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507,606</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614,363</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1,165,517</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2,656,917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Yield</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2.66%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2.76%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2.74%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2.75%</w:t>
            </w:r>
          </w:p>
        </w:tc>
        <w:tc>
          <w:tcPr>
            <w:tcW w:w="200" w:type="dxa"/>
            <w:vAlign w:val="bottom"/>
          </w:tcPr>
          <w:p>
            <w:pPr>
              <w:spacing w:after="0"/>
              <w:rPr>
                <w:sz w:val="13"/>
                <w:szCs w:val="13"/>
                <w:color w:val="auto"/>
              </w:rPr>
            </w:pPr>
          </w:p>
        </w:tc>
        <w:tc>
          <w:tcPr>
            <w:tcW w:w="9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51"/>
        </w:trPr>
        <w:tc>
          <w:tcPr>
            <w:tcW w:w="3940" w:type="dxa"/>
            <w:vAlign w:val="bottom"/>
            <w:tcBorders>
              <w:top w:val="single" w:sz="8" w:color="CFF0FC"/>
            </w:tcBorders>
            <w:gridSpan w:val="2"/>
            <w:shd w:val="clear" w:color="auto" w:fill="CFF0FC"/>
          </w:tcPr>
          <w:p>
            <w:pPr>
              <w:spacing w:after="0" w:line="151" w:lineRule="exact"/>
              <w:rPr>
                <w:sz w:val="20"/>
                <w:szCs w:val="20"/>
                <w:color w:val="auto"/>
              </w:rPr>
            </w:pPr>
            <w:r>
              <w:rPr>
                <w:rFonts w:ascii="Arial" w:cs="Arial" w:eastAsia="Arial" w:hAnsi="Arial"/>
                <w:sz w:val="14"/>
                <w:szCs w:val="14"/>
                <w:i w:val="1"/>
                <w:iCs w:val="1"/>
                <w:color w:val="auto"/>
              </w:rPr>
              <w:t>Equity and other securities</w:t>
            </w:r>
          </w:p>
        </w:tc>
        <w:tc>
          <w:tcPr>
            <w:tcW w:w="13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spacing w:after="0" w:line="158" w:lineRule="exact"/>
              <w:rPr>
                <w:sz w:val="20"/>
                <w:szCs w:val="20"/>
                <w:color w:val="auto"/>
              </w:rPr>
            </w:pPr>
            <w:r>
              <w:rPr>
                <w:rFonts w:ascii="Arial" w:cs="Arial" w:eastAsia="Arial" w:hAnsi="Arial"/>
                <w:sz w:val="14"/>
                <w:szCs w:val="14"/>
                <w:color w:val="auto"/>
              </w:rPr>
              <w:t>Equity securities</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Carrying Value</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140,041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Yield</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spacing w:after="0" w:line="158" w:lineRule="exact"/>
              <w:rPr>
                <w:sz w:val="20"/>
                <w:szCs w:val="20"/>
                <w:color w:val="auto"/>
              </w:rPr>
            </w:pPr>
            <w:r>
              <w:rPr>
                <w:rFonts w:ascii="Arial" w:cs="Arial" w:eastAsia="Arial" w:hAnsi="Arial"/>
                <w:sz w:val="14"/>
                <w:szCs w:val="14"/>
                <w:color w:val="auto"/>
              </w:rPr>
              <w:t>Other investment securities</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Carrying Value</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381,517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Yield</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51"/>
        </w:trPr>
        <w:tc>
          <w:tcPr>
            <w:tcW w:w="3940" w:type="dxa"/>
            <w:vAlign w:val="bottom"/>
            <w:gridSpan w:val="2"/>
          </w:tcPr>
          <w:p>
            <w:pPr>
              <w:spacing w:after="0" w:line="151" w:lineRule="exact"/>
              <w:rPr>
                <w:sz w:val="20"/>
                <w:szCs w:val="20"/>
                <w:color w:val="auto"/>
              </w:rPr>
            </w:pPr>
            <w:r>
              <w:rPr>
                <w:rFonts w:ascii="Arial" w:cs="Arial" w:eastAsia="Arial" w:hAnsi="Arial"/>
                <w:sz w:val="14"/>
                <w:szCs w:val="14"/>
                <w:color w:val="auto"/>
              </w:rPr>
              <w:t>Total investment securities</w:t>
            </w:r>
          </w:p>
        </w:tc>
        <w:tc>
          <w:tcPr>
            <w:tcW w:w="1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Carrying value</w:t>
            </w:r>
          </w:p>
        </w:tc>
        <w:tc>
          <w:tcPr>
            <w:tcW w:w="148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828,508</w:t>
            </w:r>
          </w:p>
        </w:tc>
        <w:tc>
          <w:tcPr>
            <w:tcW w:w="18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2,474,111</w:t>
            </w:r>
          </w:p>
        </w:tc>
        <w:tc>
          <w:tcPr>
            <w:tcW w:w="18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2,927,337</w:t>
            </w:r>
          </w:p>
        </w:tc>
        <w:tc>
          <w:tcPr>
            <w:tcW w:w="2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2,745,737</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9,497,251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Yield</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2.52%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2.48%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2.51%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2.58%</w:t>
            </w:r>
          </w:p>
        </w:tc>
        <w:tc>
          <w:tcPr>
            <w:tcW w:w="200" w:type="dxa"/>
            <w:vAlign w:val="bottom"/>
          </w:tcPr>
          <w:p>
            <w:pPr>
              <w:spacing w:after="0"/>
              <w:rPr>
                <w:sz w:val="13"/>
                <w:szCs w:val="13"/>
                <w:color w:val="auto"/>
              </w:rPr>
            </w:pPr>
          </w:p>
        </w:tc>
        <w:tc>
          <w:tcPr>
            <w:tcW w:w="9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45" w:lineRule="exact"/>
        <w:rPr>
          <w:sz w:val="20"/>
          <w:szCs w:val="20"/>
          <w:color w:val="auto"/>
        </w:rPr>
      </w:pPr>
    </w:p>
    <w:p>
      <w:pPr>
        <w:ind w:left="600" w:hanging="595"/>
        <w:spacing w:after="0"/>
        <w:tabs>
          <w:tab w:leader="none" w:pos="60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 securities available for sale are presented at estimated fair value. Yields on such securities are based on amortized cost.</w:t>
      </w:r>
    </w:p>
    <w:p>
      <w:pPr>
        <w:spacing w:after="0" w:line="8" w:lineRule="exact"/>
        <w:rPr>
          <w:rFonts w:ascii="Arial" w:cs="Arial" w:eastAsia="Arial" w:hAnsi="Arial"/>
          <w:sz w:val="14"/>
          <w:szCs w:val="14"/>
          <w:i w:val="1"/>
          <w:iCs w:val="1"/>
          <w:color w:val="auto"/>
        </w:rPr>
      </w:pPr>
    </w:p>
    <w:p>
      <w:pPr>
        <w:ind w:left="600" w:hanging="595"/>
        <w:spacing w:after="0"/>
        <w:tabs>
          <w:tab w:leader="none" w:pos="600" w:val="left"/>
        </w:tabs>
        <w:numPr>
          <w:ilvl w:val="0"/>
          <w:numId w:val="35"/>
        </w:numPr>
        <w:rPr>
          <w:rFonts w:ascii="Arial" w:cs="Arial" w:eastAsia="Arial" w:hAnsi="Arial"/>
          <w:sz w:val="13"/>
          <w:szCs w:val="13"/>
          <w:i w:val="1"/>
          <w:iCs w:val="1"/>
          <w:color w:val="auto"/>
        </w:rPr>
      </w:pPr>
      <w:r>
        <w:rPr>
          <w:rFonts w:ascii="Arial" w:cs="Arial" w:eastAsia="Arial" w:hAnsi="Arial"/>
          <w:sz w:val="13"/>
          <w:szCs w:val="13"/>
          <w:i w:val="1"/>
          <w:iCs w:val="1"/>
          <w:color w:val="auto"/>
        </w:rPr>
        <w:t>Maturities are reflected based upon contractual payments due. Actual maturities are expected to be significantly shorter as a result of loan repayments in the underlying mortgage pools.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91" w:name="page92"/>
    <w:bookmarkEnd w:id="91"/>
    <w:p>
      <w:pPr>
        <w:spacing w:after="0"/>
        <w:rPr>
          <w:sz w:val="20"/>
          <w:szCs w:val="20"/>
          <w:color w:val="auto"/>
        </w:rPr>
      </w:pPr>
      <w:r>
        <w:rPr>
          <w:rFonts w:ascii="Arial" w:cs="Arial" w:eastAsia="Arial" w:hAnsi="Arial"/>
          <w:sz w:val="20"/>
          <w:szCs w:val="20"/>
          <w:b w:val="1"/>
          <w:bCs w:val="1"/>
          <w:color w:val="auto"/>
        </w:rPr>
        <w:t>Table 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40" w:type="dxa"/>
            <w:vAlign w:val="bottom"/>
          </w:tcPr>
          <w:p>
            <w:pPr>
              <w:spacing w:after="0"/>
              <w:rPr>
                <w:sz w:val="20"/>
                <w:szCs w:val="20"/>
                <w:color w:val="auto"/>
              </w:rPr>
            </w:pPr>
          </w:p>
        </w:tc>
        <w:tc>
          <w:tcPr>
            <w:tcW w:w="8540" w:type="dxa"/>
            <w:vAlign w:val="bottom"/>
            <w:gridSpan w:val="2"/>
          </w:tcPr>
          <w:p>
            <w:pPr>
              <w:jc w:val="right"/>
              <w:ind w:right="619"/>
              <w:spacing w:after="0"/>
              <w:rPr>
                <w:sz w:val="20"/>
                <w:szCs w:val="20"/>
                <w:color w:val="auto"/>
              </w:rPr>
            </w:pPr>
            <w:r>
              <w:rPr>
                <w:rFonts w:ascii="Arial" w:cs="Arial" w:eastAsia="Arial" w:hAnsi="Arial"/>
                <w:sz w:val="20"/>
                <w:szCs w:val="20"/>
                <w:b w:val="1"/>
                <w:bCs w:val="1"/>
                <w:color w:val="auto"/>
              </w:rPr>
              <w:t>MATURITY OF DOMESTIC CERTIFICATES OF DEPOSIT AND TIME DEPOSITS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1"/>
        </w:trPr>
        <w:tc>
          <w:tcPr>
            <w:tcW w:w="1640" w:type="dxa"/>
            <w:vAlign w:val="bottom"/>
          </w:tcPr>
          <w:p>
            <w:pPr>
              <w:spacing w:after="0"/>
              <w:rPr>
                <w:sz w:val="22"/>
                <w:szCs w:val="22"/>
                <w:color w:val="auto"/>
              </w:rPr>
            </w:pPr>
          </w:p>
        </w:tc>
        <w:tc>
          <w:tcPr>
            <w:tcW w:w="8540" w:type="dxa"/>
            <w:vAlign w:val="bottom"/>
            <w:gridSpan w:val="2"/>
          </w:tcPr>
          <w:p>
            <w:pPr>
              <w:jc w:val="right"/>
              <w:ind w:right="2419"/>
              <w:spacing w:after="0"/>
              <w:rPr>
                <w:sz w:val="20"/>
                <w:szCs w:val="20"/>
                <w:color w:val="auto"/>
              </w:rPr>
            </w:pPr>
            <w:r>
              <w:rPr>
                <w:rFonts w:ascii="Arial" w:cs="Arial" w:eastAsia="Arial" w:hAnsi="Arial"/>
                <w:sz w:val="20"/>
                <w:szCs w:val="20"/>
                <w:b w:val="1"/>
                <w:bCs w:val="1"/>
                <w:color w:val="auto"/>
              </w:rPr>
              <w:t>WITH BALANCES OF $100,000 OR MORE</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0"/>
        </w:trPr>
        <w:tc>
          <w:tcPr>
            <w:tcW w:w="164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December 31,</w:t>
            </w:r>
          </w:p>
        </w:tc>
      </w:tr>
      <w:tr>
        <w:trPr>
          <w:trHeight w:val="167"/>
        </w:trPr>
        <w:tc>
          <w:tcPr>
            <w:tcW w:w="164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r>
      <w:tr>
        <w:trPr>
          <w:trHeight w:val="176"/>
        </w:trPr>
        <w:tc>
          <w:tcPr>
            <w:tcW w:w="164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91"/>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r>
      <w:tr>
        <w:trPr>
          <w:trHeight w:val="133"/>
        </w:trPr>
        <w:tc>
          <w:tcPr>
            <w:tcW w:w="164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0"/>
        </w:trPr>
        <w:tc>
          <w:tcPr>
            <w:tcW w:w="1640" w:type="dxa"/>
            <w:vAlign w:val="bottom"/>
            <w:shd w:val="clear" w:color="auto" w:fill="CFF0FC"/>
          </w:tcPr>
          <w:p>
            <w:pPr>
              <w:spacing w:after="0"/>
              <w:rPr>
                <w:sz w:val="20"/>
                <w:szCs w:val="20"/>
                <w:color w:val="auto"/>
              </w:rPr>
            </w:pPr>
            <w:r>
              <w:rPr>
                <w:rFonts w:ascii="Arial" w:cs="Arial" w:eastAsia="Arial" w:hAnsi="Arial"/>
                <w:sz w:val="20"/>
                <w:szCs w:val="20"/>
                <w:color w:val="auto"/>
              </w:rPr>
              <w:t>Under 3 months</w:t>
            </w:r>
          </w:p>
        </w:tc>
        <w:tc>
          <w:tcPr>
            <w:tcW w:w="85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371,255</w:t>
            </w:r>
          </w:p>
        </w:tc>
        <w:tc>
          <w:tcPr>
            <w:tcW w:w="100" w:type="dxa"/>
            <w:vAlign w:val="bottom"/>
            <w:shd w:val="clear" w:color="auto" w:fill="CFF0FC"/>
          </w:tcPr>
          <w:p>
            <w:pPr>
              <w:spacing w:after="0"/>
              <w:rPr>
                <w:sz w:val="21"/>
                <w:szCs w:val="21"/>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20"/>
                <w:szCs w:val="20"/>
                <w:color w:val="auto"/>
              </w:rPr>
              <w:t>3 to 6 months</w:t>
            </w:r>
          </w:p>
        </w:tc>
        <w:tc>
          <w:tcPr>
            <w:tcW w:w="8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410,710</w:t>
            </w:r>
          </w:p>
        </w:tc>
        <w:tc>
          <w:tcPr>
            <w:tcW w:w="100" w:type="dxa"/>
            <w:vAlign w:val="bottom"/>
          </w:tcPr>
          <w:p>
            <w:pPr>
              <w:spacing w:after="0"/>
              <w:rPr>
                <w:sz w:val="21"/>
                <w:szCs w:val="21"/>
                <w:color w:val="auto"/>
              </w:rPr>
            </w:pPr>
          </w:p>
        </w:tc>
      </w:tr>
      <w:tr>
        <w:trPr>
          <w:trHeight w:val="250"/>
        </w:trPr>
        <w:tc>
          <w:tcPr>
            <w:tcW w:w="1640" w:type="dxa"/>
            <w:vAlign w:val="bottom"/>
            <w:shd w:val="clear" w:color="auto" w:fill="CFF0FC"/>
          </w:tcPr>
          <w:p>
            <w:pPr>
              <w:spacing w:after="0"/>
              <w:rPr>
                <w:sz w:val="20"/>
                <w:szCs w:val="20"/>
                <w:color w:val="auto"/>
              </w:rPr>
            </w:pPr>
            <w:r>
              <w:rPr>
                <w:rFonts w:ascii="Arial" w:cs="Arial" w:eastAsia="Arial" w:hAnsi="Arial"/>
                <w:sz w:val="20"/>
                <w:szCs w:val="20"/>
                <w:color w:val="auto"/>
              </w:rPr>
              <w:t>6 to 12 months</w:t>
            </w:r>
          </w:p>
        </w:tc>
        <w:tc>
          <w:tcPr>
            <w:tcW w:w="8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1,045,793</w:t>
            </w:r>
          </w:p>
        </w:tc>
        <w:tc>
          <w:tcPr>
            <w:tcW w:w="100" w:type="dxa"/>
            <w:vAlign w:val="bottom"/>
            <w:shd w:val="clear" w:color="auto" w:fill="CFF0FC"/>
          </w:tcPr>
          <w:p>
            <w:pPr>
              <w:spacing w:after="0"/>
              <w:rPr>
                <w:sz w:val="21"/>
                <w:szCs w:val="21"/>
                <w:color w:val="auto"/>
              </w:rPr>
            </w:pPr>
          </w:p>
        </w:tc>
      </w:tr>
      <w:tr>
        <w:trPr>
          <w:trHeight w:val="250"/>
        </w:trPr>
        <w:tc>
          <w:tcPr>
            <w:tcW w:w="16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Over 12 months</w:t>
            </w:r>
          </w:p>
        </w:tc>
        <w:tc>
          <w:tcPr>
            <w:tcW w:w="83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783,444</w:t>
            </w:r>
          </w:p>
        </w:tc>
        <w:tc>
          <w:tcPr>
            <w:tcW w:w="100" w:type="dxa"/>
            <w:vAlign w:val="bottom"/>
            <w:tcBorders>
              <w:bottom w:val="single" w:sz="8" w:color="CFF0FC"/>
            </w:tcBorders>
          </w:tcPr>
          <w:p>
            <w:pPr>
              <w:spacing w:after="0"/>
              <w:rPr>
                <w:sz w:val="21"/>
                <w:szCs w:val="21"/>
                <w:color w:val="auto"/>
              </w:rPr>
            </w:pPr>
          </w:p>
        </w:tc>
      </w:tr>
      <w:tr>
        <w:trPr>
          <w:trHeight w:val="243"/>
        </w:trPr>
        <w:tc>
          <w:tcPr>
            <w:tcW w:w="16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20"/>
                <w:szCs w:val="20"/>
                <w:color w:val="auto"/>
              </w:rPr>
              <w:t>Total</w:t>
            </w:r>
          </w:p>
        </w:tc>
        <w:tc>
          <w:tcPr>
            <w:tcW w:w="83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2,611,202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
        </w:trPr>
        <w:tc>
          <w:tcPr>
            <w:tcW w:w="16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right="340" w:firstLine="598"/>
        <w:spacing w:after="0" w:line="264" w:lineRule="auto"/>
        <w:rPr>
          <w:sz w:val="20"/>
          <w:szCs w:val="20"/>
          <w:color w:val="auto"/>
        </w:rPr>
      </w:pPr>
      <w:r>
        <w:rPr>
          <w:rFonts w:ascii="Arial" w:cs="Arial" w:eastAsia="Arial" w:hAnsi="Arial"/>
          <w:sz w:val="19"/>
          <w:szCs w:val="19"/>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3"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December 31, 2019, the aggregate notional amount of interest rate swap agreements entered into for interest rate risk management purposes that were currently in effect was $17.2 billion. In addition, the Company has entered into $40.4 billion of forward-starting interest rate swap agreements. Information about interest rate swap agreements entered into for interest rate risk management purposes is included herein under the heading “Net Interest Income/Lending and Funding Activities” and in note 18 of Notes to Financial Statements.</w:t>
      </w:r>
    </w:p>
    <w:p>
      <w:pPr>
        <w:spacing w:after="0" w:line="3" w:lineRule="exact"/>
        <w:rPr>
          <w:sz w:val="20"/>
          <w:szCs w:val="20"/>
          <w:color w:val="auto"/>
        </w:rPr>
      </w:pPr>
    </w:p>
    <w:p>
      <w:pPr>
        <w:ind w:right="60" w:firstLine="598"/>
        <w:spacing w:after="0" w:line="250" w:lineRule="auto"/>
        <w:rPr>
          <w:sz w:val="20"/>
          <w:szCs w:val="20"/>
          <w:color w:val="auto"/>
        </w:rPr>
      </w:pPr>
      <w:r>
        <w:rPr>
          <w:rFonts w:ascii="Arial" w:cs="Arial" w:eastAsia="Arial" w:hAnsi="Arial"/>
          <w:sz w:val="20"/>
          <w:szCs w:val="20"/>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92" w:name="page93"/>
    <w:bookmarkEnd w:id="92"/>
    <w:p>
      <w:pPr>
        <w:ind w:right="80"/>
        <w:spacing w:after="0" w:line="276" w:lineRule="auto"/>
        <w:rPr>
          <w:sz w:val="20"/>
          <w:szCs w:val="20"/>
          <w:color w:val="auto"/>
        </w:rPr>
      </w:pPr>
      <w:r>
        <w:rPr>
          <w:rFonts w:ascii="Arial" w:cs="Arial" w:eastAsia="Arial" w:hAnsi="Arial"/>
          <w:sz w:val="18"/>
          <w:szCs w:val="18"/>
          <w:color w:val="auto"/>
        </w:rPr>
        <w:t>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4" w:lineRule="exact"/>
        <w:rPr>
          <w:sz w:val="20"/>
          <w:szCs w:val="20"/>
          <w:color w:val="auto"/>
        </w:rPr>
      </w:pPr>
    </w:p>
    <w:p>
      <w:pPr>
        <w:ind w:firstLine="598"/>
        <w:spacing w:after="0" w:line="256" w:lineRule="auto"/>
        <w:rPr>
          <w:sz w:val="20"/>
          <w:szCs w:val="20"/>
          <w:color w:val="auto"/>
        </w:rPr>
      </w:pPr>
      <w:r>
        <w:rPr>
          <w:rFonts w:ascii="Arial" w:cs="Arial" w:eastAsia="Arial" w:hAnsi="Arial"/>
          <w:sz w:val="20"/>
          <w:szCs w:val="20"/>
          <w:color w:val="auto"/>
        </w:rPr>
        <w:t>Table 22 displays as of December 31, 2019 and 2018 the estimated impact on net interest income in the base scenario described above resulting from parallel changes in interest rates across repricing categories during the first modeling year.</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22</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SENSITIVITY OF NET INTEREST INCOME TO CHANGES IN INTEREST RATES</w:t>
      </w:r>
    </w:p>
    <w:p>
      <w:pPr>
        <w:spacing w:after="0" w:line="224"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Calculated Increase (Decrease)</w:t>
      </w:r>
    </w:p>
    <w:p>
      <w:pPr>
        <w:jc w:val="center"/>
        <w:ind w:left="6560"/>
        <w:spacing w:after="0"/>
        <w:rPr>
          <w:sz w:val="20"/>
          <w:szCs w:val="20"/>
          <w:color w:val="auto"/>
        </w:rPr>
      </w:pPr>
      <w:r>
        <w:rPr>
          <w:rFonts w:ascii="Arial" w:cs="Arial" w:eastAsia="Arial" w:hAnsi="Arial"/>
          <w:sz w:val="14"/>
          <w:szCs w:val="14"/>
          <w:b w:val="1"/>
          <w:bCs w:val="1"/>
          <w:color w:val="auto"/>
        </w:rPr>
        <w:t>in Projected Net Interest Income</w:t>
      </w:r>
    </w:p>
    <w:p>
      <w:pPr>
        <w:spacing w:after="0" w:line="46"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3810</wp:posOffset>
            </wp:positionV>
            <wp:extent cx="25533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53335"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980" w:type="dxa"/>
            <w:vAlign w:val="bottom"/>
            <w:gridSpan w:val="2"/>
          </w:tcPr>
          <w:p>
            <w:pPr>
              <w:spacing w:after="0"/>
              <w:rPr>
                <w:sz w:val="20"/>
                <w:szCs w:val="20"/>
                <w:color w:val="auto"/>
              </w:rPr>
            </w:pPr>
            <w:r>
              <w:rPr>
                <w:rFonts w:ascii="Arial" w:cs="Arial" w:eastAsia="Arial" w:hAnsi="Arial"/>
                <w:sz w:val="14"/>
                <w:szCs w:val="14"/>
                <w:b w:val="1"/>
                <w:bCs w:val="1"/>
                <w:color w:val="auto"/>
              </w:rPr>
              <w:t>Changes in interest rates</w:t>
            </w:r>
          </w:p>
        </w:tc>
        <w:tc>
          <w:tcPr>
            <w:tcW w:w="420" w:type="dxa"/>
            <w:vAlign w:val="bottom"/>
          </w:tcPr>
          <w:p>
            <w:pPr>
              <w:spacing w:after="0"/>
              <w:rPr>
                <w:sz w:val="14"/>
                <w:szCs w:val="14"/>
                <w:color w:val="auto"/>
              </w:rPr>
            </w:pPr>
          </w:p>
        </w:tc>
        <w:tc>
          <w:tcPr>
            <w:tcW w:w="2280" w:type="dxa"/>
            <w:vAlign w:val="bottom"/>
          </w:tcPr>
          <w:p>
            <w:pPr>
              <w:jc w:val="right"/>
              <w:ind w:right="1579"/>
              <w:spacing w:after="0"/>
              <w:rPr>
                <w:sz w:val="20"/>
                <w:szCs w:val="20"/>
                <w:color w:val="auto"/>
              </w:rPr>
            </w:pPr>
            <w:r>
              <w:rPr>
                <w:rFonts w:ascii="Arial" w:cs="Arial" w:eastAsia="Arial" w:hAnsi="Arial"/>
                <w:sz w:val="14"/>
                <w:szCs w:val="14"/>
                <w:b w:val="1"/>
                <w:bCs w:val="1"/>
                <w:color w:val="auto"/>
              </w:rPr>
              <w:t>2019</w:t>
            </w:r>
          </w:p>
        </w:tc>
        <w:tc>
          <w:tcPr>
            <w:tcW w:w="1320" w:type="dxa"/>
            <w:vAlign w:val="bottom"/>
          </w:tcPr>
          <w:p>
            <w:pPr>
              <w:jc w:val="right"/>
              <w:ind w:right="67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83"/>
        </w:trPr>
        <w:tc>
          <w:tcPr>
            <w:tcW w:w="1480" w:type="dxa"/>
            <w:vAlign w:val="bottom"/>
            <w:tcBorders>
              <w:top w:val="single" w:sz="8" w:color="auto"/>
            </w:tcBorders>
          </w:tcPr>
          <w:p>
            <w:pPr>
              <w:spacing w:after="0"/>
              <w:rPr>
                <w:sz w:val="15"/>
                <w:szCs w:val="15"/>
                <w:color w:val="auto"/>
              </w:rPr>
            </w:pPr>
          </w:p>
        </w:tc>
        <w:tc>
          <w:tcPr>
            <w:tcW w:w="55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280" w:type="dxa"/>
            <w:vAlign w:val="bottom"/>
            <w:tcBorders>
              <w:top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4"/>
        </w:trPr>
        <w:tc>
          <w:tcPr>
            <w:tcW w:w="148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3"/>
        </w:trPr>
        <w:tc>
          <w:tcPr>
            <w:tcW w:w="6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+200 basis points</w:t>
            </w:r>
          </w:p>
        </w:tc>
        <w:tc>
          <w:tcPr>
            <w:tcW w:w="420" w:type="dxa"/>
            <w:vAlign w:val="bottom"/>
            <w:shd w:val="clear" w:color="auto" w:fill="CFF0FC"/>
          </w:tcPr>
          <w:p>
            <w:pPr>
              <w:jc w:val="right"/>
              <w:ind w:right="263"/>
              <w:spacing w:after="0"/>
              <w:rPr>
                <w:sz w:val="20"/>
                <w:szCs w:val="20"/>
                <w:color w:val="auto"/>
              </w:rPr>
            </w:pPr>
            <w:r>
              <w:rPr>
                <w:rFonts w:ascii="Arial" w:cs="Arial" w:eastAsia="Arial" w:hAnsi="Arial"/>
                <w:sz w:val="15"/>
                <w:szCs w:val="15"/>
                <w:color w:val="auto"/>
                <w:w w:val="71"/>
              </w:rPr>
              <w:t>$</w:t>
            </w:r>
          </w:p>
        </w:tc>
        <w:tc>
          <w:tcPr>
            <w:tcW w:w="2280" w:type="dxa"/>
            <w:vAlign w:val="bottom"/>
            <w:shd w:val="clear" w:color="auto" w:fill="CFF0FC"/>
          </w:tcPr>
          <w:p>
            <w:pPr>
              <w:jc w:val="right"/>
              <w:ind w:right="839"/>
              <w:spacing w:after="0"/>
              <w:rPr>
                <w:sz w:val="20"/>
                <w:szCs w:val="20"/>
                <w:color w:val="auto"/>
              </w:rPr>
            </w:pPr>
            <w:r>
              <w:rPr>
                <w:rFonts w:ascii="Arial" w:cs="Arial" w:eastAsia="Arial" w:hAnsi="Arial"/>
                <w:sz w:val="18"/>
                <w:szCs w:val="18"/>
                <w:color w:val="auto"/>
              </w:rPr>
              <w:t>45,345</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37,513</w:t>
            </w:r>
          </w:p>
        </w:tc>
        <w:tc>
          <w:tcPr>
            <w:tcW w:w="100" w:type="dxa"/>
            <w:vAlign w:val="bottom"/>
            <w:shd w:val="clear" w:color="auto" w:fill="CFF0FC"/>
          </w:tcPr>
          <w:p>
            <w:pPr>
              <w:spacing w:after="0"/>
              <w:rPr>
                <w:sz w:val="19"/>
                <w:szCs w:val="19"/>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color w:val="auto"/>
              </w:rPr>
              <w:t>+100 basis points</w:t>
            </w:r>
          </w:p>
        </w:tc>
        <w:tc>
          <w:tcPr>
            <w:tcW w:w="420" w:type="dxa"/>
            <w:vAlign w:val="bottom"/>
          </w:tcPr>
          <w:p>
            <w:pPr>
              <w:spacing w:after="0"/>
              <w:rPr>
                <w:sz w:val="19"/>
                <w:szCs w:val="19"/>
                <w:color w:val="auto"/>
              </w:rPr>
            </w:pPr>
          </w:p>
        </w:tc>
        <w:tc>
          <w:tcPr>
            <w:tcW w:w="2280" w:type="dxa"/>
            <w:vAlign w:val="bottom"/>
          </w:tcPr>
          <w:p>
            <w:pPr>
              <w:jc w:val="right"/>
              <w:ind w:right="839"/>
              <w:spacing w:after="0"/>
              <w:rPr>
                <w:sz w:val="20"/>
                <w:szCs w:val="20"/>
                <w:color w:val="auto"/>
              </w:rPr>
            </w:pPr>
            <w:r>
              <w:rPr>
                <w:rFonts w:ascii="Arial" w:cs="Arial" w:eastAsia="Arial" w:hAnsi="Arial"/>
                <w:sz w:val="18"/>
                <w:szCs w:val="18"/>
                <w:color w:val="auto"/>
              </w:rPr>
              <w:t>35,838</w:t>
            </w:r>
          </w:p>
        </w:tc>
        <w:tc>
          <w:tcPr>
            <w:tcW w:w="1320" w:type="dxa"/>
            <w:vAlign w:val="bottom"/>
          </w:tcPr>
          <w:p>
            <w:pPr>
              <w:jc w:val="right"/>
              <w:spacing w:after="0"/>
              <w:rPr>
                <w:sz w:val="20"/>
                <w:szCs w:val="20"/>
                <w:color w:val="auto"/>
              </w:rPr>
            </w:pPr>
            <w:r>
              <w:rPr>
                <w:rFonts w:ascii="Arial" w:cs="Arial" w:eastAsia="Arial" w:hAnsi="Arial"/>
                <w:sz w:val="18"/>
                <w:szCs w:val="18"/>
                <w:color w:val="auto"/>
              </w:rPr>
              <w:t>36,727</w:t>
            </w:r>
          </w:p>
        </w:tc>
        <w:tc>
          <w:tcPr>
            <w:tcW w:w="100" w:type="dxa"/>
            <w:vAlign w:val="bottom"/>
          </w:tcPr>
          <w:p>
            <w:pPr>
              <w:spacing w:after="0"/>
              <w:rPr>
                <w:sz w:val="19"/>
                <w:szCs w:val="19"/>
                <w:color w:val="auto"/>
              </w:rPr>
            </w:pPr>
          </w:p>
        </w:tc>
      </w:tr>
      <w:tr>
        <w:trPr>
          <w:trHeight w:val="224"/>
        </w:trPr>
        <w:tc>
          <w:tcPr>
            <w:tcW w:w="6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-100 basis points</w:t>
            </w:r>
          </w:p>
        </w:tc>
        <w:tc>
          <w:tcPr>
            <w:tcW w:w="420" w:type="dxa"/>
            <w:vAlign w:val="bottom"/>
            <w:shd w:val="clear" w:color="auto" w:fill="CFF0FC"/>
          </w:tcPr>
          <w:p>
            <w:pPr>
              <w:spacing w:after="0"/>
              <w:rPr>
                <w:sz w:val="19"/>
                <w:szCs w:val="19"/>
                <w:color w:val="auto"/>
              </w:rPr>
            </w:pPr>
          </w:p>
        </w:tc>
        <w:tc>
          <w:tcPr>
            <w:tcW w:w="228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rPr>
              <w:t>(94,616)</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(114,307)</w:t>
            </w:r>
          </w:p>
        </w:tc>
      </w:tr>
    </w:tbl>
    <w:p>
      <w:pPr>
        <w:spacing w:after="0" w:line="197" w:lineRule="exact"/>
        <w:rPr>
          <w:sz w:val="20"/>
          <w:szCs w:val="20"/>
          <w:color w:val="auto"/>
        </w:rPr>
      </w:pPr>
    </w:p>
    <w:p>
      <w:pPr>
        <w:ind w:right="20" w:firstLine="598"/>
        <w:spacing w:after="0" w:line="263" w:lineRule="auto"/>
        <w:rPr>
          <w:sz w:val="20"/>
          <w:szCs w:val="20"/>
          <w:color w:val="auto"/>
        </w:rPr>
      </w:pPr>
      <w:r>
        <w:rPr>
          <w:rFonts w:ascii="Arial" w:cs="Arial" w:eastAsia="Arial" w:hAnsi="Arial"/>
          <w:sz w:val="19"/>
          <w:szCs w:val="19"/>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as compared with the base scenario. In the declining rate scenario, the rate changes may be limited to lesser amounts such that interest rates remain positive on all points of the yield curve.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The sensitivity of net interest income to changes in interest rates lessened as of December 31, 2019 as compared with a year earlier as the Company has entered into interest rate swap agreements to mitigate exposure to declining interest rates. In light of the uncertainties and assumptions associated with the process, the amounts presented in the table are not considered significant to the Company’s past or projected net interest income.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3" w:name="page94"/>
    <w:bookmarkEnd w:id="93"/>
    <w:p>
      <w:pPr>
        <w:ind w:right="220" w:firstLine="598"/>
        <w:spacing w:after="0" w:line="285" w:lineRule="auto"/>
        <w:rPr>
          <w:sz w:val="20"/>
          <w:szCs w:val="20"/>
          <w:color w:val="auto"/>
        </w:rPr>
      </w:pPr>
      <w:r>
        <w:rPr>
          <w:rFonts w:ascii="Arial" w:cs="Arial" w:eastAsia="Arial" w:hAnsi="Arial"/>
          <w:sz w:val="18"/>
          <w:szCs w:val="18"/>
          <w:color w:val="auto"/>
        </w:rPr>
        <w:t>Table 23 presents cumulative totals of net assets (liabilities) repricing on a contractual basis within the specified time frames, as adjusted for the impact of interest rate swap agreements entered into for interest rate risk management purposes. Management believes that this measure does not appropriately depict interest rate risk since changes in interest rates do not necessarily affect all categories of earning assets and interest-bearing liabilities equally nor, as assumed in the table, on the contractual maturity or repricing date. Furthermore, this static presentation of interest rate risk fails to consider the effect of ongoing lending and deposit gathering activities, projected changes in balance sheet composition or any subsequent interest rate risk management activities the Company is likely to implement.</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23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CONTRACTUAL REPRICING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1"/>
              </w:rPr>
              <w:t>Three Months</w:t>
            </w:r>
          </w:p>
        </w:tc>
        <w:tc>
          <w:tcPr>
            <w:tcW w:w="142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w w:val="95"/>
              </w:rPr>
              <w:t>Four to Twelve</w:t>
            </w: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One to</w:t>
            </w:r>
          </w:p>
        </w:tc>
        <w:tc>
          <w:tcPr>
            <w:tcW w:w="8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4"/>
                <w:szCs w:val="14"/>
                <w:color w:val="auto"/>
              </w:rPr>
            </w:pPr>
          </w:p>
        </w:tc>
        <w:tc>
          <w:tcPr>
            <w:tcW w:w="11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360" w:type="dxa"/>
            <w:vAlign w:val="bottom"/>
            <w:gridSpan w:val="2"/>
            <w:vMerge w:val="continue"/>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700"/>
              <w:spacing w:after="0" w:line="154" w:lineRule="exact"/>
              <w:rPr>
                <w:sz w:val="20"/>
                <w:szCs w:val="20"/>
                <w:color w:val="auto"/>
              </w:rPr>
            </w:pPr>
            <w:r>
              <w:rPr>
                <w:rFonts w:ascii="Arial" w:cs="Arial" w:eastAsia="Arial" w:hAnsi="Arial"/>
                <w:sz w:val="14"/>
                <w:szCs w:val="14"/>
                <w:b w:val="1"/>
                <w:bCs w:val="1"/>
                <w:color w:val="auto"/>
              </w:rPr>
              <w:t>or Less</w:t>
            </w:r>
          </w:p>
        </w:tc>
        <w:tc>
          <w:tcPr>
            <w:tcW w:w="100" w:type="dxa"/>
            <w:vAlign w:val="bottom"/>
          </w:tcPr>
          <w:p>
            <w:pPr>
              <w:spacing w:after="0"/>
              <w:rPr>
                <w:sz w:val="13"/>
                <w:szCs w:val="13"/>
                <w:color w:val="auto"/>
              </w:rPr>
            </w:pPr>
          </w:p>
        </w:tc>
        <w:tc>
          <w:tcPr>
            <w:tcW w:w="1320" w:type="dxa"/>
            <w:vAlign w:val="bottom"/>
            <w:gridSpan w:val="2"/>
          </w:tcPr>
          <w:p>
            <w:pPr>
              <w:jc w:val="right"/>
              <w:ind w:right="610"/>
              <w:spacing w:after="0" w:line="154" w:lineRule="exact"/>
              <w:rPr>
                <w:sz w:val="20"/>
                <w:szCs w:val="20"/>
                <w:color w:val="auto"/>
              </w:rPr>
            </w:pPr>
            <w:r>
              <w:rPr>
                <w:rFonts w:ascii="Arial" w:cs="Arial" w:eastAsia="Arial" w:hAnsi="Arial"/>
                <w:sz w:val="14"/>
                <w:szCs w:val="14"/>
                <w:b w:val="1"/>
                <w:bCs w:val="1"/>
                <w:color w:val="auto"/>
              </w:rPr>
              <w:t>Months</w:t>
            </w:r>
          </w:p>
        </w:tc>
        <w:tc>
          <w:tcPr>
            <w:tcW w:w="1240" w:type="dxa"/>
            <w:vAlign w:val="bottom"/>
            <w:gridSpan w:val="2"/>
          </w:tcPr>
          <w:p>
            <w:pPr>
              <w:jc w:val="right"/>
              <w:ind w:right="420"/>
              <w:spacing w:after="0" w:line="154" w:lineRule="exact"/>
              <w:rPr>
                <w:sz w:val="20"/>
                <w:szCs w:val="20"/>
                <w:color w:val="auto"/>
              </w:rPr>
            </w:pPr>
            <w:r>
              <w:rPr>
                <w:rFonts w:ascii="Arial" w:cs="Arial" w:eastAsia="Arial" w:hAnsi="Arial"/>
                <w:sz w:val="14"/>
                <w:szCs w:val="14"/>
                <w:b w:val="1"/>
                <w:bCs w:val="1"/>
                <w:color w:val="auto"/>
              </w:rPr>
              <w:t>Five Years</w:t>
            </w:r>
          </w:p>
        </w:tc>
        <w:tc>
          <w:tcPr>
            <w:tcW w:w="80" w:type="dxa"/>
            <w:vAlign w:val="bottom"/>
          </w:tcPr>
          <w:p>
            <w:pPr>
              <w:spacing w:after="0"/>
              <w:rPr>
                <w:sz w:val="13"/>
                <w:szCs w:val="13"/>
                <w:color w:val="auto"/>
              </w:rPr>
            </w:pPr>
          </w:p>
        </w:tc>
        <w:tc>
          <w:tcPr>
            <w:tcW w:w="1320" w:type="dxa"/>
            <w:vAlign w:val="bottom"/>
            <w:gridSpan w:val="2"/>
          </w:tcPr>
          <w:p>
            <w:pPr>
              <w:jc w:val="right"/>
              <w:ind w:right="500"/>
              <w:spacing w:after="0" w:line="154" w:lineRule="exact"/>
              <w:rPr>
                <w:sz w:val="20"/>
                <w:szCs w:val="20"/>
                <w:color w:val="auto"/>
              </w:rPr>
            </w:pPr>
            <w:r>
              <w:rPr>
                <w:rFonts w:ascii="Arial" w:cs="Arial" w:eastAsia="Arial" w:hAnsi="Arial"/>
                <w:sz w:val="14"/>
                <w:szCs w:val="14"/>
                <w:b w:val="1"/>
                <w:bCs w:val="1"/>
                <w:color w:val="auto"/>
              </w:rPr>
              <w:t>Five Years</w:t>
            </w: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tcBorders>
              <w:top w:val="single" w:sz="8" w:color="auto"/>
            </w:tcBorders>
          </w:tcPr>
          <w:p>
            <w:pPr>
              <w:spacing w:after="0"/>
              <w:rPr>
                <w:sz w:val="15"/>
                <w:szCs w:val="15"/>
                <w:color w:val="auto"/>
              </w:rPr>
            </w:pPr>
          </w:p>
        </w:tc>
        <w:tc>
          <w:tcPr>
            <w:tcW w:w="2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7"/>
              </w:rPr>
              <w:t>(Dollars in thousands)</w:t>
            </w: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9"/>
        </w:trPr>
        <w:tc>
          <w:tcPr>
            <w:tcW w:w="3360" w:type="dxa"/>
            <w:vAlign w:val="bottom"/>
            <w:gridSpan w:val="2"/>
          </w:tcPr>
          <w:p>
            <w:pPr>
              <w:spacing w:after="0"/>
              <w:rPr>
                <w:sz w:val="20"/>
                <w:szCs w:val="20"/>
                <w:color w:val="auto"/>
              </w:rPr>
            </w:pPr>
            <w:r>
              <w:rPr>
                <w:rFonts w:ascii="Arial" w:cs="Arial" w:eastAsia="Arial" w:hAnsi="Arial"/>
                <w:sz w:val="19"/>
                <w:szCs w:val="19"/>
                <w:color w:val="auto"/>
              </w:rPr>
              <w:t>Loans and leases, net</w:t>
            </w:r>
          </w:p>
        </w:tc>
        <w:tc>
          <w:tcPr>
            <w:tcW w:w="1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w w:val="98"/>
              </w:rPr>
              <w:t>54,332,456</w:t>
            </w:r>
          </w:p>
        </w:tc>
        <w:tc>
          <w:tcPr>
            <w:tcW w:w="3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5,727,416</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w w:val="88"/>
              </w:rPr>
              <w:t>$ 15,788,195</w:t>
            </w:r>
          </w:p>
        </w:tc>
        <w:tc>
          <w:tcPr>
            <w:tcW w:w="2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w w:val="95"/>
              </w:rPr>
              <w:t>$ 15,074,802</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90,922,869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6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Investment securities</w:t>
            </w: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542,515</w:t>
            </w: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160,756</w:t>
            </w: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111,839</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8,682,141</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9,497,251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60" w:type="dxa"/>
            <w:vAlign w:val="bottom"/>
            <w:gridSpan w:val="2"/>
          </w:tcPr>
          <w:p>
            <w:pPr>
              <w:spacing w:after="0"/>
              <w:rPr>
                <w:sz w:val="20"/>
                <w:szCs w:val="20"/>
                <w:color w:val="auto"/>
              </w:rPr>
            </w:pPr>
            <w:r>
              <w:rPr>
                <w:rFonts w:ascii="Arial" w:cs="Arial" w:eastAsia="Arial" w:hAnsi="Arial"/>
                <w:sz w:val="19"/>
                <w:szCs w:val="19"/>
                <w:color w:val="auto"/>
              </w:rPr>
              <w:t>Other earning assets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7,252,301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681</w:t>
            </w:r>
          </w:p>
        </w:tc>
        <w:tc>
          <w:tcPr>
            <w:tcW w:w="3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7,252,982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9"/>
                <w:szCs w:val="19"/>
                <w:i w:val="1"/>
                <w:iCs w:val="1"/>
                <w:color w:val="auto"/>
              </w:rPr>
              <w:t>Total earning assets</w:t>
            </w:r>
          </w:p>
        </w:tc>
        <w:tc>
          <w:tcPr>
            <w:tcW w:w="13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98"/>
              </w:rPr>
              <w:t>62,127,272</w:t>
            </w:r>
          </w:p>
        </w:tc>
        <w:tc>
          <w:tcPr>
            <w:tcW w:w="3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5,888,853</w:t>
            </w:r>
          </w:p>
        </w:tc>
        <w:tc>
          <w:tcPr>
            <w:tcW w:w="3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15,900,034</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23,756,943</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90"/>
              </w:rPr>
              <w:t>107,673,102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60" w:type="dxa"/>
            <w:vAlign w:val="bottom"/>
            <w:gridSpan w:val="2"/>
          </w:tcPr>
          <w:p>
            <w:pPr>
              <w:spacing w:after="0" w:line="213" w:lineRule="exact"/>
              <w:rPr>
                <w:sz w:val="20"/>
                <w:szCs w:val="20"/>
                <w:color w:val="auto"/>
              </w:rPr>
            </w:pPr>
            <w:r>
              <w:rPr>
                <w:rFonts w:ascii="Arial" w:cs="Arial" w:eastAsia="Arial" w:hAnsi="Arial"/>
                <w:sz w:val="19"/>
                <w:szCs w:val="19"/>
                <w:color w:val="auto"/>
              </w:rPr>
              <w:t>Savings and interest-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360" w:type="dxa"/>
            <w:vAlign w:val="bottom"/>
            <w:gridSpan w:val="2"/>
          </w:tcPr>
          <w:p>
            <w:pPr>
              <w:ind w:left="140"/>
              <w:spacing w:after="0"/>
              <w:rPr>
                <w:sz w:val="20"/>
                <w:szCs w:val="20"/>
                <w:color w:val="auto"/>
              </w:rPr>
            </w:pPr>
            <w:r>
              <w:rPr>
                <w:rFonts w:ascii="Arial" w:cs="Arial" w:eastAsia="Arial" w:hAnsi="Arial"/>
                <w:sz w:val="19"/>
                <w:szCs w:val="19"/>
                <w:color w:val="auto"/>
              </w:rPr>
              <w:t>checking deposits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w w:val="98"/>
              </w:rPr>
              <w:t>54,932,162</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310"/>
              <w:spacing w:after="0"/>
              <w:rPr>
                <w:sz w:val="20"/>
                <w:szCs w:val="20"/>
                <w:color w:val="auto"/>
              </w:rPr>
            </w:pPr>
            <w:r>
              <w:rPr>
                <w:rFonts w:ascii="Arial" w:cs="Arial" w:eastAsia="Arial" w:hAnsi="Arial"/>
                <w:sz w:val="19"/>
                <w:szCs w:val="19"/>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54,932,162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6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Time deposits</w:t>
            </w: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933,447</w:t>
            </w: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3,145,216</w:t>
            </w: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1,678,793</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9"/>
                <w:szCs w:val="19"/>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5,757,456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360" w:type="dxa"/>
            <w:vAlign w:val="bottom"/>
            <w:gridSpan w:val="2"/>
          </w:tcPr>
          <w:p>
            <w:pPr>
              <w:spacing w:after="0"/>
              <w:rPr>
                <w:sz w:val="20"/>
                <w:szCs w:val="20"/>
                <w:color w:val="auto"/>
              </w:rPr>
            </w:pPr>
            <w:r>
              <w:rPr>
                <w:rFonts w:ascii="Arial" w:cs="Arial" w:eastAsia="Arial" w:hAnsi="Arial"/>
                <w:sz w:val="19"/>
                <w:szCs w:val="19"/>
                <w:color w:val="auto"/>
              </w:rPr>
              <w:t>Deposits at Cayman</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360" w:type="dxa"/>
            <w:vAlign w:val="bottom"/>
            <w:gridSpan w:val="2"/>
          </w:tcPr>
          <w:p>
            <w:pPr>
              <w:ind w:left="140"/>
              <w:spacing w:after="0"/>
              <w:rPr>
                <w:sz w:val="20"/>
                <w:szCs w:val="20"/>
                <w:color w:val="auto"/>
              </w:rPr>
            </w:pPr>
            <w:r>
              <w:rPr>
                <w:rFonts w:ascii="Arial" w:cs="Arial" w:eastAsia="Arial" w:hAnsi="Arial"/>
                <w:sz w:val="19"/>
                <w:szCs w:val="19"/>
                <w:color w:val="auto"/>
              </w:rPr>
              <w:t>Islands office</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1,684,044</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310"/>
              <w:spacing w:after="0"/>
              <w:rPr>
                <w:sz w:val="20"/>
                <w:szCs w:val="20"/>
                <w:color w:val="auto"/>
              </w:rPr>
            </w:pPr>
            <w:r>
              <w:rPr>
                <w:rFonts w:ascii="Arial" w:cs="Arial" w:eastAsia="Arial" w:hAnsi="Arial"/>
                <w:sz w:val="19"/>
                <w:szCs w:val="19"/>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1,684,044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360" w:type="dxa"/>
            <w:vAlign w:val="bottom"/>
            <w:tcBorders>
              <w:top w:val="single" w:sz="8" w:color="CFF0FC"/>
            </w:tcBorders>
            <w:gridSpan w:val="2"/>
            <w:shd w:val="clear" w:color="auto" w:fill="CFF0FC"/>
          </w:tcPr>
          <w:p>
            <w:pPr>
              <w:ind w:left="240"/>
              <w:spacing w:after="0" w:line="213" w:lineRule="exact"/>
              <w:rPr>
                <w:sz w:val="20"/>
                <w:szCs w:val="20"/>
                <w:color w:val="auto"/>
              </w:rPr>
            </w:pPr>
            <w:r>
              <w:rPr>
                <w:rFonts w:ascii="Arial" w:cs="Arial" w:eastAsia="Arial" w:hAnsi="Arial"/>
                <w:sz w:val="19"/>
                <w:szCs w:val="19"/>
                <w:i w:val="1"/>
                <w:iCs w:val="1"/>
                <w:color w:val="auto"/>
              </w:rPr>
              <w:t>Total interest-bearing</w:t>
            </w:r>
          </w:p>
        </w:tc>
        <w:tc>
          <w:tcPr>
            <w:tcW w:w="13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360" w:type="dxa"/>
            <w:vAlign w:val="bottom"/>
            <w:gridSpan w:val="2"/>
            <w:shd w:val="clear" w:color="auto" w:fill="CFF0FC"/>
          </w:tcPr>
          <w:p>
            <w:pPr>
              <w:ind w:left="380"/>
              <w:spacing w:after="0"/>
              <w:rPr>
                <w:sz w:val="20"/>
                <w:szCs w:val="20"/>
                <w:color w:val="auto"/>
              </w:rPr>
            </w:pPr>
            <w:r>
              <w:rPr>
                <w:rFonts w:ascii="Arial" w:cs="Arial" w:eastAsia="Arial" w:hAnsi="Arial"/>
                <w:sz w:val="19"/>
                <w:szCs w:val="19"/>
                <w:i w:val="1"/>
                <w:iCs w:val="1"/>
                <w:color w:val="auto"/>
              </w:rPr>
              <w:t>deposits</w:t>
            </w: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8"/>
              </w:rPr>
              <w:t>57,549,653</w:t>
            </w: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3,145,216</w:t>
            </w: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1,678,793</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9"/>
                <w:szCs w:val="19"/>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62,373,662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60" w:type="dxa"/>
            <w:vAlign w:val="bottom"/>
            <w:gridSpan w:val="2"/>
          </w:tcPr>
          <w:p>
            <w:pPr>
              <w:spacing w:after="0"/>
              <w:rPr>
                <w:sz w:val="20"/>
                <w:szCs w:val="20"/>
                <w:color w:val="auto"/>
              </w:rPr>
            </w:pPr>
            <w:r>
              <w:rPr>
                <w:rFonts w:ascii="Arial" w:cs="Arial" w:eastAsia="Arial" w:hAnsi="Arial"/>
                <w:sz w:val="19"/>
                <w:szCs w:val="19"/>
                <w:color w:val="auto"/>
              </w:rPr>
              <w:t>Short-term borrowings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62,363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310"/>
              <w:spacing w:after="0"/>
              <w:rPr>
                <w:sz w:val="20"/>
                <w:szCs w:val="20"/>
                <w:color w:val="auto"/>
              </w:rPr>
            </w:pPr>
            <w:r>
              <w:rPr>
                <w:rFonts w:ascii="Arial" w:cs="Arial" w:eastAsia="Arial" w:hAnsi="Arial"/>
                <w:sz w:val="19"/>
                <w:szCs w:val="19"/>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62,363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6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Long-term borrowings</w:t>
            </w: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2,983,036</w:t>
            </w: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850,933</w:t>
            </w: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1,835,743</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1,316,474</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6,986,186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360" w:type="dxa"/>
            <w:vAlign w:val="bottom"/>
            <w:gridSpan w:val="2"/>
          </w:tcPr>
          <w:p>
            <w:pPr>
              <w:ind w:left="240"/>
              <w:spacing w:after="0" w:line="213" w:lineRule="exact"/>
              <w:rPr>
                <w:sz w:val="20"/>
                <w:szCs w:val="20"/>
                <w:color w:val="auto"/>
              </w:rPr>
            </w:pPr>
            <w:r>
              <w:rPr>
                <w:rFonts w:ascii="Arial" w:cs="Arial" w:eastAsia="Arial" w:hAnsi="Arial"/>
                <w:sz w:val="19"/>
                <w:szCs w:val="19"/>
                <w:i w:val="1"/>
                <w:iCs w:val="1"/>
                <w:color w:val="auto"/>
              </w:rPr>
              <w:t>Total interest-bearing</w:t>
            </w:r>
          </w:p>
        </w:tc>
        <w:tc>
          <w:tcPr>
            <w:tcW w:w="1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360" w:type="dxa"/>
            <w:vAlign w:val="bottom"/>
            <w:gridSpan w:val="2"/>
          </w:tcPr>
          <w:p>
            <w:pPr>
              <w:ind w:left="380"/>
              <w:spacing w:after="0"/>
              <w:rPr>
                <w:sz w:val="20"/>
                <w:szCs w:val="20"/>
                <w:color w:val="auto"/>
              </w:rPr>
            </w:pPr>
            <w:r>
              <w:rPr>
                <w:rFonts w:ascii="Arial" w:cs="Arial" w:eastAsia="Arial" w:hAnsi="Arial"/>
                <w:sz w:val="19"/>
                <w:szCs w:val="19"/>
                <w:i w:val="1"/>
                <w:iCs w:val="1"/>
                <w:color w:val="auto"/>
              </w:rPr>
              <w:t>liabilities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w w:val="98"/>
              </w:rPr>
              <w:t>60,595,052</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3,996,149</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3,514,536</w:t>
            </w:r>
          </w:p>
        </w:tc>
        <w:tc>
          <w:tcPr>
            <w:tcW w:w="2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1,316,474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69,422,211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360" w:type="dxa"/>
            <w:vAlign w:val="bottom"/>
            <w:tcBorders>
              <w:top w:val="single" w:sz="8" w:color="CFF0FC"/>
            </w:tcBorders>
            <w:gridSpan w:val="2"/>
            <w:shd w:val="clear" w:color="auto" w:fill="CFF0FC"/>
          </w:tcPr>
          <w:p>
            <w:pPr>
              <w:spacing w:after="0" w:line="213" w:lineRule="exact"/>
              <w:rPr>
                <w:sz w:val="20"/>
                <w:szCs w:val="20"/>
                <w:color w:val="auto"/>
              </w:rPr>
            </w:pPr>
            <w:r>
              <w:rPr>
                <w:rFonts w:ascii="Arial" w:cs="Arial" w:eastAsia="Arial" w:hAnsi="Arial"/>
                <w:sz w:val="19"/>
                <w:szCs w:val="19"/>
                <w:color w:val="auto"/>
              </w:rPr>
              <w:t>Interest rate swap</w:t>
            </w:r>
          </w:p>
        </w:tc>
        <w:tc>
          <w:tcPr>
            <w:tcW w:w="13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360" w:type="dxa"/>
            <w:vAlign w:val="bottom"/>
            <w:gridSpan w:val="2"/>
            <w:shd w:val="clear" w:color="auto" w:fill="CFF0FC"/>
          </w:tcPr>
          <w:p>
            <w:pPr>
              <w:ind w:left="140"/>
              <w:spacing w:after="0"/>
              <w:rPr>
                <w:sz w:val="20"/>
                <w:szCs w:val="20"/>
                <w:color w:val="auto"/>
              </w:rPr>
            </w:pPr>
            <w:r>
              <w:rPr>
                <w:rFonts w:ascii="Arial" w:cs="Arial" w:eastAsia="Arial" w:hAnsi="Arial"/>
                <w:sz w:val="19"/>
                <w:szCs w:val="19"/>
                <w:color w:val="auto"/>
              </w:rPr>
              <w:t>agreements</w:t>
            </w: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9"/>
                <w:szCs w:val="19"/>
                <w:color w:val="auto"/>
                <w:w w:val="94"/>
              </w:rPr>
              <w:t>(16,400,000)</w:t>
            </w:r>
          </w:p>
        </w:tc>
        <w:tc>
          <w:tcPr>
            <w:tcW w:w="1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30"/>
              <w:spacing w:after="0"/>
              <w:rPr>
                <w:sz w:val="20"/>
                <w:szCs w:val="20"/>
                <w:color w:val="auto"/>
              </w:rPr>
            </w:pPr>
            <w:r>
              <w:rPr>
                <w:rFonts w:ascii="Arial" w:cs="Arial" w:eastAsia="Arial" w:hAnsi="Arial"/>
                <w:sz w:val="19"/>
                <w:szCs w:val="19"/>
                <w:color w:val="auto"/>
              </w:rPr>
              <w:t>(3,250,000)</w:t>
            </w: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19,150,000</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500,000</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9"/>
                <w:szCs w:val="19"/>
                <w:color w:val="auto"/>
              </w:rPr>
              <w:t>Periodic gap</w:t>
            </w:r>
          </w:p>
        </w:tc>
        <w:tc>
          <w:tcPr>
            <w:tcW w:w="13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87"/>
              </w:rPr>
              <w:t>(14,867,780)</w:t>
            </w:r>
          </w:p>
        </w:tc>
        <w:tc>
          <w:tcPr>
            <w:tcW w:w="3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96"/>
              </w:rPr>
              <w:t>(1,357,296)</w:t>
            </w:r>
          </w:p>
        </w:tc>
        <w:tc>
          <w:tcPr>
            <w:tcW w:w="3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88"/>
              </w:rPr>
              <w:t>$ 31,535,498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88"/>
              </w:rPr>
              <w:t>$ 22,940,469</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Cumulative gap</w:t>
            </w: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9"/>
                <w:szCs w:val="19"/>
                <w:color w:val="auto"/>
                <w:w w:val="94"/>
              </w:rPr>
              <w:t>(14,867,780)</w:t>
            </w:r>
          </w:p>
        </w:tc>
        <w:tc>
          <w:tcPr>
            <w:tcW w:w="1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30"/>
              <w:spacing w:after="0"/>
              <w:rPr>
                <w:sz w:val="20"/>
                <w:szCs w:val="20"/>
                <w:color w:val="auto"/>
              </w:rPr>
            </w:pPr>
            <w:r>
              <w:rPr>
                <w:rFonts w:ascii="Arial" w:cs="Arial" w:eastAsia="Arial" w:hAnsi="Arial"/>
                <w:sz w:val="19"/>
                <w:szCs w:val="19"/>
                <w:color w:val="auto"/>
                <w:w w:val="92"/>
              </w:rPr>
              <w:t>(16,225,076)</w:t>
            </w: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15,310,422</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38,250,891</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360" w:type="dxa"/>
            <w:vAlign w:val="bottom"/>
            <w:gridSpan w:val="2"/>
          </w:tcPr>
          <w:p>
            <w:pPr>
              <w:spacing w:after="0"/>
              <w:rPr>
                <w:sz w:val="20"/>
                <w:szCs w:val="20"/>
                <w:color w:val="auto"/>
              </w:rPr>
            </w:pPr>
            <w:r>
              <w:rPr>
                <w:rFonts w:ascii="Arial" w:cs="Arial" w:eastAsia="Arial" w:hAnsi="Arial"/>
                <w:sz w:val="19"/>
                <w:szCs w:val="19"/>
                <w:color w:val="auto"/>
              </w:rPr>
              <w:t>Cumulative gap as a % of</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360" w:type="dxa"/>
            <w:vAlign w:val="bottom"/>
            <w:gridSpan w:val="2"/>
          </w:tcPr>
          <w:p>
            <w:pPr>
              <w:ind w:left="140"/>
              <w:spacing w:after="0"/>
              <w:rPr>
                <w:sz w:val="20"/>
                <w:szCs w:val="20"/>
                <w:color w:val="auto"/>
              </w:rPr>
            </w:pPr>
            <w:r>
              <w:rPr>
                <w:rFonts w:ascii="Arial" w:cs="Arial" w:eastAsia="Arial" w:hAnsi="Arial"/>
                <w:sz w:val="19"/>
                <w:szCs w:val="19"/>
                <w:color w:val="auto"/>
              </w:rPr>
              <w:t>total earning assets</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9"/>
                <w:szCs w:val="19"/>
                <w:color w:val="auto"/>
              </w:rPr>
              <w:t>(13.8)%</w:t>
            </w:r>
          </w:p>
        </w:tc>
        <w:tc>
          <w:tcPr>
            <w:tcW w:w="100" w:type="dxa"/>
            <w:vAlign w:val="bottom"/>
          </w:tcPr>
          <w:p>
            <w:pPr>
              <w:spacing w:after="0"/>
              <w:rPr>
                <w:sz w:val="21"/>
                <w:szCs w:val="21"/>
                <w:color w:val="auto"/>
              </w:rPr>
            </w:pPr>
          </w:p>
        </w:tc>
        <w:tc>
          <w:tcPr>
            <w:tcW w:w="1320" w:type="dxa"/>
            <w:vAlign w:val="bottom"/>
            <w:gridSpan w:val="2"/>
          </w:tcPr>
          <w:p>
            <w:pPr>
              <w:jc w:val="right"/>
              <w:ind w:right="70"/>
              <w:spacing w:after="0"/>
              <w:rPr>
                <w:sz w:val="20"/>
                <w:szCs w:val="20"/>
                <w:color w:val="auto"/>
              </w:rPr>
            </w:pPr>
            <w:r>
              <w:rPr>
                <w:rFonts w:ascii="Arial" w:cs="Arial" w:eastAsia="Arial" w:hAnsi="Arial"/>
                <w:sz w:val="19"/>
                <w:szCs w:val="19"/>
                <w:color w:val="auto"/>
              </w:rPr>
              <w:t>(15.1)%</w:t>
            </w:r>
          </w:p>
        </w:tc>
        <w:tc>
          <w:tcPr>
            <w:tcW w:w="1240" w:type="dxa"/>
            <w:vAlign w:val="bottom"/>
            <w:gridSpan w:val="2"/>
          </w:tcPr>
          <w:p>
            <w:pPr>
              <w:jc w:val="right"/>
              <w:ind w:right="60"/>
              <w:spacing w:after="0"/>
              <w:rPr>
                <w:sz w:val="20"/>
                <w:szCs w:val="20"/>
                <w:color w:val="auto"/>
              </w:rPr>
            </w:pPr>
            <w:r>
              <w:rPr>
                <w:rFonts w:ascii="Arial" w:cs="Arial" w:eastAsia="Arial" w:hAnsi="Arial"/>
                <w:sz w:val="19"/>
                <w:szCs w:val="19"/>
                <w:color w:val="auto"/>
              </w:rPr>
              <w:t>14.2%</w:t>
            </w:r>
          </w:p>
        </w:tc>
        <w:tc>
          <w:tcPr>
            <w:tcW w:w="1400" w:type="dxa"/>
            <w:vAlign w:val="bottom"/>
            <w:gridSpan w:val="3"/>
          </w:tcPr>
          <w:p>
            <w:pPr>
              <w:jc w:val="right"/>
              <w:ind w:right="140"/>
              <w:spacing w:after="0"/>
              <w:rPr>
                <w:sz w:val="20"/>
                <w:szCs w:val="20"/>
                <w:color w:val="auto"/>
              </w:rPr>
            </w:pPr>
            <w:r>
              <w:rPr>
                <w:rFonts w:ascii="Arial" w:cs="Arial" w:eastAsia="Arial" w:hAnsi="Arial"/>
                <w:sz w:val="19"/>
                <w:szCs w:val="19"/>
                <w:color w:val="auto"/>
              </w:rPr>
              <w:t>35.5%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5"/>
        </w:trPr>
        <w:tc>
          <w:tcPr>
            <w:tcW w:w="11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4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4" w:name="page95"/>
    <w:bookmarkEnd w:id="94"/>
    <w:p>
      <w:pPr>
        <w:ind w:right="40" w:firstLine="598"/>
        <w:spacing w:after="0" w:line="251" w:lineRule="auto"/>
        <w:rPr>
          <w:sz w:val="20"/>
          <w:szCs w:val="20"/>
          <w:color w:val="auto"/>
        </w:rPr>
      </w:pPr>
      <w:r>
        <w:rPr>
          <w:rFonts w:ascii="Arial" w:cs="Arial" w:eastAsia="Arial" w:hAnsi="Arial"/>
          <w:sz w:val="20"/>
          <w:szCs w:val="20"/>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herein under the heading “Capital” and in notes 2 and 20 of Notes to Financial Statements.</w:t>
      </w:r>
    </w:p>
    <w:p>
      <w:pPr>
        <w:spacing w:after="0" w:line="2" w:lineRule="exact"/>
        <w:rPr>
          <w:sz w:val="20"/>
          <w:szCs w:val="20"/>
          <w:color w:val="auto"/>
        </w:rPr>
      </w:pPr>
    </w:p>
    <w:p>
      <w:pPr>
        <w:ind w:right="60" w:firstLine="598"/>
        <w:spacing w:after="0" w:line="259" w:lineRule="auto"/>
        <w:rPr>
          <w:sz w:val="20"/>
          <w:szCs w:val="20"/>
          <w:color w:val="auto"/>
        </w:rPr>
      </w:pPr>
      <w:r>
        <w:rPr>
          <w:rFonts w:ascii="Arial" w:cs="Arial" w:eastAsia="Arial" w:hAnsi="Arial"/>
          <w:sz w:val="19"/>
          <w:szCs w:val="19"/>
          <w:color w:val="auto"/>
        </w:rPr>
        <w:t>The Company engages in limited trading account activities to meet the financial needs of customers and to fund the Company’s obligations under certain deferred compensation plans. Financial instruments utilized for trading account activities consist predominantly of interest rate contracts, such as interest rate swap agreements, and forward and futures contracts related to foreign currencies. The Company generally mitigates the foreign currency and interest rate risk associated with trading account activities by entering into offsetting trading positions that are also included in the trading account. The fair values of trading account positions associated with interest rate contracts and foreign currency and other option and futures contracts are presented in note 18 of Notes to Financial Statements. The amounts of gross and net trading account positions, as well as the type of trading account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account activities.</w:t>
      </w:r>
    </w:p>
    <w:p>
      <w:pPr>
        <w:spacing w:after="0" w:line="7"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The notional amounts of interest rate contracts entered into for trading account purposes totaled $48.6 billion at December 31, 2019 and $42.9 billion at December 31, 2018. The notional amounts of foreign currency and other option and futures contracts entered into for trading account purposes were $1.2 billion and $763 million at December 31, 2019 and 2018, respectively. Although the notional amounts of these contracts are not recorded in the consolidated balance sheet, the unsettled fair values of all financial instruments used for trading account activities are recorded in the consolidated balance sheet. The fair values of all trading account assets and liabilities were $470 million and $80 million, respectively, at December 31, 2019 and $186 million and $178 million, respectively, at December 31, 2018. The fair value asset and liability amounts at December 31, 2019 have been reduced by contractual settlements of $43 million and $281 million, respectively, and at December 31, 2018 by contractual settlements of $171 million and $50 million, respectively. The higher balance of trading account assets at December 31, 2019 was largely the result of increased values associated with interest rate swap agreements entered into with commercial customers that are not subject to periodic variation margin settlement payments. Included in trading account assets at each of December 31, 2019 and 2018 were $21 million of assets related to deferred compensation plans. Changes in the fair values of such assets are recorded as “trading account and foreign exchange gains” in the consolidated statement of income. Included in “other liabilities” in the consolidated balance sheet at each of December 31, 2019 and 2018 were $25 million of liabilities related to deferred compensation plans. Changes in the balances of such liabilities due to the valuation of allocated investment options to which the liabilities are indexed are recorded in “other costs of operations” in the consolidated statement of income. Also included in trading account assets were investments in mutual funds and other assets that the Company was required to hold under terms of certain non-qualified supplemental retirement and other benefit plans that were assumed by the Company in various acquisitions. Those assets totaled $28 million and $25 million at December 31, 2019 and December 31, 2018, respectively.</w:t>
      </w:r>
    </w:p>
    <w:p>
      <w:pPr>
        <w:spacing w:after="0" w:line="4" w:lineRule="exact"/>
        <w:rPr>
          <w:sz w:val="20"/>
          <w:szCs w:val="20"/>
          <w:color w:val="auto"/>
        </w:rPr>
      </w:pPr>
    </w:p>
    <w:p>
      <w:pPr>
        <w:ind w:right="60" w:firstLine="598"/>
        <w:spacing w:after="0" w:line="286"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account activities was not material, however, as previously noted, the Company is exposed to credit risk associated with counterparties to transactions related to the Company’s trading account activities. Additional information about the Company’s use of derivative financial instruments in its trading account activities is included in note 18 of Notes to Financial Statements.</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95" w:name="page96"/>
    <w:bookmarkEnd w:id="95"/>
    <w:p>
      <w:pPr>
        <w:spacing w:after="0"/>
        <w:rPr>
          <w:sz w:val="20"/>
          <w:szCs w:val="20"/>
          <w:color w:val="auto"/>
        </w:rPr>
      </w:pPr>
      <w:r>
        <w:rPr>
          <w:rFonts w:ascii="Arial" w:cs="Arial" w:eastAsia="Arial" w:hAnsi="Arial"/>
          <w:sz w:val="20"/>
          <w:szCs w:val="20"/>
          <w:b w:val="1"/>
          <w:bCs w:val="1"/>
          <w:color w:val="auto"/>
        </w:rPr>
        <w:t>Capital</w:t>
      </w:r>
    </w:p>
    <w:p>
      <w:pPr>
        <w:spacing w:after="0" w:line="29"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Shareholders’ equity was $15.7 billion at December 31, 2019 and represented 13.11% of total assets, compared with $15.5 billion or 12.87% at December 31, 2018 and $16.3 billion or 13.70% at December 31, 2017.</w:t>
      </w:r>
    </w:p>
    <w:p>
      <w:pPr>
        <w:spacing w:after="0" w:line="2" w:lineRule="exact"/>
        <w:rPr>
          <w:sz w:val="20"/>
          <w:szCs w:val="20"/>
          <w:color w:val="auto"/>
        </w:rPr>
      </w:pPr>
    </w:p>
    <w:p>
      <w:pPr>
        <w:ind w:right="40" w:firstLine="598"/>
        <w:spacing w:after="0" w:line="274" w:lineRule="auto"/>
        <w:rPr>
          <w:sz w:val="20"/>
          <w:szCs w:val="20"/>
          <w:color w:val="auto"/>
        </w:rPr>
      </w:pPr>
      <w:r>
        <w:rPr>
          <w:rFonts w:ascii="Arial" w:cs="Arial" w:eastAsia="Arial" w:hAnsi="Arial"/>
          <w:sz w:val="18"/>
          <w:szCs w:val="18"/>
          <w:color w:val="auto"/>
        </w:rPr>
        <w:t>Included in shareholders’ equity was preferred stock with financial statement carrying values of $1.25 billion at December 31, 2019 and $1.23 billion at December 31, 2018. On July 30, 2019, M&amp;T issued 40,000 shares of Series G Perpetual Fixed-Rate Reset Non-cumulative Preferred Stock, par value $1.00 per share and liquidation preference of $10,000 per share. Through July 31, 2024 holders of the Series G preferred stock are entitled to receive, only when, as and if declared by M&amp;T’s Board of Directors, non-cumulative cash dividends at an annual rate of 5.0%, payable semiannually in arrears. Subsequent to July 31, 2024 holders will be entitled to receive, only when, as and if declared by M&amp;T’s Board of Directors, non-cumulative cash dividends at an annual rate of the five-year U.S. Treasury Rate plus 3.174%, payable semiannually in arrears. The Series G preferred stock may be redeemed at M&amp;T’s option, in whole or in part, on any dividend payment date on or after August 1, 2024 or, in whole but not in part, at any time within 90 days following a regulatory capital treatment event whereby the full liquidation value of the shares no longer qualifies as “additional Tier 1 capital.” On August 30, 2019 M&amp;T redeemed the 230,000 shares of the Series A and 151,500 shares of the Series C Fixed Rate Cumulative Perpetual Preferred Stock, $1,000 liquidation preference per share, having received the approval of the Federal Reserve to redeem such shares after issuing the Series G preferred stock. Further information concerning M&amp;T’s preferred stock can be found in note 9 of Notes to Financial Statements.</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19"/>
          <w:szCs w:val="19"/>
          <w:color w:val="auto"/>
        </w:rPr>
        <w:t>Common shareholders’ equity totaled $14.5 billion, or $110.78 per share, at December 31, 2019, compared with $14.2 billion, or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$102.69 per share, at December 31, 2018 and $15.0 billion, or $100.03 per share, at December 31, 2017. Tangible equity per common share,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which excludes goodwill and core deposit and other intangible assets and applicable deferred tax balances, was $75.44 at December 31,</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2019, compared with $69.28 and $69.08 at December 31, 2018 and 2017, respectively. The Company’s ratio of tangible common equity to</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tangible assets was 8.55% at December 31, 2019, compared with 8.31% and 9.10% at December 31, 2018 and 2017, respectively.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total common shareholders’ equity and tangible common equity and total assets and tangible assets as of December 31,</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2019, 2018 and 2017 are presented in table 2. During 2019, 2018 and 2017, the ratio of average total shareholders’ equity to average total</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assets was 13.14%, 13.36% and 13.48%, respectively. The ratio of average common shareholders’ equity to average total assets was 12.08%,</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12.31% and 12.46% in 2019, 2018 and 2017, respectively.</w:t>
      </w:r>
    </w:p>
    <w:p>
      <w:pPr>
        <w:spacing w:after="0" w:line="7" w:lineRule="exact"/>
        <w:rPr>
          <w:sz w:val="20"/>
          <w:szCs w:val="20"/>
          <w:color w:val="auto"/>
        </w:rPr>
      </w:pPr>
    </w:p>
    <w:p>
      <w:pPr>
        <w:ind w:right="20" w:firstLine="598"/>
        <w:spacing w:after="0" w:line="274" w:lineRule="auto"/>
        <w:rPr>
          <w:sz w:val="20"/>
          <w:szCs w:val="20"/>
          <w:color w:val="auto"/>
        </w:rPr>
      </w:pPr>
      <w:r>
        <w:rPr>
          <w:rFonts w:ascii="Arial" w:cs="Arial" w:eastAsia="Arial" w:hAnsi="Arial"/>
          <w:sz w:val="18"/>
          <w:szCs w:val="18"/>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gains on investment securities reflected in shareholders’ equity, net of applicable tax effect, were $37 million, or $.29 per common share, at December 31, 2019, compared with net unrealized losses of $148 million, or $1.06 per common share, at December 31, 2018 and $44 million, or $.29 per common share, at December 31, 2017. Changes in unrealized gains and losses on investment securities are predominantly reflective of the impact of changes in interest rates on the values of such securities. Information about unrealized gains and losses as of December 31, 2019 and 2018 is included in note 2 of Notes to Financial Statements.</w:t>
      </w:r>
    </w:p>
    <w:p>
      <w:pPr>
        <w:spacing w:after="0" w:line="2" w:lineRule="exact"/>
        <w:rPr>
          <w:sz w:val="20"/>
          <w:szCs w:val="20"/>
          <w:color w:val="auto"/>
        </w:rPr>
      </w:pPr>
    </w:p>
    <w:p>
      <w:pPr>
        <w:ind w:right="40" w:firstLine="598"/>
        <w:spacing w:after="0" w:line="251" w:lineRule="auto"/>
        <w:rPr>
          <w:sz w:val="20"/>
          <w:szCs w:val="20"/>
          <w:color w:val="auto"/>
        </w:rPr>
      </w:pPr>
      <w:r>
        <w:rPr>
          <w:rFonts w:ascii="Arial" w:cs="Arial" w:eastAsia="Arial" w:hAnsi="Arial"/>
          <w:sz w:val="20"/>
          <w:szCs w:val="20"/>
          <w:color w:val="auto"/>
        </w:rPr>
        <w:t>Reflected in the carrying amount of available-for-sale investment securities at December 31, 2019 were pre-tax effect unrealized gains of $91 million on securities with an amortized cost of $4.0 billion and pre-tax effect unrealized losses of $30 million on securities with an amortized cost of</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380"/>
          </w:cols>
          <w:pgMar w:left="240" w:top="332" w:right="279" w:bottom="1440" w:gutter="0" w:footer="0" w:header="0"/>
        </w:sectPr>
      </w:pPr>
    </w:p>
    <w:bookmarkStart w:id="96" w:name="page97"/>
    <w:bookmarkEnd w:id="96"/>
    <w:p>
      <w:pPr>
        <w:ind w:right="440"/>
        <w:spacing w:after="0" w:line="256" w:lineRule="auto"/>
        <w:rPr>
          <w:sz w:val="20"/>
          <w:szCs w:val="20"/>
          <w:color w:val="auto"/>
        </w:rPr>
      </w:pPr>
      <w:r>
        <w:rPr>
          <w:rFonts w:ascii="Arial" w:cs="Arial" w:eastAsia="Arial" w:hAnsi="Arial"/>
          <w:sz w:val="20"/>
          <w:szCs w:val="20"/>
          <w:color w:val="auto"/>
        </w:rPr>
        <w:t>$2.2 billion. Information concerning the Company’s fair valuations of investment securities is provided in note 20 of Notes to Financial Statements.</w:t>
      </w:r>
    </w:p>
    <w:p>
      <w:pPr>
        <w:ind w:right="20" w:firstLine="598"/>
        <w:spacing w:after="0" w:line="259" w:lineRule="auto"/>
        <w:rPr>
          <w:sz w:val="20"/>
          <w:szCs w:val="20"/>
          <w:color w:val="auto"/>
        </w:rPr>
      </w:pPr>
      <w:r>
        <w:rPr>
          <w:rFonts w:ascii="Arial" w:cs="Arial" w:eastAsia="Arial" w:hAnsi="Arial"/>
          <w:sz w:val="19"/>
          <w:szCs w:val="19"/>
          <w:color w:val="auto"/>
        </w:rPr>
        <w:t>Each reporting period the Company reviews its investment securities for other-than-temporary impairment. For debt securities, the Company analyzes the creditworthiness of the issuer or reviews the credit performance of the underlying collateral supporting the bond. For debt securities backed by pools of loans, such as privately issued mortgage-backed securities, the Company estimates the cash flows of the underlying loan collateral using forward-looking assumptions for default rates, loss severities and prepayment speeds. Estimated collateral cash flows are then utilized to estimate bond-specific cash flows to determine the ultimate collectibility of the bond. If the present value of the cash flows indicates that the Company should not expect to recover the entire amortized cost basis of a bond or if the Company intends to sell the bond or it more likely than not will be required to sell the bond before recovery of its amortized cost basis, an other-than-temporary impairment loss is recognized. If an other-than-temporary impairment loss is deemed to have occurred, the investment security’s cost basis is adjusted, as appropriate for the circumstances.</w:t>
      </w:r>
    </w:p>
    <w:p>
      <w:pPr>
        <w:spacing w:after="0" w:line="6" w:lineRule="exact"/>
        <w:rPr>
          <w:sz w:val="20"/>
          <w:szCs w:val="20"/>
          <w:color w:val="auto"/>
        </w:rPr>
      </w:pPr>
    </w:p>
    <w:p>
      <w:pPr>
        <w:ind w:right="40" w:firstLine="598"/>
        <w:spacing w:after="0" w:line="259" w:lineRule="auto"/>
        <w:rPr>
          <w:sz w:val="20"/>
          <w:szCs w:val="20"/>
          <w:color w:val="auto"/>
        </w:rPr>
      </w:pPr>
      <w:r>
        <w:rPr>
          <w:rFonts w:ascii="Arial" w:cs="Arial" w:eastAsia="Arial" w:hAnsi="Arial"/>
          <w:sz w:val="19"/>
          <w:szCs w:val="19"/>
          <w:color w:val="auto"/>
        </w:rPr>
        <w:t>As of December 31, 2019, based on a review of each of the securities in the investment securities portfolio, the Company concluded that the declines in the values of any securities containing an unrealized loss were temporary and that any additional other-than-temporary impairment charges were not appropriate. At December 31, 2019, the Company did not intend to sell nor is it anticipated that it would be required to sell any of its impaired securities, that is, where fair value is less than the cost basis of the security. The Company intends to continue to closely monitor the performance of its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20 of Notes to Financial Statements.</w:t>
      </w:r>
    </w:p>
    <w:p>
      <w:pPr>
        <w:spacing w:after="0" w:line="9" w:lineRule="exact"/>
        <w:rPr>
          <w:sz w:val="20"/>
          <w:szCs w:val="20"/>
          <w:color w:val="auto"/>
        </w:rPr>
      </w:pPr>
    </w:p>
    <w:p>
      <w:pPr>
        <w:ind w:firstLine="598"/>
        <w:spacing w:after="0" w:line="261" w:lineRule="auto"/>
        <w:rPr>
          <w:sz w:val="20"/>
          <w:szCs w:val="20"/>
          <w:color w:val="auto"/>
        </w:rPr>
      </w:pPr>
      <w:r>
        <w:rPr>
          <w:rFonts w:ascii="Arial" w:cs="Arial" w:eastAsia="Arial" w:hAnsi="Arial"/>
          <w:sz w:val="19"/>
          <w:szCs w:val="19"/>
          <w:color w:val="auto"/>
        </w:rPr>
        <w:t>The Company assessed impairment losses on privately issued mortgage-backed securities in the held-to-maturity portfolio by performing internal modeling to estimate bond-specific cash flows considering recent performance of the mortgage loan collateral and utilizing assumptions about future defaults and loss severity. These bond-specific cash flows also reflect the placement of the bond in the overall securitization structure and the remaining subordination levels. In total, at December 31, 2019 and 2018, the Company had in its held-to-maturity portfolio privately issued mortgage-backed securities with an amortized cost basis of $93 million and $113 million, respectively, and a fair value of $87 million and $103 million, respectively. At December 31, 2019, 81% of the mortgage-backed securities were in the most senior tranche of the securitization structure with 9% being independently rated as investment grade. The mortgage-backed securities are generally collateralized by residential and small-balance commercial real estate loans originated between 2004 and 2008 and had a weighted-average credit enhancement of 11% at December 31, 2019, calculated by dividing the remaining unpaid principal balance of bonds subordinate to the bonds owned by the Company plus any overcollateralization remaining in the securitization structure by the remaining unpaid principal balance of all bonds in the securitization structure. The weighted-average default percentage and loss severity assumptions utilized in the Company’s internal modeling were 31% and 66%, respectively. Given the terms of the securitization structure, some of the bonds held by the Company may defer interest payments in certain circumstances, but after considering the repayment structure and estimated future collateral cash flows of each individual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7" w:name="page98"/>
    <w:bookmarkEnd w:id="97"/>
    <w:p>
      <w:pPr>
        <w:ind w:right="160"/>
        <w:spacing w:after="0" w:line="253" w:lineRule="auto"/>
        <w:rPr>
          <w:sz w:val="20"/>
          <w:szCs w:val="20"/>
          <w:color w:val="auto"/>
        </w:rPr>
      </w:pPr>
      <w:r>
        <w:rPr>
          <w:rFonts w:ascii="Arial" w:cs="Arial" w:eastAsia="Arial" w:hAnsi="Arial"/>
          <w:sz w:val="20"/>
          <w:szCs w:val="20"/>
          <w:color w:val="auto"/>
        </w:rPr>
        <w:t>senior and subordinate tranche bond, the Company has concluded that as of December 31, 2019 those privately issued mortgage-backed securities were not other-than-temporarily impaired. Nevertheless, it is possible that adverse changes in the future performance of mortgage loan collateral underlying such securities could impact the Company’s conclusions.</w:t>
      </w:r>
    </w:p>
    <w:p>
      <w:pPr>
        <w:ind w:left="600"/>
        <w:spacing w:after="0"/>
        <w:rPr>
          <w:sz w:val="20"/>
          <w:szCs w:val="20"/>
          <w:color w:val="auto"/>
        </w:rPr>
      </w:pPr>
      <w:r>
        <w:rPr>
          <w:rFonts w:ascii="Arial" w:cs="Arial" w:eastAsia="Arial" w:hAnsi="Arial"/>
          <w:sz w:val="19"/>
          <w:szCs w:val="19"/>
          <w:color w:val="auto"/>
        </w:rPr>
        <w:t>Adjustments to reflect the funded status of defined benefit pension and other postretirement plans, net of applicable tax effect,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reduced accumulated other comprehensive income by $342 million, or $2.62 per common share, at December 31, 2019, $261 million, or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$1.89 per common share, at December 31, 2018 and $305 million, or $2.03 per common share, at December 31, 2017. Information about the</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funded status of the Company’s pension and other postretirement benefit plans is included in note 12 of Notes to Financial Statements.</w:t>
      </w:r>
    </w:p>
    <w:p>
      <w:pPr>
        <w:spacing w:after="0" w:line="18" w:lineRule="exact"/>
        <w:rPr>
          <w:sz w:val="20"/>
          <w:szCs w:val="20"/>
          <w:color w:val="auto"/>
        </w:rPr>
      </w:pPr>
    </w:p>
    <w:p>
      <w:pPr>
        <w:ind w:right="420" w:firstLine="598"/>
        <w:spacing w:after="0" w:line="246" w:lineRule="auto"/>
        <w:rPr>
          <w:sz w:val="20"/>
          <w:szCs w:val="20"/>
          <w:color w:val="auto"/>
        </w:rPr>
      </w:pPr>
      <w:r>
        <w:rPr>
          <w:rFonts w:ascii="Arial" w:cs="Arial" w:eastAsia="Arial" w:hAnsi="Arial"/>
          <w:sz w:val="20"/>
          <w:szCs w:val="20"/>
          <w:color w:val="auto"/>
        </w:rPr>
        <w:t>Pursuant to previously approved capital plans and authorizations by M&amp;T’s Board of Directors, during 2019 M&amp;T repurchased 8,257,000 common shares for $1.3 billion. During 2018, M&amp;T repurchased 12,295,817 common shares for $2.2 billion. In 2017, M&amp;T repurchased 7,369,105 common shares for $1.2 billion.</w:t>
      </w:r>
    </w:p>
    <w:p>
      <w:pPr>
        <w:spacing w:after="0" w:line="2"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During the fourth quarter of 2019, M&amp;T’s Board of Directors authorized an increase in the quarterly common stock dividend to $1.10 per common share from the previous rate of $1.00 per common share. During 2018, M&amp;T’s Board of Directors authorized increases in the quarterly common stock dividend to $.80 per common share in the second quarter from the previous rate of $.75 per common share and to $1.00 per common share in the third quarter. Cash dividends declared on M&amp;T’s common stock totaled $552 million in 2019, compared with $511 million and $457 million in 2018 and 2017, respectively. Dividends per common share totaled $4.10 in 2019, compared with $3.55 and $3.00 in 2018 and 2017, respectively. Dividends of $72 million in 2019 and $73 million in each of 2018 and 2017 were declared on preferred stock in accordance with the terms of each series.</w:t>
      </w:r>
    </w:p>
    <w:p>
      <w:pPr>
        <w:spacing w:after="0" w:line="5" w:lineRule="exact"/>
        <w:rPr>
          <w:sz w:val="20"/>
          <w:szCs w:val="20"/>
          <w:color w:val="auto"/>
        </w:rPr>
      </w:pPr>
    </w:p>
    <w:p>
      <w:pPr>
        <w:ind w:right="200" w:firstLine="598"/>
        <w:spacing w:after="0" w:line="246" w:lineRule="auto"/>
        <w:rPr>
          <w:sz w:val="20"/>
          <w:szCs w:val="20"/>
          <w:color w:val="auto"/>
        </w:rPr>
      </w:pPr>
      <w:r>
        <w:rPr>
          <w:rFonts w:ascii="Arial" w:cs="Arial" w:eastAsia="Arial" w:hAnsi="Arial"/>
          <w:sz w:val="20"/>
          <w:szCs w:val="20"/>
          <w:color w:val="auto"/>
        </w:rPr>
        <w:t>M&amp;T and its subsidiary banks are required to comply with applicable capital adequacy standards established by the federal banking agencies. Pursuant to those regulations, the minimum capital ratios are as follows:</w:t>
      </w:r>
    </w:p>
    <w:p>
      <w:pPr>
        <w:spacing w:after="0" w:line="2" w:lineRule="exact"/>
        <w:rPr>
          <w:sz w:val="20"/>
          <w:szCs w:val="20"/>
          <w:color w:val="auto"/>
        </w:rPr>
      </w:pPr>
    </w:p>
    <w:p>
      <w:pPr>
        <w:ind w:left="1180" w:hanging="584"/>
        <w:spacing w:after="0"/>
        <w:tabs>
          <w:tab w:leader="none" w:pos="11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4.5% Common Equity Tier 1 (“CET1”) to risk-weighted assets (each as defined in the capital regulations);</w:t>
      </w:r>
    </w:p>
    <w:p>
      <w:pPr>
        <w:spacing w:after="0" w:line="6" w:lineRule="exact"/>
        <w:rPr>
          <w:rFonts w:ascii="Arial" w:cs="Arial" w:eastAsia="Arial" w:hAnsi="Arial"/>
          <w:sz w:val="20"/>
          <w:szCs w:val="20"/>
          <w:color w:val="auto"/>
        </w:rPr>
      </w:pPr>
    </w:p>
    <w:p>
      <w:pPr>
        <w:ind w:left="1180" w:right="700" w:hanging="584"/>
        <w:spacing w:after="0" w:line="246" w:lineRule="auto"/>
        <w:tabs>
          <w:tab w:leader="none" w:pos="11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6.0% Tier 1 capital (that is, CET1 plus Additional Tier 1 capital) to risk-weighted assets (each as defined in the capital regulations);</w:t>
      </w:r>
    </w:p>
    <w:p>
      <w:pPr>
        <w:spacing w:after="0" w:line="1" w:lineRule="exact"/>
        <w:rPr>
          <w:rFonts w:ascii="Arial" w:cs="Arial" w:eastAsia="Arial" w:hAnsi="Arial"/>
          <w:sz w:val="20"/>
          <w:szCs w:val="20"/>
          <w:color w:val="auto"/>
        </w:rPr>
      </w:pPr>
    </w:p>
    <w:p>
      <w:pPr>
        <w:ind w:left="1180" w:right="20" w:hanging="584"/>
        <w:spacing w:after="0" w:line="246" w:lineRule="auto"/>
        <w:tabs>
          <w:tab w:leader="none" w:pos="11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8.0% Total capital (that is, Tier 1 capital plus Tier 2 capital) to risk-weighted assets (each as defined in the capital regulations); and</w:t>
      </w:r>
    </w:p>
    <w:p>
      <w:pPr>
        <w:spacing w:after="0" w:line="1" w:lineRule="exact"/>
        <w:rPr>
          <w:rFonts w:ascii="Arial" w:cs="Arial" w:eastAsia="Arial" w:hAnsi="Arial"/>
          <w:sz w:val="20"/>
          <w:szCs w:val="20"/>
          <w:color w:val="auto"/>
        </w:rPr>
      </w:pPr>
    </w:p>
    <w:p>
      <w:pPr>
        <w:ind w:left="1180" w:right="300" w:hanging="584"/>
        <w:spacing w:after="0" w:line="246" w:lineRule="auto"/>
        <w:tabs>
          <w:tab w:leader="none" w:pos="11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4.0% Tier 1 capital to average consolidated assets as reported on consolidated financial statements (known as the “leverage ratio”), as defined in the capital regulations.</w:t>
      </w:r>
    </w:p>
    <w:p>
      <w:pPr>
        <w:spacing w:after="0" w:line="2" w:lineRule="exact"/>
        <w:rPr>
          <w:sz w:val="20"/>
          <w:szCs w:val="20"/>
          <w:color w:val="auto"/>
        </w:rPr>
      </w:pPr>
    </w:p>
    <w:p>
      <w:pPr>
        <w:ind w:right="20" w:firstLine="598"/>
        <w:spacing w:after="0" w:line="246" w:lineRule="auto"/>
        <w:rPr>
          <w:sz w:val="20"/>
          <w:szCs w:val="20"/>
          <w:color w:val="auto"/>
        </w:rPr>
      </w:pPr>
      <w:r>
        <w:rPr>
          <w:rFonts w:ascii="Arial" w:cs="Arial" w:eastAsia="Arial" w:hAnsi="Arial"/>
          <w:sz w:val="20"/>
          <w:szCs w:val="20"/>
          <w:color w:val="auto"/>
        </w:rPr>
        <w:t>In addition, capital regulations require a “capital conservation buffer” of 2.5% composed entirely of CET1 on top of these minimum risk-weighted asset ratios. The regulatory capital amounts and ratios of M&amp;T and its bank subsidiaries as of December 31, 2019 are presented in note 23 of Notes to Financial Statements. A detailed discussion of the regulatory capital rules is included in Part I, Item 1 of this Form 10-K under the heading “Capital Requirements.”</w:t>
      </w:r>
    </w:p>
    <w:p>
      <w:pPr>
        <w:spacing w:after="0" w:line="3" w:lineRule="exact"/>
        <w:rPr>
          <w:sz w:val="20"/>
          <w:szCs w:val="20"/>
          <w:color w:val="auto"/>
        </w:rPr>
      </w:pPr>
    </w:p>
    <w:p>
      <w:pPr>
        <w:ind w:firstLine="598"/>
        <w:spacing w:after="0" w:line="281" w:lineRule="auto"/>
        <w:rPr>
          <w:sz w:val="20"/>
          <w:szCs w:val="20"/>
          <w:color w:val="auto"/>
        </w:rPr>
      </w:pPr>
      <w:r>
        <w:rPr>
          <w:rFonts w:ascii="Arial" w:cs="Arial" w:eastAsia="Arial" w:hAnsi="Arial"/>
          <w:sz w:val="18"/>
          <w:szCs w:val="18"/>
          <w:color w:val="auto"/>
        </w:rPr>
        <w:t>The Company is subject to the comprehensive regulatory framework applicable to bank and financial holding companies and their subsidiaries, which includes regular examinations by a number of federal regulators. Regulation of financial institutions such as M&amp;T and its subsidiaries is intended primarily for the protection of depositors, the 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8" w:name="page99"/>
    <w:bookmarkEnd w:id="98"/>
    <w:p>
      <w:pPr>
        <w:ind w:right="220"/>
        <w:spacing w:after="0" w:line="332" w:lineRule="auto"/>
        <w:rPr>
          <w:sz w:val="20"/>
          <w:szCs w:val="20"/>
          <w:color w:val="auto"/>
        </w:rPr>
      </w:pPr>
      <w:r>
        <w:rPr>
          <w:rFonts w:ascii="Arial" w:cs="Arial" w:eastAsia="Arial" w:hAnsi="Arial"/>
          <w:sz w:val="18"/>
          <w:szCs w:val="18"/>
          <w:color w:val="auto"/>
        </w:rPr>
        <w:t>of which could have a material effect on the business, financial condition or results of operations of the Company and in M&amp;T’s ability to pay dividends. For additional information concerning this comprehensive regulatory framework, refer to Part I, Item 1 of this Form 10-K.</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Results</w:t>
      </w:r>
    </w:p>
    <w:p>
      <w:pPr>
        <w:spacing w:after="0" w:line="2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Net income in the fourth quarter of 2019 was $493 million, compared with $546 million in the year-earlier quarter. Diluted and basic earnings per common share were each $3.60 in the final three months of 2019, compared with diluted and basic earnings per common share of $3.76 in the final three months of 2018. The annualized rates of return on average assets and average common shareholders’ equity for the final quarter of 2019 were 1.60% and 12.95%, respectively, compared with 1.84% and 14.80%, respectively, in the corresponding quarter of 2018.</w:t>
      </w:r>
    </w:p>
    <w:p>
      <w:pPr>
        <w:spacing w:after="0" w:line="4" w:lineRule="exact"/>
        <w:rPr>
          <w:sz w:val="20"/>
          <w:szCs w:val="20"/>
          <w:color w:val="auto"/>
        </w:rPr>
      </w:pPr>
    </w:p>
    <w:p>
      <w:pPr>
        <w:ind w:right="100" w:firstLine="598"/>
        <w:spacing w:after="0" w:line="259" w:lineRule="auto"/>
        <w:rPr>
          <w:sz w:val="20"/>
          <w:szCs w:val="20"/>
          <w:color w:val="auto"/>
        </w:rPr>
      </w:pPr>
      <w:r>
        <w:rPr>
          <w:rFonts w:ascii="Arial" w:cs="Arial" w:eastAsia="Arial" w:hAnsi="Arial"/>
          <w:sz w:val="19"/>
          <w:szCs w:val="19"/>
          <w:color w:val="auto"/>
        </w:rPr>
        <w:t>Net operating income during 2019’s fourth quarter was $496 million, compared with $550 million in the year-earlier quarter. Diluted net operating earnings per common share were $3.62 and $3.79 in the fourth quarters of 2019 and 2018, respectively. The annualized net operating returns on average tangible assets and average tangible common equity in the final three months of 2019 were 1.67% and 19.08%, respectively, compared with 1.93% and 22.16%, respectively, in the similar 2018 period. Reconciliations of GAAP results with non-GAAP results for the quarterly periods of 2019 and 2018 are provided in table 25.</w:t>
      </w:r>
    </w:p>
    <w:p>
      <w:pPr>
        <w:spacing w:after="0" w:line="4" w:lineRule="exact"/>
        <w:rPr>
          <w:sz w:val="20"/>
          <w:szCs w:val="20"/>
          <w:color w:val="auto"/>
        </w:rPr>
      </w:pPr>
    </w:p>
    <w:p>
      <w:pPr>
        <w:ind w:right="20" w:firstLine="598"/>
        <w:spacing w:after="0" w:line="260" w:lineRule="auto"/>
        <w:rPr>
          <w:sz w:val="20"/>
          <w:szCs w:val="20"/>
          <w:color w:val="auto"/>
        </w:rPr>
      </w:pPr>
      <w:r>
        <w:rPr>
          <w:rFonts w:ascii="Arial" w:cs="Arial" w:eastAsia="Arial" w:hAnsi="Arial"/>
          <w:sz w:val="19"/>
          <w:szCs w:val="19"/>
          <w:color w:val="auto"/>
        </w:rPr>
        <w:t>Taxable-equivalent net interest income aggregated $1.01 billion in the final quarter of 2019, compared with $1.06 billion in the year-earlier period. That decline was predominantly attributable to a 28 basis point narrowing of the net interest margin to 3.64% in the fourth quarter of 2019 from 3.92% in the final three months of 2018. Partially offsetting the impact of the lower net interest margin was a 3% rise in average earning assets, from $107.8 billion in 2018 to $110.6 billion in 2019. That growth reflects higher average balances of loans and leases, interest-bearing deposits at the Federal Reserve Bank of New York and agreements to resell investment securities, offset by lower average balances of investment securities. Average balances of commercial loans and leases were $23.5 billion in the recent quarter, up $1.2 billion or 5% from $22.4 billion in the fourth quarter of 2018. Average commercial real estate loan balances aggregated $35.0 billion in the final quarter of 2019, up $1.5 billion or 4% from $33.6 billion in the year-earlier quarter. Included in those totals were average balances of loans held for sale of $201 million in the final three months of 2019, compared with $252 million in the similar period of 2018. Average residential real estate loan balances declined $1.1 billion to $16.3 billion in the fourth quarter of 2019 from $17.4 billion in the year-earlier quarter, reflecting ongoing repayments of loans obtained in the acquisition of Hudson City. Included in the residential real estate loan portfolio were loans held for sale that averaged $382 million and $229 million in the final quarters of 2019 and 2018, respectively. Consumer loans averaged $15.3 billion in the last three months of 2019, $1.4 billion or 10% higher than in the corresponding 2018 quarter. That increase resulted from higher average balances of automobile and recreational finance loans. Total loans and leases at December 31, 2019 rose $2.5 billion to $90.9 billion from $88.5 billion at December 31, 2018. Higher commercial loans, commercial real estate loans and consumer loans were partially offset by lower residential real estate loans, reflecting ongoing repayments of loans obtained in the Hudson City acquisition. The net interest spread narrowed in the fourth quarter of 2019 to 3.30%, down 27 basis points from 3.57% in the corresponding quarter of 2018. The yield on earning assets in the last three months of 2019 was 4.27%, down 24 basis points from the year-earlier quarter. That decline reflects the impact of decreases in short-term interest rates initiated by the Federal Reserve in 2019 that contributed to lower yields on loans and leases. The rate paid on interest-bearing liabilities in the 2019’s final quarter was .97%, up 3 basis points from .94% in the similar quarter of 2018. That increase was due, in part, to higher interest rates on deposit accounts associated with the residential mortgage servicing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9" w:name="page100"/>
    <w:bookmarkEnd w:id="99"/>
    <w:p>
      <w:pPr>
        <w:ind w:right="140"/>
        <w:spacing w:after="0" w:line="253" w:lineRule="auto"/>
        <w:rPr>
          <w:sz w:val="20"/>
          <w:szCs w:val="20"/>
          <w:color w:val="auto"/>
        </w:rPr>
      </w:pPr>
      <w:r>
        <w:rPr>
          <w:rFonts w:ascii="Arial" w:cs="Arial" w:eastAsia="Arial" w:hAnsi="Arial"/>
          <w:sz w:val="20"/>
          <w:szCs w:val="20"/>
          <w:color w:val="auto"/>
        </w:rPr>
        <w:t>business. The contribution of net interest-free funds to the Company’s net interest margin was .34% and .35% in the fourth quarters of 2019 and 2018, respectively. As a result, the Company’s net interest margin narrowed to 3.64% in the fourth quarter of 2019 from 3.92% in the year-earlier period.</w:t>
      </w:r>
    </w:p>
    <w:p>
      <w:pPr>
        <w:ind w:right="80" w:firstLine="598"/>
        <w:spacing w:after="0" w:line="246" w:lineRule="auto"/>
        <w:rPr>
          <w:sz w:val="20"/>
          <w:szCs w:val="20"/>
          <w:color w:val="auto"/>
        </w:rPr>
      </w:pPr>
      <w:r>
        <w:rPr>
          <w:rFonts w:ascii="Arial" w:cs="Arial" w:eastAsia="Arial" w:hAnsi="Arial"/>
          <w:sz w:val="20"/>
          <w:szCs w:val="20"/>
          <w:color w:val="auto"/>
        </w:rPr>
        <w:t>The provision for credit losses was $54 million for the quarter ended December 31, 2019, compared with $38 million in the year-earlier period. Net loan charge-offs were $41 million in the last three months of 2019, representing an annualized .18% of average loans and leases outstanding, compared with $38 million or .17% during the similar 2018 period. Net charge-offs in the fourth quarters of 2019 and 2018 included: net charge-offs of residential real estate loans of less than $1 million in 2019 and $2 million in 2018; net charge-offs of commercial real estate loans of less than $1 million in 2019, compared with net recoveries of less than $1 million in 2018; net charge-offs of commercial loans of $14 million in 2019 and $10 million in 2018; and net charge-offs of consumer loans of $27 million in each of 2019 and 2018.</w:t>
      </w:r>
    </w:p>
    <w:p>
      <w:pPr>
        <w:spacing w:after="0" w:line="5"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Other income rose to $521 million in the fourth quarter of 2019 from $481 million in the similar 2018 period. That improvement resulted from significantly higher residential mortgage banking revenues and trust income, partially offset by unrealized losses on investment securities. The rise in residential mortgage banking revenues reflects higher origination and servicing income. The higher trust income was largely due to increased revenues from the ICS businesses.</w:t>
      </w:r>
    </w:p>
    <w:p>
      <w:pPr>
        <w:spacing w:after="0" w:line="3"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Other expense totaled $824 million during the recent quarter, compared with $802 million in the final quarter of 2018. Included in such amounts are expenses considered to be “nonoperating” in nature consisting of amortization of core deposit and other intangible assets of $4 million and $5 million during the quarters ended December 31, 2019 and 2018, respectively. Exclusive of those nonoperating expenses, noninterest operating expenses were $819 million in the fourth quarter of 2019 and $797 million in the corresponding 2018</w:t>
      </w:r>
    </w:p>
    <w:p>
      <w:pPr>
        <w:spacing w:after="0" w:line="1"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quarter. Significant factors contributing to the higher level of noninterest operating expenses in 2019’s final quarter as compared with the year-earlier quarter were increased costs for salaries and employee benefits and outside data processing and software, partially offset by lower contributions to The M&amp;T Charitable Foundation and a reduction of the valuation allowance for capitalized residential mortgage servicing rights. The Company’s efficiency ratio during the final quarters of 2019 and 2018 was 53.1% and 51.7%, respectively. Table 25 includes a reconciliation of other expense to noninterest operating expense and the calculation of the efficiency ratio for each of the quarters of 2019 and 2018.</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Information</w:t>
      </w:r>
    </w:p>
    <w:p>
      <w:pPr>
        <w:spacing w:after="0" w:line="29"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In accordance with GAAP, the Company’s reportable segments have been determined based upon its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4" w:lineRule="exact"/>
        <w:rPr>
          <w:sz w:val="20"/>
          <w:szCs w:val="20"/>
          <w:color w:val="auto"/>
        </w:rPr>
      </w:pPr>
    </w:p>
    <w:p>
      <w:pPr>
        <w:ind w:right="40" w:firstLine="598"/>
        <w:spacing w:after="0" w:line="264" w:lineRule="auto"/>
        <w:rPr>
          <w:sz w:val="20"/>
          <w:szCs w:val="20"/>
          <w:color w:val="auto"/>
        </w:rPr>
      </w:pPr>
      <w:r>
        <w:rPr>
          <w:rFonts w:ascii="Arial" w:cs="Arial" w:eastAsia="Arial" w:hAnsi="Arial"/>
          <w:sz w:val="19"/>
          <w:szCs w:val="19"/>
          <w:color w:val="auto"/>
        </w:rPr>
        <w:t>The financial information of the Company’s segments was compiled utilizing the accounting policies described in note 22 of Notes to Financial Statements. The management accounting policies and processes utilized in compiling segment financial information are highly subjective and, unlike financial accounting, are not based on authoritative guidance similar to GAAP. As a result, reported segments and the financial information of the reported segments are not necessarily comparable with similar information reported by other financial institutions. Furthermore, changes in management structure or allocation methodologies and procedures may result in changes in reported segment financial data. Financial information about the Company’s segments is presented in note 22 of Notes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100" w:name="page101"/>
    <w:bookmarkEnd w:id="100"/>
    <w:p>
      <w:pPr>
        <w:ind w:right="400"/>
        <w:spacing w:after="0" w:line="256" w:lineRule="auto"/>
        <w:rPr>
          <w:sz w:val="20"/>
          <w:szCs w:val="20"/>
          <w:color w:val="auto"/>
        </w:rPr>
      </w:pPr>
      <w:r>
        <w:rPr>
          <w:rFonts w:ascii="Arial" w:cs="Arial" w:eastAsia="Arial" w:hAnsi="Arial"/>
          <w:sz w:val="20"/>
          <w:szCs w:val="20"/>
          <w:color w:val="auto"/>
        </w:rPr>
        <w:t>to Financial Statements. Each reportable segment benefited from a lower corporate Federal income tax rate in 2018 and 2019 due to the enactment of the Tax Act, as compared with 2017.</w:t>
      </w:r>
    </w:p>
    <w:p>
      <w:pPr>
        <w:ind w:firstLine="598"/>
        <w:spacing w:after="0" w:line="274" w:lineRule="auto"/>
        <w:rPr>
          <w:sz w:val="20"/>
          <w:szCs w:val="20"/>
          <w:color w:val="auto"/>
        </w:rPr>
      </w:pPr>
      <w:r>
        <w:rPr>
          <w:rFonts w:ascii="Arial" w:cs="Arial" w:eastAsia="Arial" w:hAnsi="Arial"/>
          <w:sz w:val="18"/>
          <w:szCs w:val="18"/>
          <w:color w:val="auto"/>
        </w:rPr>
        <w:t>The Business Banking segment provides a wide range of services to small businesses and professionals within markets served by the Company through the Company’s branch network, business banking centers and other delivery channels such as telephone banking, Internet banking and automated teller machines. Services and products offered by this segment include various business loans and leases, including loans guaranteed by the Small Business Administration, business credit cards, deposit products, and financial services such as cash management, payroll and direct deposit, merchant credit card and letters of credit. Net income of the Business Banking segment aggregated $168 million in each of 2019 and 2018. Higher net interest income of $17 million in 2019 was largely offset by increases of $11 million in centrally-allocated costs associated with data processing, risk management and other support services provided to the Business Banking segment and $6 million in the provision for credit losses, primarily due to higher net charge-offs. The higher net interest income reflected a six basis point widening of the net interest margin on deposits, higher average deposit balances of $192 million and higher average outstanding loan balances of $151 million. This segment recorded net income of $116 million in 2017. The 45% rise in net income in 2018 as compared with 2017 resulted from a $41 million increase in net interest income, a $5 million decrease in the provision for credit losses, due to lower net charge-offs, and the lower income tax rate in 2018. The growth in net interest income reflected a widening of the net interest margin on deposits of 42 basis points, offset, in part, by a 14 basis point narrowing of the net interest margin on loans. Those favorable factors were partially offset by a $5 million increase in centrally-allocated costs, largely associated with data processing, risk management and other support services provided to the Business Banking segment.</w:t>
      </w:r>
    </w:p>
    <w:p>
      <w:pPr>
        <w:spacing w:after="0" w:line="3"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The Commercial Banking segment provides a wide range of credit products and banking services for middle-market and large commercial customers, mainly within the markets served by the Company. Services provided by this segment include commercial lending and leasing, letters of credit, deposit products, and cash management services. The Commercial Banking segment recorded net income of $520 million in 2019, compared with $539 million in 2018. The most significant factors contributing to the 3% decline in net income from 2018 to 2019 included an $18 million increase in centrally-allocated costs, largely associated with data processing, risk management and other support services provided to the Commercial Banking segment, a higher provision for credit losses of $17 million primarily due to lower recoveries of previously charged-off loans, and higher personnel-related costs of $6 million. Partially offsetting those unfavorable factors were lower FDIC assessments of $11 million and a $7 million rise in net interest income that reflected higher average outstanding loan balances of $1.4 billion and a five basis point widening of the net interest margin on deposits offset, in part, by a narrowing of the net interest margin on loans of seven basis points and lower average deposit balances of $612 million. Net income for the Commercial Banking segment totaled $437 million in 2017. The improvement in net income in 2018 as compared with 2017 was predominantly driven by the lower income tax rate in 2018, a $13 million increase in net interest income, lower FDIC assessments of $8 million and a $5 million increase in merchant discount and credit card fees. The increased net interest income reflected a 59 basis point expansion of the net interest margin on deposits, partially offset by a seven basis point narrowing of the net interest margin on loans and lower average deposit balances of $2.2 billion. Offsetting the favorable factors noted above were a $25 million increase in centrally-allocated costs, largely associated with data processing, risk management and other support services provided to the Commercial Banking segment, and higher personnel-related costs of $5 million.</w:t>
      </w:r>
    </w:p>
    <w:p>
      <w:pPr>
        <w:spacing w:after="0" w:line="12" w:lineRule="exact"/>
        <w:rPr>
          <w:sz w:val="20"/>
          <w:szCs w:val="20"/>
          <w:color w:val="auto"/>
        </w:rPr>
      </w:pPr>
    </w:p>
    <w:p>
      <w:pPr>
        <w:ind w:right="40" w:firstLine="598"/>
        <w:spacing w:after="0" w:line="251" w:lineRule="auto"/>
        <w:rPr>
          <w:sz w:val="20"/>
          <w:szCs w:val="20"/>
          <w:color w:val="auto"/>
        </w:rPr>
      </w:pPr>
      <w:r>
        <w:rPr>
          <w:rFonts w:ascii="Arial" w:cs="Arial" w:eastAsia="Arial" w:hAnsi="Arial"/>
          <w:sz w:val="20"/>
          <w:szCs w:val="20"/>
          <w:color w:val="auto"/>
        </w:rPr>
        <w:t>The Commercial Real Estate segment provides credit and deposit services to its customers. Real estate securing loans in this segment is generally located in states where the Company has a branch presence but, to a lesser extent, may be located in other states as well. Commercial real estate loans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may be secured by apartment/multifamily buildings; office, retail and industrial space; or other types of collateral. Activities of this segment</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also include the origination, sales and servicing of commercial real estate loans through the Fannie Mae DUS program and other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programs. Commercial real estate loans held for sale are included in this segment. Net income for the Commercial Real Estate segment was</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$486 million in 2019, up 7% from $453 million in 2018. That improvement was primarily attributable to: a $27 million increase in net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reflecting higher average outstanding loan balances of $914 million; higher mortgage banking revenues as previously noted;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higher trading account and foreign exchange gains of $13 million, resulting from increased activity related to interest rate swap agreements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executed on behalf of commercial customers; and reduced FDIC assessments of $13 million. Those favorable factors were partially offset by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 $25 million increase in centrally-allocated costs associated with data processing, risk management and other support services provided to</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Commercial Real Estate segment and an $11 million rise in personnel-related expenses, reflecting merit and other increases and higher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incentive-based compensation. Net income for this segment increased 24% in 2018 from $364 million in 2017. That improvement resulted</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from: the lower income tax rate in 2018; a rise in net interest income of $16 million; lower FDIC assessments of $11 million; higher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mortgage banking revenues of $5 million, resulting from increased servicing income; and higher trading account and foreign exchange gains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of $5 million, largely due to increased activity related to interest rate swap transactions executed on behalf of commercial customers. Those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favorable factors were partially offset by an $11 million rise in the provision for credit losses, mainly due to higher recoveries of previously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charged-off loans in 2017, and $10 million increases in each of salaries and employee benefits and allocated operating expenses associated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with data processing, risk management and other support services provided to the Commercial Real Estate segment. The higher net interest</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income was largely attributable to a 52 basis point widening of the net interest margin on deposits, offset, in part, by a four basis point</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narrowing of the net interest margin on loans.</w:t>
      </w:r>
    </w:p>
    <w:p>
      <w:pPr>
        <w:spacing w:after="0" w:line="7"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The Discretionary Portfolio segment includes investment and trading account securities, residential real estate loans and other assets, short-term and long-term borrowed funds, brokered deposits, and Cayman Islands office deposits. This segment also provides foreign exchange services to customers. Net income of the Discretionary Portfolio segment aggregated $144 million in 2019 and $116 million in 2018. The 24% rise in the 2019’s net income as compared with 2018 was predominantly due to $18 million of unrealized valuation gains associated with marketable equity securities (compared with unrealized losses of $6 million in 2018), higher trading account and foreign exchange gains of $7 million resulting from lower valuation losses on interest rate floor contracts and a $7 million decline in FDIC assessments, partially offset by lower net interest income of $18 million, reflecting lower average outstanding loan balances. Net income of the Discretionary Portfolio segment in 2018 declined 14% from $135 million in 2017. That decline reflected a $49 million decrease in net interest income, lower gains on investment securities of $24 million and a $7 million decrease in income from bank owned life insurance. The lower net interest income reflected a narrowing of the net interest margin on loans of five basis points and lower average loan balances of $2.6 billion, reflecting ongoing repayments of loans obtained in the acquisition of Hudson City. During 2017, the Company recorded realized gains on the sale of investment securities of $18 million. Favorable factors offsetting the declines noted included: the lower income tax rate in 2018; a $24 million decline in the provision for credit losses, primarily due to the favorable impact from the Company’s allocation methodologies for the provision for credit losses associated with acquired loans that reflect lower loan balances and net charge-offs; lower FDIC assessments of $6 million; and a decrease in other real estate-related servicing costs.</w:t>
      </w:r>
    </w:p>
    <w:p>
      <w:pPr>
        <w:spacing w:after="0" w:line="3" w:lineRule="exact"/>
        <w:rPr>
          <w:sz w:val="20"/>
          <w:szCs w:val="20"/>
          <w:color w:val="auto"/>
        </w:rPr>
      </w:pPr>
    </w:p>
    <w:p>
      <w:pPr>
        <w:jc w:val="both"/>
        <w:ind w:right="400" w:firstLine="598"/>
        <w:spacing w:after="0" w:line="251" w:lineRule="auto"/>
        <w:rPr>
          <w:sz w:val="20"/>
          <w:szCs w:val="20"/>
          <w:color w:val="auto"/>
        </w:rPr>
      </w:pPr>
      <w:r>
        <w:rPr>
          <w:rFonts w:ascii="Arial" w:cs="Arial" w:eastAsia="Arial" w:hAnsi="Arial"/>
          <w:sz w:val="20"/>
          <w:szCs w:val="20"/>
          <w:color w:val="auto"/>
        </w:rPr>
        <w:t>The Residential Mortgage Banking segment originates and services residential mortgage loans and sells substantially all of those loans in the secondary market to investors or to the Discretionary Portfolio segment. The Company periodically purchases the rights to service loans and also sub-</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102" w:name="page103"/>
    <w:bookmarkEnd w:id="102"/>
    <w:p>
      <w:pPr>
        <w:ind w:right="20"/>
        <w:spacing w:after="0" w:line="261" w:lineRule="auto"/>
        <w:rPr>
          <w:sz w:val="20"/>
          <w:szCs w:val="20"/>
          <w:color w:val="auto"/>
        </w:rPr>
      </w:pPr>
      <w:r>
        <w:rPr>
          <w:rFonts w:ascii="Arial" w:cs="Arial" w:eastAsia="Arial" w:hAnsi="Arial"/>
          <w:sz w:val="19"/>
          <w:szCs w:val="19"/>
          <w:color w:val="auto"/>
        </w:rPr>
        <w:t>services residential real estate loans for others. Residential real estate loans held for sale are included in this segment. The Residential Mortgage Banking segment’s net income increased 59% to $72 million in 2019 from $45 million in 2018. That year-over-year increase was attributable to higher revenues of $47 million associated with servicing and sub-servicing residential real estate loans (including intersegment revenues), a $37 million rise in revenues from mortgage origination and sales activities (including intersegment revenues), and higher net interest income of $6 million, reflecting a widening of the net interest margin on deposits of 22 basis points and higher average deposit balances of $751 million, offset, in part, by a narrowing of the net interest margin on loans of 73 basis points. Partially offsetting those favorable factors were a $17 million increase in servicing-related costs (including intersegment costs), higher outside data processing and software expenses of $14 million, an $8 million rise in personnel-related costs and a $7 million addition to the valuation allowance for capitalized mortgage servicing rights in 2019. Net income for the Residential Mortgage Banking segment in 2018 declined slightly from $46 million in 2017. That decline resulted from an $18 million decrease in revenues associated with mortgage origination and sales activities (including intersegment revenues) and lower net interest income of $16 million, reflecting a narrowing of the net interest margin on loans of 48 basis points and lower average deposit balances. Offsetting those unfavorable factors were lower servicing-related costs (including intersegment costs) of $14 million and the lower income tax rate in 2018.</w:t>
      </w:r>
    </w:p>
    <w:p>
      <w:pPr>
        <w:spacing w:after="0" w:line="4"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The Retail Banking segment offers a variety of services to consumers through several delivery channels which include branch offices, automated teller machines, telephone banking and Internet banking. The Company has branch offices in New York State, Maryland, New Jersey, Pennsylvania, Delaware, Connecticut, Virginia, West Virginia and the District of Columbia. Credit services offered by this segment include consumer installment loans, automobile and recreational finance loans (originated both directly and indirectly through dealers), home equity loans and lines of credit, and credit cards. The segment also offers to its customers deposit products, including demand, savings and time accounts; investment products, including mutual funds and annuities; and other services. Net income for the Retail Banking segment totaled $528 million in 2019 and $541 million in 2018. Factors contributing to the decline in net income in 2019 included a $20 million rise in personnel-related costs due largely to merit and other increases, higher professional services and other operating expenses of $15 million, a $10 million rise in the provision for credit losses, due to higher net charge-offs and loan balances, and a $9 million increase in centrally-allocated costs, largely associated with data processing, risk management and other support services provided to the Retail Banking segment. Those factors were partially offset by increases of $39 million in net interest income and $8 million in service charges on deposit accounts. The net interest income growth reflected higher average outstanding loan balances of $1.2 billion and a widening of the net interest margin on deposits of 10 basis points, partially offset by lower average deposit balances of $1.2 billion. The Retail Banking segment’s net income in 2018 was up 44% from $377 million in 2017. That improvement was predominantly attributable to a $141 million rise in net interest income that reflected a 49 basis point widening of the net interest margin on deposits, partially offset by lower average deposit balances of $2.8 billion, and the lower income tax rate in 2018. Those favorable factors were offset, in part, by a $28 million increase in centrally-allocated costs associated with data processing, risk management and other support services provided to the Retail Banking Segment.</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“All Other” category reflects other activities of the Company that are not directly attributable to the reported</w:t>
      </w:r>
    </w:p>
    <w:p>
      <w:pPr>
        <w:spacing w:after="0" w:line="7"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segments. Reflected in this category are the amortization of core deposit and other intangible assets resulting from the acquisitions of financial institutions, income associated with BLG, merger-related expenses resulting from acquisitions,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trust income of the Company that reflects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03" w:name="page104"/>
    <w:bookmarkEnd w:id="103"/>
    <w:p>
      <w:pPr>
        <w:spacing w:after="0" w:line="279" w:lineRule="auto"/>
        <w:rPr>
          <w:sz w:val="20"/>
          <w:szCs w:val="20"/>
          <w:color w:val="auto"/>
        </w:rPr>
      </w:pPr>
      <w:r>
        <w:rPr>
          <w:rFonts w:ascii="Arial" w:cs="Arial" w:eastAsia="Arial" w:hAnsi="Arial"/>
          <w:sz w:val="18"/>
          <w:szCs w:val="18"/>
          <w:color w:val="auto"/>
        </w:rPr>
        <w:t>the ICS and WAS business activities. The various components of the “All Other” category resulted in net income of $11 million and $55 million in 2019 and 2018, respectively, and a net loss of $66 million in 2017. As compared with 2018, the lower net income in 2019 reflected the impact of the $48 million charge from the sale of the affiliated asset manager and higher expenses for salaries and employee benefits, equipment and net occupancy, and professional services (net of allocations of centralized support services to other segments). Those unfavorable factors were partially offset by lower additions to the reserve for legal matters as previously noted, higher trust income of $35 million, the favorable impact from the Company’s allocation methodologies for internal transfers for funding charges and credits associated with earning assets and interest-bearing liabilities of the Company’s reportable segments, lower contributions to The M&amp;T Charitable Foundation of $29 million, and a $13 million increase in income from BLG. The significant improvement in 2018 as compared with 2017 was driven by the favorable impact from the Company’s allocation methodologies for income taxes and for internal transfers for funding charges and credits associated with earning assets and interest-bearing liabilities of the Company’s reportable segments; higher trust income of $36 million; $24 million of income from BLG in 2018; and lower charitable contributions of $21 million in 2018. Those favorable factors were partially offset by: higher expenses related to the settlements of WT Corp pre-acquisition legal-related matters; a $21 million increase in professional and other outside services expenses; and a $10 million decline in brokerage services income.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Developments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A discussion of recent accounting developments is included in note 26 of Notes to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9"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Management’s Discussion and Analysis of Financial Condition and Results of Operations and other sections of this Annual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2" w:lineRule="exact"/>
        <w:rPr>
          <w:sz w:val="20"/>
          <w:szCs w:val="20"/>
          <w:color w:val="auto"/>
        </w:rPr>
      </w:pPr>
    </w:p>
    <w:p>
      <w:pPr>
        <w:ind w:right="20" w:firstLine="598"/>
        <w:spacing w:after="0" w:line="262" w:lineRule="auto"/>
        <w:rPr>
          <w:sz w:val="20"/>
          <w:szCs w:val="20"/>
          <w:color w:val="auto"/>
        </w:rPr>
      </w:pPr>
      <w:r>
        <w:rPr>
          <w:rFonts w:ascii="Arial" w:cs="Arial" w:eastAsia="Arial" w:hAnsi="Arial"/>
          <w:sz w:val="19"/>
          <w:szCs w:val="19"/>
          <w:color w:val="auto"/>
        </w:rPr>
        <w:t>Future Factors include changes in interest rates, spreads on earning assets and interest-bearing liabilities, and interest rate sensitivity; prepayment speeds, loan originations, credit losses and market values of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04" w:name="page105"/>
    <w:bookmarkEnd w:id="104"/>
    <w:p>
      <w:pPr>
        <w:spacing w:after="0" w:line="249" w:lineRule="auto"/>
        <w:rPr>
          <w:sz w:val="20"/>
          <w:szCs w:val="20"/>
          <w:color w:val="auto"/>
        </w:rPr>
      </w:pPr>
      <w:r>
        <w:rPr>
          <w:rFonts w:ascii="Arial" w:cs="Arial" w:eastAsia="Arial" w:hAnsi="Arial"/>
          <w:sz w:val="20"/>
          <w:szCs w:val="20"/>
          <w:color w:val="auto"/>
        </w:rPr>
        <w:t>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5" w:lineRule="exact"/>
        <w:rPr>
          <w:sz w:val="20"/>
          <w:szCs w:val="20"/>
          <w:color w:val="auto"/>
        </w:rPr>
      </w:pPr>
    </w:p>
    <w:p>
      <w:pPr>
        <w:ind w:right="40" w:firstLine="598"/>
        <w:spacing w:after="0" w:line="250" w:lineRule="auto"/>
        <w:rPr>
          <w:sz w:val="20"/>
          <w:szCs w:val="20"/>
          <w:color w:val="auto"/>
        </w:rPr>
      </w:pPr>
      <w:r>
        <w:rPr>
          <w:rFonts w:ascii="Arial" w:cs="Arial" w:eastAsia="Arial" w:hAnsi="Arial"/>
          <w:sz w:val="20"/>
          <w:szCs w:val="20"/>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200"/>
          </w:cols>
          <w:pgMar w:left="240" w:top="336" w:right="459" w:bottom="1440" w:gutter="0" w:footer="0" w:header="0"/>
        </w:sectPr>
      </w:pPr>
    </w:p>
    <w:bookmarkStart w:id="105" w:name="page106"/>
    <w:bookmarkEnd w:id="105"/>
    <w:p>
      <w:pPr>
        <w:spacing w:after="0"/>
        <w:rPr>
          <w:sz w:val="20"/>
          <w:szCs w:val="20"/>
          <w:color w:val="auto"/>
        </w:rPr>
      </w:pPr>
      <w:r>
        <w:rPr>
          <w:rFonts w:ascii="Arial" w:cs="Arial" w:eastAsia="Arial" w:hAnsi="Arial"/>
          <w:sz w:val="19"/>
          <w:szCs w:val="19"/>
          <w:b w:val="1"/>
          <w:bCs w:val="1"/>
          <w:color w:val="auto"/>
        </w:rPr>
        <w:t>Table 24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QUARTERLY TRENDS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2"/>
                <w:szCs w:val="12"/>
                <w:b w:val="1"/>
                <w:bCs w:val="1"/>
                <w:color w:val="auto"/>
              </w:rPr>
              <w:t>2019 Quarters</w:t>
            </w: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2"/>
                <w:szCs w:val="12"/>
                <w:b w:val="1"/>
                <w:bCs w:val="1"/>
                <w:color w:val="auto"/>
              </w:rPr>
              <w:t>2018 Quarters</w:t>
            </w: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14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w w:val="99"/>
              </w:rPr>
              <w:t>Fourth</w:t>
            </w:r>
          </w:p>
        </w:tc>
        <w:tc>
          <w:tcPr>
            <w:tcW w:w="28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Third</w:t>
            </w:r>
          </w:p>
        </w:tc>
        <w:tc>
          <w:tcPr>
            <w:tcW w:w="28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Second</w:t>
            </w:r>
          </w:p>
        </w:tc>
        <w:tc>
          <w:tcPr>
            <w:tcW w:w="26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rPr>
              <w:t>First</w:t>
            </w:r>
          </w:p>
        </w:tc>
        <w:tc>
          <w:tcPr>
            <w:tcW w:w="28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Fourth</w:t>
            </w:r>
          </w:p>
        </w:tc>
        <w:tc>
          <w:tcPr>
            <w:tcW w:w="28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Third</w:t>
            </w:r>
          </w:p>
        </w:tc>
        <w:tc>
          <w:tcPr>
            <w:tcW w:w="26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Second</w:t>
            </w:r>
          </w:p>
        </w:tc>
        <w:tc>
          <w:tcPr>
            <w:tcW w:w="28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First</w:t>
            </w:r>
          </w:p>
        </w:tc>
        <w:tc>
          <w:tcPr>
            <w:tcW w:w="2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6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Earnings and dividends</w:t>
            </w: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460" w:type="dxa"/>
            <w:vAlign w:val="bottom"/>
            <w:gridSpan w:val="2"/>
          </w:tcPr>
          <w:p>
            <w:pPr>
              <w:spacing w:after="0"/>
              <w:rPr>
                <w:sz w:val="20"/>
                <w:szCs w:val="20"/>
                <w:color w:val="auto"/>
              </w:rPr>
            </w:pPr>
            <w:r>
              <w:rPr>
                <w:rFonts w:ascii="Arial" w:cs="Arial" w:eastAsia="Arial" w:hAnsi="Arial"/>
                <w:sz w:val="12"/>
                <w:szCs w:val="12"/>
                <w:i w:val="1"/>
                <w:iCs w:val="1"/>
                <w:color w:val="auto"/>
              </w:rPr>
              <w:t>Amounts in thousands, except per share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Interest income (taxable-equivalent basis)</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1,191,295</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1,235,048</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1,243,838</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1,232,276</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1,226,239</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1,173,108</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1,134,302</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1,086,959</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Interest expense</w:t>
            </w:r>
          </w:p>
        </w:tc>
        <w:tc>
          <w:tcPr>
            <w:tcW w:w="7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177,070</w:t>
            </w:r>
          </w:p>
        </w:tc>
        <w:tc>
          <w:tcPr>
            <w:tcW w:w="28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199,579</w:t>
            </w:r>
          </w:p>
        </w:tc>
        <w:tc>
          <w:tcPr>
            <w:tcW w:w="28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196,432</w:t>
            </w:r>
          </w:p>
        </w:tc>
        <w:tc>
          <w:tcPr>
            <w:tcW w:w="26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176,249</w:t>
            </w:r>
          </w:p>
        </w:tc>
        <w:tc>
          <w:tcPr>
            <w:tcW w:w="28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161,321</w:t>
            </w:r>
          </w:p>
        </w:tc>
        <w:tc>
          <w:tcPr>
            <w:tcW w:w="28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138,337</w:t>
            </w:r>
          </w:p>
        </w:tc>
        <w:tc>
          <w:tcPr>
            <w:tcW w:w="26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120,118</w:t>
            </w:r>
          </w:p>
        </w:tc>
        <w:tc>
          <w:tcPr>
            <w:tcW w:w="28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106,633</w:t>
            </w:r>
          </w:p>
        </w:tc>
        <w:tc>
          <w:tcPr>
            <w:tcW w:w="2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interest income</w:t>
            </w: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1,014,225</w:t>
            </w: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1,035,469</w:t>
            </w: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1,047,406</w:t>
            </w: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1,056,027</w:t>
            </w: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1,064,918</w:t>
            </w: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1,034,771</w:t>
            </w: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1,014,184</w:t>
            </w:r>
          </w:p>
        </w:tc>
        <w:tc>
          <w:tcPr>
            <w:tcW w:w="2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980,326</w:t>
            </w: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460" w:type="dxa"/>
            <w:vAlign w:val="bottom"/>
            <w:gridSpan w:val="2"/>
          </w:tcPr>
          <w:p>
            <w:pPr>
              <w:spacing w:after="0"/>
              <w:rPr>
                <w:sz w:val="20"/>
                <w:szCs w:val="20"/>
                <w:color w:val="auto"/>
              </w:rPr>
            </w:pPr>
            <w:r>
              <w:rPr>
                <w:rFonts w:ascii="Arial" w:cs="Arial" w:eastAsia="Arial" w:hAnsi="Arial"/>
                <w:sz w:val="12"/>
                <w:szCs w:val="12"/>
                <w:color w:val="auto"/>
              </w:rPr>
              <w:t>Less: provision for credit losses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54,000</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45,000</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55,000</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22,000</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38,000</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16,000</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35,000</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43,000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Other income</w:t>
            </w: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521,040</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527,779</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512,095</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500,765</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480,596</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459,294</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457,414</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458,696</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Less: other expense</w:t>
            </w:r>
          </w:p>
        </w:tc>
        <w:tc>
          <w:tcPr>
            <w:tcW w:w="7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823,683</w:t>
            </w:r>
          </w:p>
        </w:tc>
        <w:tc>
          <w:tcPr>
            <w:tcW w:w="28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877,619</w:t>
            </w:r>
          </w:p>
        </w:tc>
        <w:tc>
          <w:tcPr>
            <w:tcW w:w="28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873,032</w:t>
            </w:r>
          </w:p>
        </w:tc>
        <w:tc>
          <w:tcPr>
            <w:tcW w:w="26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894,348</w:t>
            </w:r>
          </w:p>
        </w:tc>
        <w:tc>
          <w:tcPr>
            <w:tcW w:w="28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802,162</w:t>
            </w:r>
          </w:p>
        </w:tc>
        <w:tc>
          <w:tcPr>
            <w:tcW w:w="28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775,979</w:t>
            </w:r>
          </w:p>
        </w:tc>
        <w:tc>
          <w:tcPr>
            <w:tcW w:w="26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776,577</w:t>
            </w:r>
          </w:p>
        </w:tc>
        <w:tc>
          <w:tcPr>
            <w:tcW w:w="28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933,344</w:t>
            </w:r>
          </w:p>
        </w:tc>
        <w:tc>
          <w:tcPr>
            <w:tcW w:w="2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Income before income taxes</w:t>
            </w: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657,582</w:t>
            </w: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640,629</w:t>
            </w: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631,469</w:t>
            </w: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640,444</w:t>
            </w: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705,352</w:t>
            </w: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702,086</w:t>
            </w: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660,021</w:t>
            </w:r>
          </w:p>
        </w:tc>
        <w:tc>
          <w:tcPr>
            <w:tcW w:w="2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462,678</w:t>
            </w: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460" w:type="dxa"/>
            <w:vAlign w:val="bottom"/>
            <w:gridSpan w:val="2"/>
          </w:tcPr>
          <w:p>
            <w:pPr>
              <w:spacing w:after="0"/>
              <w:rPr>
                <w:sz w:val="20"/>
                <w:szCs w:val="20"/>
                <w:color w:val="auto"/>
              </w:rPr>
            </w:pPr>
            <w:r>
              <w:rPr>
                <w:rFonts w:ascii="Arial" w:cs="Arial" w:eastAsia="Arial" w:hAnsi="Arial"/>
                <w:sz w:val="12"/>
                <w:szCs w:val="12"/>
                <w:color w:val="auto"/>
              </w:rPr>
              <w:t>Applicable income taxes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159,124</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154,969</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152,284</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151,735</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153,175</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170,262</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161,464</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105,259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Taxable-equivalent adjustment</w:t>
            </w:r>
          </w:p>
        </w:tc>
        <w:tc>
          <w:tcPr>
            <w:tcW w:w="78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5,392</w:t>
            </w:r>
          </w:p>
        </w:tc>
        <w:tc>
          <w:tcPr>
            <w:tcW w:w="280" w:type="dxa"/>
            <w:vAlign w:val="bottom"/>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5,579</w:t>
            </w:r>
          </w:p>
        </w:tc>
        <w:tc>
          <w:tcPr>
            <w:tcW w:w="280" w:type="dxa"/>
            <w:vAlign w:val="bottom"/>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5,925</w:t>
            </w:r>
          </w:p>
        </w:tc>
        <w:tc>
          <w:tcPr>
            <w:tcW w:w="260" w:type="dxa"/>
            <w:vAlign w:val="bottom"/>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5,967</w:t>
            </w:r>
          </w:p>
        </w:tc>
        <w:tc>
          <w:tcPr>
            <w:tcW w:w="280" w:type="dxa"/>
            <w:vAlign w:val="bottom"/>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5,958</w:t>
            </w:r>
          </w:p>
        </w:tc>
        <w:tc>
          <w:tcPr>
            <w:tcW w:w="280" w:type="dxa"/>
            <w:vAlign w:val="bottom"/>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5,733</w:t>
            </w:r>
          </w:p>
        </w:tc>
        <w:tc>
          <w:tcPr>
            <w:tcW w:w="260" w:type="dxa"/>
            <w:vAlign w:val="bottom"/>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5,397</w:t>
            </w:r>
          </w:p>
        </w:tc>
        <w:tc>
          <w:tcPr>
            <w:tcW w:w="280" w:type="dxa"/>
            <w:vAlign w:val="bottom"/>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4,809</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6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Net income</w:t>
            </w:r>
          </w:p>
        </w:tc>
        <w:tc>
          <w:tcPr>
            <w:tcW w:w="7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493,066</w:t>
            </w:r>
          </w:p>
        </w:tc>
        <w:tc>
          <w:tcPr>
            <w:tcW w:w="28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480,081</w:t>
            </w:r>
          </w:p>
        </w:tc>
        <w:tc>
          <w:tcPr>
            <w:tcW w:w="28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473,260</w:t>
            </w:r>
          </w:p>
        </w:tc>
        <w:tc>
          <w:tcPr>
            <w:tcW w:w="26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482,742</w:t>
            </w:r>
          </w:p>
        </w:tc>
        <w:tc>
          <w:tcPr>
            <w:tcW w:w="28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546,219</w:t>
            </w:r>
          </w:p>
        </w:tc>
        <w:tc>
          <w:tcPr>
            <w:tcW w:w="28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526,091</w:t>
            </w:r>
          </w:p>
        </w:tc>
        <w:tc>
          <w:tcPr>
            <w:tcW w:w="26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493,160</w:t>
            </w:r>
          </w:p>
        </w:tc>
        <w:tc>
          <w:tcPr>
            <w:tcW w:w="280" w:type="dxa"/>
            <w:vAlign w:val="bottom"/>
            <w:tcBorders>
              <w:bottom w:val="single" w:sz="8" w:color="CFF0FC"/>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352,610</w:t>
            </w:r>
          </w:p>
        </w:tc>
        <w:tc>
          <w:tcPr>
            <w:tcW w:w="2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460" w:type="dxa"/>
            <w:vAlign w:val="bottom"/>
            <w:gridSpan w:val="2"/>
            <w:shd w:val="clear" w:color="auto" w:fill="CFF0FC"/>
          </w:tcPr>
          <w:p>
            <w:pPr>
              <w:spacing w:after="0" w:line="124" w:lineRule="exact"/>
              <w:rPr>
                <w:sz w:val="20"/>
                <w:szCs w:val="20"/>
                <w:color w:val="auto"/>
              </w:rPr>
            </w:pPr>
            <w:r>
              <w:rPr>
                <w:rFonts w:ascii="Arial" w:cs="Arial" w:eastAsia="Arial" w:hAnsi="Arial"/>
                <w:sz w:val="12"/>
                <w:szCs w:val="12"/>
                <w:color w:val="auto"/>
              </w:rPr>
              <w:t>Net income available to common shareholders-diluted</w:t>
            </w: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w w:val="89"/>
              </w:rPr>
              <w:t>$</w:t>
            </w:r>
          </w:p>
        </w:tc>
        <w:tc>
          <w:tcPr>
            <w:tcW w:w="52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473,372</w:t>
            </w: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461,410</w:t>
            </w: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452,633</w:t>
            </w:r>
          </w:p>
        </w:tc>
        <w:tc>
          <w:tcPr>
            <w:tcW w:w="26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462,086</w:t>
            </w: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525,328</w:t>
            </w: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505,365</w:t>
            </w:r>
          </w:p>
        </w:tc>
        <w:tc>
          <w:tcPr>
            <w:tcW w:w="26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472,600</w:t>
            </w:r>
          </w:p>
        </w:tc>
        <w:tc>
          <w:tcPr>
            <w:tcW w:w="28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332,749</w:t>
            </w:r>
          </w:p>
        </w:tc>
        <w:tc>
          <w:tcPr>
            <w:tcW w:w="2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60" w:type="dxa"/>
            <w:vAlign w:val="bottom"/>
            <w:gridSpan w:val="2"/>
          </w:tcPr>
          <w:p>
            <w:pPr>
              <w:spacing w:after="0"/>
              <w:rPr>
                <w:sz w:val="20"/>
                <w:szCs w:val="20"/>
                <w:color w:val="auto"/>
              </w:rPr>
            </w:pPr>
            <w:r>
              <w:rPr>
                <w:rFonts w:ascii="Arial" w:cs="Arial" w:eastAsia="Arial" w:hAnsi="Arial"/>
                <w:sz w:val="12"/>
                <w:szCs w:val="12"/>
                <w:color w:val="auto"/>
              </w:rPr>
              <w:t>Per common share data</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Basic earnings</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3.60</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3.47</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3.34</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3.35</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3.76</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3.54</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3.26</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2.24</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tcPr>
          <w:p>
            <w:pPr>
              <w:ind w:left="240"/>
              <w:spacing w:after="0"/>
              <w:rPr>
                <w:sz w:val="20"/>
                <w:szCs w:val="20"/>
                <w:color w:val="auto"/>
              </w:rPr>
            </w:pPr>
            <w:r>
              <w:rPr>
                <w:rFonts w:ascii="Arial" w:cs="Arial" w:eastAsia="Arial" w:hAnsi="Arial"/>
                <w:sz w:val="12"/>
                <w:szCs w:val="12"/>
                <w:color w:val="auto"/>
              </w:rPr>
              <w:t>Diluted earnings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3.60</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3.47</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3.34</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3.35</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3.76</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3.53</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3.26</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Cash dividends</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tcPr>
          <w:p>
            <w:pPr>
              <w:spacing w:after="0"/>
              <w:rPr>
                <w:sz w:val="20"/>
                <w:szCs w:val="20"/>
                <w:color w:val="auto"/>
              </w:rPr>
            </w:pPr>
            <w:r>
              <w:rPr>
                <w:rFonts w:ascii="Arial" w:cs="Arial" w:eastAsia="Arial" w:hAnsi="Arial"/>
                <w:sz w:val="12"/>
                <w:szCs w:val="12"/>
                <w:color w:val="auto"/>
              </w:rPr>
              <w:t>Average common shares outstanding</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Basic</w:t>
            </w: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131,512</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132,965</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135,433</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137,889</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139,744</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142,822</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144,825</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148,688</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60" w:type="dxa"/>
            <w:vAlign w:val="bottom"/>
            <w:tcBorders>
              <w:bottom w:val="single" w:sz="8" w:color="CFF0FC"/>
            </w:tcBorders>
            <w:gridSpan w:val="2"/>
          </w:tcPr>
          <w:p>
            <w:pPr>
              <w:ind w:left="240"/>
              <w:spacing w:after="0"/>
              <w:rPr>
                <w:sz w:val="20"/>
                <w:szCs w:val="20"/>
                <w:color w:val="auto"/>
              </w:rPr>
            </w:pPr>
            <w:r>
              <w:rPr>
                <w:rFonts w:ascii="Arial" w:cs="Arial" w:eastAsia="Arial" w:hAnsi="Arial"/>
                <w:sz w:val="12"/>
                <w:szCs w:val="12"/>
                <w:color w:val="auto"/>
              </w:rPr>
              <w:t>Diluted</w:t>
            </w:r>
          </w:p>
        </w:tc>
        <w:tc>
          <w:tcPr>
            <w:tcW w:w="78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131,549</w:t>
            </w:r>
          </w:p>
        </w:tc>
        <w:tc>
          <w:tcPr>
            <w:tcW w:w="280" w:type="dxa"/>
            <w:vAlign w:val="bottom"/>
            <w:tcBorders>
              <w:bottom w:val="single" w:sz="8" w:color="CFF0FC"/>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132,999</w:t>
            </w:r>
          </w:p>
        </w:tc>
        <w:tc>
          <w:tcPr>
            <w:tcW w:w="280" w:type="dxa"/>
            <w:vAlign w:val="bottom"/>
            <w:tcBorders>
              <w:bottom w:val="single" w:sz="8" w:color="CFF0FC"/>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135,464</w:t>
            </w:r>
          </w:p>
        </w:tc>
        <w:tc>
          <w:tcPr>
            <w:tcW w:w="260" w:type="dxa"/>
            <w:vAlign w:val="bottom"/>
            <w:tcBorders>
              <w:bottom w:val="single" w:sz="8" w:color="CFF0FC"/>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137,920</w:t>
            </w:r>
          </w:p>
        </w:tc>
        <w:tc>
          <w:tcPr>
            <w:tcW w:w="280" w:type="dxa"/>
            <w:vAlign w:val="bottom"/>
            <w:tcBorders>
              <w:bottom w:val="single" w:sz="8" w:color="CFF0FC"/>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139,838</w:t>
            </w:r>
          </w:p>
        </w:tc>
        <w:tc>
          <w:tcPr>
            <w:tcW w:w="280" w:type="dxa"/>
            <w:vAlign w:val="bottom"/>
            <w:tcBorders>
              <w:bottom w:val="single" w:sz="8" w:color="CFF0FC"/>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142,976</w:t>
            </w:r>
          </w:p>
        </w:tc>
        <w:tc>
          <w:tcPr>
            <w:tcW w:w="260" w:type="dxa"/>
            <w:vAlign w:val="bottom"/>
            <w:tcBorders>
              <w:bottom w:val="single" w:sz="8" w:color="CFF0FC"/>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144,998</w:t>
            </w:r>
          </w:p>
        </w:tc>
        <w:tc>
          <w:tcPr>
            <w:tcW w:w="280" w:type="dxa"/>
            <w:vAlign w:val="bottom"/>
            <w:tcBorders>
              <w:bottom w:val="single" w:sz="8" w:color="CFF0FC"/>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148,905</w:t>
            </w:r>
          </w:p>
        </w:tc>
        <w:tc>
          <w:tcPr>
            <w:tcW w:w="2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3460" w:type="dxa"/>
            <w:vAlign w:val="bottom"/>
            <w:gridSpan w:val="2"/>
            <w:shd w:val="clear" w:color="auto" w:fill="CFF0FC"/>
          </w:tcPr>
          <w:p>
            <w:pPr>
              <w:spacing w:after="0" w:line="124" w:lineRule="exact"/>
              <w:rPr>
                <w:sz w:val="20"/>
                <w:szCs w:val="20"/>
                <w:color w:val="auto"/>
              </w:rPr>
            </w:pPr>
            <w:r>
              <w:rPr>
                <w:rFonts w:ascii="Arial" w:cs="Arial" w:eastAsia="Arial" w:hAnsi="Arial"/>
                <w:sz w:val="12"/>
                <w:szCs w:val="12"/>
                <w:b w:val="1"/>
                <w:bCs w:val="1"/>
                <w:color w:val="auto"/>
              </w:rPr>
              <w:t>Performance ratios, annualized</w:t>
            </w: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60" w:type="dxa"/>
            <w:vAlign w:val="bottom"/>
            <w:gridSpan w:val="2"/>
          </w:tcPr>
          <w:p>
            <w:pPr>
              <w:spacing w:after="0"/>
              <w:rPr>
                <w:sz w:val="20"/>
                <w:szCs w:val="20"/>
                <w:color w:val="auto"/>
              </w:rPr>
            </w:pPr>
            <w:r>
              <w:rPr>
                <w:rFonts w:ascii="Arial" w:cs="Arial" w:eastAsia="Arial" w:hAnsi="Arial"/>
                <w:sz w:val="12"/>
                <w:szCs w:val="12"/>
                <w:color w:val="auto"/>
              </w:rPr>
              <w:t>Return on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Average assets</w:t>
            </w: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1.58</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w:t>
            </w: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1.84</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1.80</w:t>
            </w: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1.70</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3460" w:type="dxa"/>
            <w:vAlign w:val="bottom"/>
            <w:gridSpan w:val="2"/>
          </w:tcPr>
          <w:p>
            <w:pPr>
              <w:ind w:left="240"/>
              <w:spacing w:after="0"/>
              <w:rPr>
                <w:sz w:val="20"/>
                <w:szCs w:val="20"/>
                <w:color w:val="auto"/>
              </w:rPr>
            </w:pPr>
            <w:r>
              <w:rPr>
                <w:rFonts w:ascii="Arial" w:cs="Arial" w:eastAsia="Arial" w:hAnsi="Arial"/>
                <w:sz w:val="12"/>
                <w:szCs w:val="12"/>
                <w:color w:val="auto"/>
              </w:rPr>
              <w:t>Average common shareholders’ equity</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12.95</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12.73</w:t>
            </w:r>
          </w:p>
        </w:tc>
        <w:tc>
          <w:tcPr>
            <w:tcW w:w="2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12.68</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13.14</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14.80</w:t>
            </w:r>
          </w:p>
        </w:tc>
        <w:tc>
          <w:tcPr>
            <w:tcW w:w="2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14.08</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13.32</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9.15</w:t>
            </w:r>
          </w:p>
        </w:tc>
        <w:tc>
          <w:tcPr>
            <w:tcW w:w="2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3460" w:type="dxa"/>
            <w:vAlign w:val="bottom"/>
            <w:gridSpan w:val="2"/>
            <w:shd w:val="clear" w:color="auto" w:fill="CFF0FC"/>
          </w:tcPr>
          <w:p>
            <w:pPr>
              <w:spacing w:after="0" w:line="130" w:lineRule="exact"/>
              <w:rPr>
                <w:sz w:val="20"/>
                <w:szCs w:val="20"/>
                <w:color w:val="auto"/>
              </w:rPr>
            </w:pPr>
            <w:r>
              <w:rPr>
                <w:rFonts w:ascii="Arial" w:cs="Arial" w:eastAsia="Arial" w:hAnsi="Arial"/>
                <w:sz w:val="12"/>
                <w:szCs w:val="12"/>
                <w:color w:val="auto"/>
              </w:rPr>
              <w:t>Net interest margin on average earning assets</w:t>
            </w: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6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(taxable-equivalent basis)</w:t>
            </w: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3.64</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3.78</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3.91</w:t>
            </w: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4.04</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3.92</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3.88</w:t>
            </w: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3.83</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3.71</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3460" w:type="dxa"/>
            <w:vAlign w:val="bottom"/>
            <w:gridSpan w:val="2"/>
          </w:tcPr>
          <w:p>
            <w:pPr>
              <w:spacing w:after="0" w:line="130" w:lineRule="exact"/>
              <w:rPr>
                <w:sz w:val="20"/>
                <w:szCs w:val="20"/>
                <w:color w:val="auto"/>
              </w:rPr>
            </w:pPr>
            <w:r>
              <w:rPr>
                <w:rFonts w:ascii="Arial" w:cs="Arial" w:eastAsia="Arial" w:hAnsi="Arial"/>
                <w:sz w:val="12"/>
                <w:szCs w:val="12"/>
                <w:color w:val="auto"/>
              </w:rPr>
              <w:t>Nonaccrual loans to total loans and leases, net of</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460" w:type="dxa"/>
            <w:vAlign w:val="bottom"/>
            <w:tcBorders>
              <w:bottom w:val="single" w:sz="8" w:color="CFF0FC"/>
            </w:tcBorders>
            <w:gridSpan w:val="2"/>
          </w:tcPr>
          <w:p>
            <w:pPr>
              <w:ind w:left="120"/>
              <w:spacing w:after="0"/>
              <w:rPr>
                <w:sz w:val="20"/>
                <w:szCs w:val="20"/>
                <w:color w:val="auto"/>
              </w:rPr>
            </w:pPr>
            <w:r>
              <w:rPr>
                <w:rFonts w:ascii="Arial" w:cs="Arial" w:eastAsia="Arial" w:hAnsi="Arial"/>
                <w:sz w:val="12"/>
                <w:szCs w:val="12"/>
                <w:color w:val="auto"/>
              </w:rPr>
              <w:t>unearned discount</w:t>
            </w:r>
          </w:p>
        </w:tc>
        <w:tc>
          <w:tcPr>
            <w:tcW w:w="78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w:t>
            </w:r>
          </w:p>
        </w:tc>
        <w:tc>
          <w:tcPr>
            <w:tcW w:w="280" w:type="dxa"/>
            <w:vAlign w:val="bottom"/>
            <w:tcBorders>
              <w:bottom w:val="single" w:sz="8" w:color="CFF0FC"/>
            </w:tcBorders>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w:t>
            </w:r>
          </w:p>
        </w:tc>
        <w:tc>
          <w:tcPr>
            <w:tcW w:w="26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w:t>
            </w:r>
          </w:p>
        </w:tc>
        <w:tc>
          <w:tcPr>
            <w:tcW w:w="280" w:type="dxa"/>
            <w:vAlign w:val="bottom"/>
            <w:tcBorders>
              <w:bottom w:val="single" w:sz="8" w:color="CFF0FC"/>
            </w:tcBorders>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w:t>
            </w:r>
          </w:p>
        </w:tc>
        <w:tc>
          <w:tcPr>
            <w:tcW w:w="26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w:t>
            </w:r>
          </w:p>
        </w:tc>
        <w:tc>
          <w:tcPr>
            <w:tcW w:w="280" w:type="dxa"/>
            <w:vAlign w:val="bottom"/>
            <w:tcBorders>
              <w:bottom w:val="single" w:sz="8" w:color="CFF0FC"/>
            </w:tcBorders>
          </w:tcPr>
          <w:p>
            <w:pPr>
              <w:jc w:val="right"/>
              <w:ind w:right="1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3460" w:type="dxa"/>
            <w:vAlign w:val="bottom"/>
            <w:gridSpan w:val="2"/>
            <w:shd w:val="clear" w:color="auto" w:fill="CFF0FC"/>
          </w:tcPr>
          <w:p>
            <w:pPr>
              <w:spacing w:after="0" w:line="124" w:lineRule="exact"/>
              <w:rPr>
                <w:sz w:val="20"/>
                <w:szCs w:val="20"/>
                <w:color w:val="auto"/>
              </w:rPr>
            </w:pPr>
            <w:r>
              <w:rPr>
                <w:rFonts w:ascii="Arial" w:cs="Arial" w:eastAsia="Arial" w:hAnsi="Arial"/>
                <w:sz w:val="12"/>
                <w:szCs w:val="12"/>
                <w:b w:val="1"/>
                <w:bCs w:val="1"/>
                <w:color w:val="auto"/>
              </w:rPr>
              <w:t>Net operating (tangible) results (a)</w:t>
            </w: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60" w:type="dxa"/>
            <w:vAlign w:val="bottom"/>
            <w:gridSpan w:val="2"/>
          </w:tcPr>
          <w:p>
            <w:pPr>
              <w:spacing w:after="0"/>
              <w:rPr>
                <w:sz w:val="20"/>
                <w:szCs w:val="20"/>
                <w:color w:val="auto"/>
              </w:rPr>
            </w:pPr>
            <w:r>
              <w:rPr>
                <w:rFonts w:ascii="Arial" w:cs="Arial" w:eastAsia="Arial" w:hAnsi="Arial"/>
                <w:sz w:val="12"/>
                <w:szCs w:val="12"/>
                <w:color w:val="auto"/>
              </w:rPr>
              <w:t>Net operating income (in thousands)</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496,237</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483,830</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477,001</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486,440</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550,169</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530,619</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497,869</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357,498</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Diluted net operating income per common share</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3.62</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3.50</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3.37</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3.38</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3.79</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3.56</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3.29</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2.26</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tcPr>
          <w:p>
            <w:pPr>
              <w:spacing w:after="0"/>
              <w:rPr>
                <w:sz w:val="20"/>
                <w:szCs w:val="20"/>
                <w:color w:val="auto"/>
              </w:rPr>
            </w:pPr>
            <w:r>
              <w:rPr>
                <w:rFonts w:ascii="Arial" w:cs="Arial" w:eastAsia="Arial" w:hAnsi="Arial"/>
                <w:sz w:val="12"/>
                <w:szCs w:val="12"/>
                <w:color w:val="auto"/>
              </w:rPr>
              <w:t>Annualized return on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Average tangible assets</w:t>
            </w: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1.67</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1.66</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w:t>
            </w: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1.76</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1.93</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1.89</w:t>
            </w: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1.79</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1.28</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3460" w:type="dxa"/>
            <w:vAlign w:val="bottom"/>
            <w:gridSpan w:val="2"/>
          </w:tcPr>
          <w:p>
            <w:pPr>
              <w:ind w:left="240"/>
              <w:spacing w:after="0"/>
              <w:rPr>
                <w:sz w:val="20"/>
                <w:szCs w:val="20"/>
                <w:color w:val="auto"/>
              </w:rPr>
            </w:pPr>
            <w:r>
              <w:rPr>
                <w:rFonts w:ascii="Arial" w:cs="Arial" w:eastAsia="Arial" w:hAnsi="Arial"/>
                <w:sz w:val="12"/>
                <w:szCs w:val="12"/>
                <w:color w:val="auto"/>
              </w:rPr>
              <w:t>Average tangible common shareholders’ equity</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19.08</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18.85</w:t>
            </w:r>
          </w:p>
        </w:tc>
        <w:tc>
          <w:tcPr>
            <w:tcW w:w="2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18.83</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19.56</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22.16</w:t>
            </w:r>
          </w:p>
        </w:tc>
        <w:tc>
          <w:tcPr>
            <w:tcW w:w="2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21.00</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19.91</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13.51</w:t>
            </w:r>
          </w:p>
        </w:tc>
        <w:tc>
          <w:tcPr>
            <w:tcW w:w="2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34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Efficiency ratio (b)</w:t>
            </w:r>
          </w:p>
        </w:tc>
        <w:tc>
          <w:tcPr>
            <w:tcW w:w="7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53.15</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55.95</w:t>
            </w:r>
          </w:p>
        </w:tc>
        <w:tc>
          <w:tcPr>
            <w:tcW w:w="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55.98</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57.56</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51.70</w:t>
            </w:r>
          </w:p>
        </w:tc>
        <w:tc>
          <w:tcPr>
            <w:tcW w:w="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51.41</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52.42</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63.98</w:t>
            </w:r>
          </w:p>
        </w:tc>
        <w:tc>
          <w:tcPr>
            <w:tcW w:w="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Balance sheet data</w:t>
            </w: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6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60" w:type="dxa"/>
            <w:vAlign w:val="bottom"/>
            <w:gridSpan w:val="2"/>
            <w:shd w:val="clear" w:color="auto" w:fill="CFF0FC"/>
          </w:tcPr>
          <w:p>
            <w:pPr>
              <w:spacing w:after="0"/>
              <w:rPr>
                <w:sz w:val="20"/>
                <w:szCs w:val="20"/>
                <w:color w:val="auto"/>
              </w:rPr>
            </w:pPr>
            <w:r>
              <w:rPr>
                <w:rFonts w:ascii="Arial" w:cs="Arial" w:eastAsia="Arial" w:hAnsi="Arial"/>
                <w:sz w:val="12"/>
                <w:szCs w:val="12"/>
                <w:i w:val="1"/>
                <w:iCs w:val="1"/>
                <w:color w:val="auto"/>
              </w:rPr>
              <w:t>In millions, except per share</w:t>
            </w: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tcPr>
          <w:p>
            <w:pPr>
              <w:spacing w:after="0"/>
              <w:rPr>
                <w:sz w:val="20"/>
                <w:szCs w:val="20"/>
                <w:color w:val="auto"/>
              </w:rPr>
            </w:pPr>
            <w:r>
              <w:rPr>
                <w:rFonts w:ascii="Arial" w:cs="Arial" w:eastAsia="Arial" w:hAnsi="Arial"/>
                <w:sz w:val="12"/>
                <w:szCs w:val="12"/>
                <w:color w:val="auto"/>
              </w:rPr>
              <w:t>Average balances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Total assets (c)</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122,554</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120,388</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118,487</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116,839</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117,799</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115,997</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116,413</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117,684</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tcPr>
          <w:p>
            <w:pPr>
              <w:ind w:left="240"/>
              <w:spacing w:after="0"/>
              <w:rPr>
                <w:sz w:val="20"/>
                <w:szCs w:val="20"/>
                <w:color w:val="auto"/>
              </w:rPr>
            </w:pPr>
            <w:r>
              <w:rPr>
                <w:rFonts w:ascii="Arial" w:cs="Arial" w:eastAsia="Arial" w:hAnsi="Arial"/>
                <w:sz w:val="12"/>
                <w:szCs w:val="12"/>
                <w:color w:val="auto"/>
              </w:rPr>
              <w:t>Total tangible assets (c)</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117,938</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115,769</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113,864</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112,213</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113,169</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111,363</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111,775</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113,041</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Earning assets</w:t>
            </w: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110,581</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108,643</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107,511</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106,096</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107,785</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105,835</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106,210</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107,231</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tcPr>
          <w:p>
            <w:pPr>
              <w:ind w:left="240"/>
              <w:spacing w:after="0"/>
              <w:rPr>
                <w:sz w:val="20"/>
                <w:szCs w:val="20"/>
                <w:color w:val="auto"/>
              </w:rPr>
            </w:pPr>
            <w:r>
              <w:rPr>
                <w:rFonts w:ascii="Arial" w:cs="Arial" w:eastAsia="Arial" w:hAnsi="Arial"/>
                <w:sz w:val="12"/>
                <w:szCs w:val="12"/>
                <w:color w:val="auto"/>
              </w:rPr>
              <w:t>Investment securities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10,044</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11,075</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12,170</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12,949</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13,034</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13,431</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13,856</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14,467</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Loans and leases, net of unearned discount</w:t>
            </w: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90,244</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90,078</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89,150</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88,477</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87,301</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87,132</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87,406</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87,766</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tcPr>
          <w:p>
            <w:pPr>
              <w:ind w:left="240"/>
              <w:spacing w:after="0"/>
              <w:rPr>
                <w:sz w:val="20"/>
                <w:szCs w:val="20"/>
                <w:color w:val="auto"/>
              </w:rPr>
            </w:pPr>
            <w:r>
              <w:rPr>
                <w:rFonts w:ascii="Arial" w:cs="Arial" w:eastAsia="Arial" w:hAnsi="Arial"/>
                <w:sz w:val="12"/>
                <w:szCs w:val="12"/>
                <w:color w:val="auto"/>
              </w:rPr>
              <w:t>Deposits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96,903</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94,095</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91,371</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89,733</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91,104</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89,252</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90,195</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91,119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Common shareholders’ equity (c)</w:t>
            </w: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14,582</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14,464</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14,398</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14,337</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14,157</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14,317</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14,301</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14,827</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tcPr>
          <w:p>
            <w:pPr>
              <w:ind w:left="240"/>
              <w:spacing w:after="0"/>
              <w:rPr>
                <w:sz w:val="20"/>
                <w:szCs w:val="20"/>
                <w:color w:val="auto"/>
              </w:rPr>
            </w:pPr>
            <w:r>
              <w:rPr>
                <w:rFonts w:ascii="Arial" w:cs="Arial" w:eastAsia="Arial" w:hAnsi="Arial"/>
                <w:sz w:val="12"/>
                <w:szCs w:val="12"/>
                <w:color w:val="auto"/>
              </w:rPr>
              <w:t>Tangible common shareholders’ equity (c)</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9,966</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9,845</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9,775</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9,711</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9,527</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9,683</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9,663</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10,184</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At end of quarter</w:t>
            </w: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tcPr>
          <w:p>
            <w:pPr>
              <w:ind w:left="240"/>
              <w:spacing w:after="0"/>
              <w:rPr>
                <w:sz w:val="20"/>
                <w:szCs w:val="20"/>
                <w:color w:val="auto"/>
              </w:rPr>
            </w:pPr>
            <w:r>
              <w:rPr>
                <w:rFonts w:ascii="Arial" w:cs="Arial" w:eastAsia="Arial" w:hAnsi="Arial"/>
                <w:sz w:val="12"/>
                <w:szCs w:val="12"/>
                <w:color w:val="auto"/>
              </w:rPr>
              <w:t>Total assets (c)</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119,873</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125,501</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121,555</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120,025</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120,097</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116,828</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118,426</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118,623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Total tangible assets (c)</w:t>
            </w: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115,258</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120,883</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116,934</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115,400</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115,470</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112,197</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113,790</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113,982</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tcPr>
          <w:p>
            <w:pPr>
              <w:ind w:left="240"/>
              <w:spacing w:after="0"/>
              <w:rPr>
                <w:sz w:val="20"/>
                <w:szCs w:val="20"/>
                <w:color w:val="auto"/>
              </w:rPr>
            </w:pPr>
            <w:r>
              <w:rPr>
                <w:rFonts w:ascii="Arial" w:cs="Arial" w:eastAsia="Arial" w:hAnsi="Arial"/>
                <w:sz w:val="12"/>
                <w:szCs w:val="12"/>
                <w:color w:val="auto"/>
              </w:rPr>
              <w:t>Earning assets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107,673</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113,067</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110,323</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108,849</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109,321</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106,331</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107,819</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107,976</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Investment securities</w:t>
            </w: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9,497</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10,678</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11,580</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12,537</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12,693</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13,074</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13,283</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14,067</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tcPr>
          <w:p>
            <w:pPr>
              <w:ind w:left="240"/>
              <w:spacing w:after="0"/>
              <w:rPr>
                <w:sz w:val="20"/>
                <w:szCs w:val="20"/>
                <w:color w:val="auto"/>
              </w:rPr>
            </w:pPr>
            <w:r>
              <w:rPr>
                <w:rFonts w:ascii="Arial" w:cs="Arial" w:eastAsia="Arial" w:hAnsi="Arial"/>
                <w:sz w:val="12"/>
                <w:szCs w:val="12"/>
                <w:color w:val="auto"/>
              </w:rPr>
              <w:t>Loans and leases, net of unearned discount</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90,923</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89,823</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89,878</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88,640</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88,466</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86,680</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87,797</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87,711</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Deposits</w:t>
            </w: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94,770</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95,114</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91,681</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90,470</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90,157</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89,140</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89,273</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90,947</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460" w:type="dxa"/>
            <w:vAlign w:val="bottom"/>
            <w:gridSpan w:val="2"/>
          </w:tcPr>
          <w:p>
            <w:pPr>
              <w:ind w:left="240"/>
              <w:spacing w:after="0" w:line="130" w:lineRule="exact"/>
              <w:rPr>
                <w:sz w:val="20"/>
                <w:szCs w:val="20"/>
                <w:color w:val="auto"/>
              </w:rPr>
            </w:pPr>
            <w:r>
              <w:rPr>
                <w:rFonts w:ascii="Arial" w:cs="Arial" w:eastAsia="Arial" w:hAnsi="Arial"/>
                <w:sz w:val="12"/>
                <w:szCs w:val="12"/>
                <w:color w:val="auto"/>
              </w:rPr>
              <w:t>Common shareholders’ equity, net of undeclared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60" w:type="dxa"/>
            <w:vAlign w:val="bottom"/>
            <w:gridSpan w:val="2"/>
          </w:tcPr>
          <w:p>
            <w:pPr>
              <w:ind w:left="400"/>
              <w:spacing w:after="0"/>
              <w:rPr>
                <w:sz w:val="20"/>
                <w:szCs w:val="20"/>
                <w:color w:val="auto"/>
              </w:rPr>
            </w:pPr>
            <w:r>
              <w:rPr>
                <w:rFonts w:ascii="Arial" w:cs="Arial" w:eastAsia="Arial" w:hAnsi="Arial"/>
                <w:sz w:val="12"/>
                <w:szCs w:val="12"/>
                <w:color w:val="auto"/>
              </w:rPr>
              <w:t>cumulative preferred dividends (c)</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14,467</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14,530</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14,457</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14,353</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14,225</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14,201</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14,343</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14,475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Tangible common shareholders’ equity (c)</w:t>
            </w: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9,852</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9,912</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9,836</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9,728</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9,598</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9,570</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9,707</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9,834</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tcPr>
          <w:p>
            <w:pPr>
              <w:ind w:left="240"/>
              <w:spacing w:after="0"/>
              <w:rPr>
                <w:sz w:val="20"/>
                <w:szCs w:val="20"/>
                <w:color w:val="auto"/>
              </w:rPr>
            </w:pPr>
            <w:r>
              <w:rPr>
                <w:rFonts w:ascii="Arial" w:cs="Arial" w:eastAsia="Arial" w:hAnsi="Arial"/>
                <w:sz w:val="12"/>
                <w:szCs w:val="12"/>
                <w:color w:val="auto"/>
              </w:rPr>
              <w:t>Equity per common share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110.78</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109.84</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107.73</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105.04</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102.69</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100.38</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99.43</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98.60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Tangible equity per common share</w:t>
            </w: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75.44</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74.93</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73.29</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71.19</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69.28</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67.64</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67.29</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66.99</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0" w:hanging="595"/>
        <w:spacing w:after="0" w:line="252" w:lineRule="auto"/>
        <w:tabs>
          <w:tab w:leader="none" w:pos="600" w:val="left"/>
        </w:tabs>
        <w:numPr>
          <w:ilvl w:val="0"/>
          <w:numId w:val="37"/>
        </w:numPr>
        <w:rPr>
          <w:rFonts w:ascii="Arial" w:cs="Arial" w:eastAsia="Arial" w:hAnsi="Arial"/>
          <w:sz w:val="11"/>
          <w:szCs w:val="11"/>
          <w:i w:val="1"/>
          <w:iCs w:val="1"/>
          <w:color w:val="auto"/>
        </w:rPr>
      </w:pPr>
      <w:r>
        <w:rPr>
          <w:rFonts w:ascii="Arial" w:cs="Arial" w:eastAsia="Arial" w:hAnsi="Arial"/>
          <w:sz w:val="11"/>
          <w:szCs w:val="11"/>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25.</w:t>
      </w:r>
    </w:p>
    <w:p>
      <w:pPr>
        <w:ind w:left="600" w:hanging="595"/>
        <w:spacing w:after="0"/>
        <w:tabs>
          <w:tab w:leader="none" w:pos="600" w:val="left"/>
        </w:tabs>
        <w:numPr>
          <w:ilvl w:val="0"/>
          <w:numId w:val="37"/>
        </w:numPr>
        <w:rPr>
          <w:rFonts w:ascii="Arial" w:cs="Arial" w:eastAsia="Arial" w:hAnsi="Arial"/>
          <w:sz w:val="11"/>
          <w:szCs w:val="11"/>
          <w:i w:val="1"/>
          <w:iCs w:val="1"/>
          <w:color w:val="auto"/>
        </w:rPr>
      </w:pPr>
      <w:r>
        <w:rPr>
          <w:rFonts w:ascii="Arial" w:cs="Arial" w:eastAsia="Arial" w:hAnsi="Arial"/>
          <w:sz w:val="11"/>
          <w:szCs w:val="11"/>
          <w:i w:val="1"/>
          <w:iCs w:val="1"/>
          <w:color w:val="auto"/>
        </w:rPr>
        <w:t>Excludes impact of merger-related expenses and net securities transactions.</w:t>
      </w:r>
    </w:p>
    <w:p>
      <w:pPr>
        <w:spacing w:after="0" w:line="4" w:lineRule="exact"/>
        <w:rPr>
          <w:rFonts w:ascii="Arial" w:cs="Arial" w:eastAsia="Arial" w:hAnsi="Arial"/>
          <w:sz w:val="11"/>
          <w:szCs w:val="11"/>
          <w:i w:val="1"/>
          <w:iCs w:val="1"/>
          <w:color w:val="auto"/>
        </w:rPr>
      </w:pPr>
    </w:p>
    <w:p>
      <w:pPr>
        <w:ind w:left="600" w:hanging="595"/>
        <w:spacing w:after="0" w:line="266" w:lineRule="auto"/>
        <w:tabs>
          <w:tab w:leader="none" w:pos="600" w:val="left"/>
        </w:tabs>
        <w:numPr>
          <w:ilvl w:val="0"/>
          <w:numId w:val="37"/>
        </w:numPr>
        <w:rPr>
          <w:rFonts w:ascii="Arial" w:cs="Arial" w:eastAsia="Arial" w:hAnsi="Arial"/>
          <w:sz w:val="11"/>
          <w:szCs w:val="11"/>
          <w:i w:val="1"/>
          <w:iCs w:val="1"/>
          <w:color w:val="auto"/>
        </w:rPr>
      </w:pPr>
      <w:r>
        <w:rPr>
          <w:rFonts w:ascii="Arial" w:cs="Arial" w:eastAsia="Arial" w:hAnsi="Arial"/>
          <w:sz w:val="11"/>
          <w:szCs w:val="11"/>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25 .</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642" w:right="239" w:bottom="1440" w:gutter="0" w:footer="0" w:header="0"/>
        </w:sectPr>
      </w:pPr>
    </w:p>
    <w:bookmarkStart w:id="106" w:name="page107"/>
    <w:bookmarkEnd w:id="106"/>
    <w:p>
      <w:pPr>
        <w:spacing w:after="0"/>
        <w:rPr>
          <w:sz w:val="20"/>
          <w:szCs w:val="20"/>
          <w:color w:val="auto"/>
        </w:rPr>
      </w:pPr>
      <w:r>
        <w:rPr>
          <w:rFonts w:ascii="Arial" w:cs="Arial" w:eastAsia="Arial" w:hAnsi="Arial"/>
          <w:sz w:val="20"/>
          <w:szCs w:val="20"/>
          <w:b w:val="1"/>
          <w:bCs w:val="1"/>
          <w:color w:val="auto"/>
        </w:rPr>
        <w:t>Table 25</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QUARTERLY GAAP TO NON-GAAP MEASURES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126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2"/>
                <w:szCs w:val="12"/>
                <w:b w:val="1"/>
                <w:bCs w:val="1"/>
                <w:color w:val="auto"/>
                <w:w w:val="95"/>
              </w:rPr>
              <w:t>Quarters</w:t>
            </w:r>
          </w:p>
        </w:tc>
        <w:tc>
          <w:tcPr>
            <w:tcW w:w="7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2"/>
                <w:szCs w:val="12"/>
                <w:b w:val="1"/>
                <w:bCs w:val="1"/>
                <w:color w:val="auto"/>
              </w:rPr>
              <w:t>2018 Quarters</w:t>
            </w: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Fourth</w:t>
            </w:r>
          </w:p>
        </w:tc>
        <w:tc>
          <w:tcPr>
            <w:tcW w:w="760" w:type="dxa"/>
            <w:vAlign w:val="bottom"/>
          </w:tcPr>
          <w:p>
            <w:pPr>
              <w:jc w:val="right"/>
              <w:ind w:right="179"/>
              <w:spacing w:after="0"/>
              <w:rPr>
                <w:sz w:val="20"/>
                <w:szCs w:val="20"/>
                <w:color w:val="auto"/>
              </w:rPr>
            </w:pPr>
            <w:r>
              <w:rPr>
                <w:rFonts w:ascii="Arial" w:cs="Arial" w:eastAsia="Arial" w:hAnsi="Arial"/>
                <w:sz w:val="12"/>
                <w:szCs w:val="12"/>
                <w:b w:val="1"/>
                <w:bCs w:val="1"/>
                <w:color w:val="auto"/>
              </w:rPr>
              <w:t>Third</w:t>
            </w:r>
          </w:p>
        </w:tc>
        <w:tc>
          <w:tcPr>
            <w:tcW w:w="260" w:type="dxa"/>
            <w:vAlign w:val="bottom"/>
          </w:tcPr>
          <w:p>
            <w:pPr>
              <w:spacing w:after="0"/>
              <w:rPr>
                <w:sz w:val="11"/>
                <w:szCs w:val="11"/>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Second</w:t>
            </w:r>
          </w:p>
        </w:tc>
        <w:tc>
          <w:tcPr>
            <w:tcW w:w="760" w:type="dxa"/>
            <w:vAlign w:val="bottom"/>
          </w:tcPr>
          <w:p>
            <w:pPr>
              <w:jc w:val="right"/>
              <w:ind w:right="199"/>
              <w:spacing w:after="0"/>
              <w:rPr>
                <w:sz w:val="20"/>
                <w:szCs w:val="20"/>
                <w:color w:val="auto"/>
              </w:rPr>
            </w:pPr>
            <w:r>
              <w:rPr>
                <w:rFonts w:ascii="Arial" w:cs="Arial" w:eastAsia="Arial" w:hAnsi="Arial"/>
                <w:sz w:val="12"/>
                <w:szCs w:val="12"/>
                <w:b w:val="1"/>
                <w:bCs w:val="1"/>
                <w:color w:val="auto"/>
              </w:rPr>
              <w:t>First</w:t>
            </w:r>
          </w:p>
        </w:tc>
        <w:tc>
          <w:tcPr>
            <w:tcW w:w="260" w:type="dxa"/>
            <w:vAlign w:val="bottom"/>
          </w:tcPr>
          <w:p>
            <w:pPr>
              <w:spacing w:after="0"/>
              <w:rPr>
                <w:sz w:val="11"/>
                <w:szCs w:val="11"/>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Fourth</w:t>
            </w:r>
          </w:p>
        </w:tc>
        <w:tc>
          <w:tcPr>
            <w:tcW w:w="102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Third</w:t>
            </w:r>
          </w:p>
        </w:tc>
        <w:tc>
          <w:tcPr>
            <w:tcW w:w="102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Second</w:t>
            </w:r>
          </w:p>
        </w:tc>
        <w:tc>
          <w:tcPr>
            <w:tcW w:w="800" w:type="dxa"/>
            <w:vAlign w:val="bottom"/>
          </w:tcPr>
          <w:p>
            <w:pPr>
              <w:jc w:val="right"/>
              <w:ind w:right="219"/>
              <w:spacing w:after="0"/>
              <w:rPr>
                <w:sz w:val="20"/>
                <w:szCs w:val="20"/>
                <w:color w:val="auto"/>
              </w:rPr>
            </w:pPr>
            <w:r>
              <w:rPr>
                <w:rFonts w:ascii="Arial" w:cs="Arial" w:eastAsia="Arial" w:hAnsi="Arial"/>
                <w:sz w:val="12"/>
                <w:szCs w:val="12"/>
                <w:b w:val="1"/>
                <w:bCs w:val="1"/>
                <w:color w:val="auto"/>
              </w:rPr>
              <w:t>First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400" w:type="dxa"/>
            <w:vAlign w:val="bottom"/>
            <w:tcBorders>
              <w:top w:val="single" w:sz="8" w:color="CFF0FC"/>
            </w:tcBorders>
            <w:gridSpan w:val="2"/>
            <w:shd w:val="clear" w:color="auto" w:fill="CFF0FC"/>
          </w:tcPr>
          <w:p>
            <w:pPr>
              <w:spacing w:after="0" w:line="120" w:lineRule="exact"/>
              <w:rPr>
                <w:sz w:val="20"/>
                <w:szCs w:val="20"/>
                <w:color w:val="auto"/>
              </w:rPr>
            </w:pPr>
            <w:r>
              <w:rPr>
                <w:rFonts w:ascii="Arial" w:cs="Arial" w:eastAsia="Arial" w:hAnsi="Arial"/>
                <w:sz w:val="12"/>
                <w:szCs w:val="12"/>
                <w:b w:val="1"/>
                <w:bCs w:val="1"/>
                <w:color w:val="auto"/>
              </w:rPr>
              <w:t>Income statement data (in thousands,</w:t>
            </w:r>
          </w:p>
        </w:tc>
        <w:tc>
          <w:tcPr>
            <w:tcW w:w="14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400" w:type="dxa"/>
            <w:vAlign w:val="bottom"/>
            <w:gridSpan w:val="2"/>
            <w:shd w:val="clear" w:color="auto" w:fill="CFF0FC"/>
          </w:tcPr>
          <w:p>
            <w:pPr>
              <w:ind w:left="100"/>
              <w:spacing w:after="0"/>
              <w:rPr>
                <w:sz w:val="20"/>
                <w:szCs w:val="20"/>
                <w:color w:val="auto"/>
              </w:rPr>
            </w:pPr>
            <w:r>
              <w:rPr>
                <w:rFonts w:ascii="Arial" w:cs="Arial" w:eastAsia="Arial" w:hAnsi="Arial"/>
                <w:sz w:val="12"/>
                <w:szCs w:val="12"/>
                <w:b w:val="1"/>
                <w:bCs w:val="1"/>
                <w:color w:val="auto"/>
              </w:rPr>
              <w:t>except per share)</w:t>
            </w: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400" w:type="dxa"/>
            <w:vAlign w:val="bottom"/>
            <w:gridSpan w:val="2"/>
          </w:tcPr>
          <w:p>
            <w:pPr>
              <w:spacing w:after="0"/>
              <w:rPr>
                <w:sz w:val="20"/>
                <w:szCs w:val="20"/>
                <w:color w:val="auto"/>
              </w:rPr>
            </w:pPr>
            <w:r>
              <w:rPr>
                <w:rFonts w:ascii="Arial" w:cs="Arial" w:eastAsia="Arial" w:hAnsi="Arial"/>
                <w:sz w:val="12"/>
                <w:szCs w:val="12"/>
                <w:b w:val="1"/>
                <w:bCs w:val="1"/>
                <w:color w:val="auto"/>
              </w:rPr>
              <w:t>Net income</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income</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493,066</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480,081</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473,260</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482,742</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546,219</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526,091</w:t>
            </w: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493,160</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352,610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400" w:type="dxa"/>
            <w:vAlign w:val="bottom"/>
            <w:gridSpan w:val="2"/>
          </w:tcPr>
          <w:p>
            <w:pPr>
              <w:spacing w:after="0" w:line="130" w:lineRule="exact"/>
              <w:rPr>
                <w:sz w:val="20"/>
                <w:szCs w:val="20"/>
                <w:color w:val="auto"/>
              </w:rPr>
            </w:pPr>
            <w:r>
              <w:rPr>
                <w:rFonts w:ascii="Arial" w:cs="Arial" w:eastAsia="Arial" w:hAnsi="Arial"/>
                <w:sz w:val="12"/>
                <w:szCs w:val="12"/>
                <w:color w:val="auto"/>
              </w:rPr>
              <w:t>Amortization of core deposit and other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00" w:type="dxa"/>
            <w:vAlign w:val="bottom"/>
            <w:tcBorders>
              <w:bottom w:val="single" w:sz="8" w:color="CFF0FC"/>
            </w:tcBorders>
            <w:gridSpan w:val="2"/>
          </w:tcPr>
          <w:p>
            <w:pPr>
              <w:ind w:left="100"/>
              <w:spacing w:after="0"/>
              <w:rPr>
                <w:sz w:val="20"/>
                <w:szCs w:val="20"/>
                <w:color w:val="auto"/>
              </w:rPr>
            </w:pPr>
            <w:r>
              <w:rPr>
                <w:rFonts w:ascii="Arial" w:cs="Arial" w:eastAsia="Arial" w:hAnsi="Arial"/>
                <w:sz w:val="12"/>
                <w:szCs w:val="12"/>
                <w:color w:val="auto"/>
              </w:rPr>
              <w:t>intangible assets (a)</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3,171</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3,749</w:t>
            </w:r>
          </w:p>
        </w:tc>
        <w:tc>
          <w:tcPr>
            <w:tcW w:w="2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3,741</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3,698</w:t>
            </w:r>
          </w:p>
        </w:tc>
        <w:tc>
          <w:tcPr>
            <w:tcW w:w="2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3,950</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4,528</w:t>
            </w:r>
          </w:p>
        </w:tc>
        <w:tc>
          <w:tcPr>
            <w:tcW w:w="26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4,709</w:t>
            </w:r>
          </w:p>
        </w:tc>
        <w:tc>
          <w:tcPr>
            <w:tcW w:w="2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4,888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0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2"/>
                <w:szCs w:val="12"/>
                <w:color w:val="auto"/>
              </w:rPr>
              <w:t>Net operating income</w:t>
            </w: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496,237</w:t>
            </w:r>
          </w:p>
        </w:tc>
        <w:tc>
          <w:tcPr>
            <w:tcW w:w="24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483,830</w:t>
            </w:r>
          </w:p>
        </w:tc>
        <w:tc>
          <w:tcPr>
            <w:tcW w:w="26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477,001</w:t>
            </w:r>
          </w:p>
        </w:tc>
        <w:tc>
          <w:tcPr>
            <w:tcW w:w="24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486,440</w:t>
            </w:r>
          </w:p>
        </w:tc>
        <w:tc>
          <w:tcPr>
            <w:tcW w:w="26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550,169</w:t>
            </w:r>
          </w:p>
        </w:tc>
        <w:tc>
          <w:tcPr>
            <w:tcW w:w="24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530,619</w:t>
            </w:r>
          </w:p>
        </w:tc>
        <w:tc>
          <w:tcPr>
            <w:tcW w:w="26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497,869</w:t>
            </w:r>
          </w:p>
        </w:tc>
        <w:tc>
          <w:tcPr>
            <w:tcW w:w="24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357,498</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Earnings per common share</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Diluted earnings per common share</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3.60</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3.47</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3.34</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3.35</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3.76</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3.53</w:t>
            </w: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3.26</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400" w:type="dxa"/>
            <w:vAlign w:val="bottom"/>
            <w:gridSpan w:val="2"/>
          </w:tcPr>
          <w:p>
            <w:pPr>
              <w:spacing w:after="0" w:line="130" w:lineRule="exact"/>
              <w:rPr>
                <w:sz w:val="20"/>
                <w:szCs w:val="20"/>
                <w:color w:val="auto"/>
              </w:rPr>
            </w:pPr>
            <w:r>
              <w:rPr>
                <w:rFonts w:ascii="Arial" w:cs="Arial" w:eastAsia="Arial" w:hAnsi="Arial"/>
                <w:sz w:val="12"/>
                <w:szCs w:val="12"/>
                <w:color w:val="auto"/>
              </w:rPr>
              <w:t>Amortization of core deposit and other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00" w:type="dxa"/>
            <w:vAlign w:val="bottom"/>
            <w:tcBorders>
              <w:bottom w:val="single" w:sz="8" w:color="CFF0FC"/>
            </w:tcBorders>
            <w:gridSpan w:val="2"/>
          </w:tcPr>
          <w:p>
            <w:pPr>
              <w:ind w:left="100"/>
              <w:spacing w:after="0"/>
              <w:rPr>
                <w:sz w:val="20"/>
                <w:szCs w:val="20"/>
                <w:color w:val="auto"/>
              </w:rPr>
            </w:pPr>
            <w:r>
              <w:rPr>
                <w:rFonts w:ascii="Arial" w:cs="Arial" w:eastAsia="Arial" w:hAnsi="Arial"/>
                <w:sz w:val="12"/>
                <w:szCs w:val="12"/>
                <w:color w:val="auto"/>
              </w:rPr>
              <w:t>intangible assets (a)</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2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2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26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2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400" w:type="dxa"/>
            <w:vAlign w:val="bottom"/>
            <w:gridSpan w:val="2"/>
            <w:shd w:val="clear" w:color="auto" w:fill="CFF0FC"/>
          </w:tcPr>
          <w:p>
            <w:pPr>
              <w:ind w:left="240"/>
              <w:spacing w:after="0" w:line="124" w:lineRule="exact"/>
              <w:rPr>
                <w:sz w:val="20"/>
                <w:szCs w:val="20"/>
                <w:color w:val="auto"/>
              </w:rPr>
            </w:pPr>
            <w:r>
              <w:rPr>
                <w:rFonts w:ascii="Arial" w:cs="Arial" w:eastAsia="Arial" w:hAnsi="Arial"/>
                <w:sz w:val="12"/>
                <w:szCs w:val="12"/>
                <w:color w:val="auto"/>
              </w:rPr>
              <w:t>Diluted net operating earnings per</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400" w:type="dxa"/>
            <w:vAlign w:val="bottom"/>
            <w:tcBorders>
              <w:bottom w:val="single" w:sz="8" w:color="CFF0FC"/>
            </w:tcBorders>
            <w:gridSpan w:val="2"/>
            <w:shd w:val="clear" w:color="auto" w:fill="CFF0FC"/>
          </w:tcPr>
          <w:p>
            <w:pPr>
              <w:ind w:left="340"/>
              <w:spacing w:after="0"/>
              <w:rPr>
                <w:sz w:val="20"/>
                <w:szCs w:val="20"/>
                <w:color w:val="auto"/>
              </w:rPr>
            </w:pPr>
            <w:r>
              <w:rPr>
                <w:rFonts w:ascii="Arial" w:cs="Arial" w:eastAsia="Arial" w:hAnsi="Arial"/>
                <w:sz w:val="12"/>
                <w:szCs w:val="12"/>
                <w:color w:val="auto"/>
              </w:rPr>
              <w:t>common share</w:t>
            </w: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3.62</w:t>
            </w:r>
          </w:p>
        </w:tc>
        <w:tc>
          <w:tcPr>
            <w:tcW w:w="2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3.50</w:t>
            </w:r>
          </w:p>
        </w:tc>
        <w:tc>
          <w:tcPr>
            <w:tcW w:w="26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3.37</w:t>
            </w:r>
          </w:p>
        </w:tc>
        <w:tc>
          <w:tcPr>
            <w:tcW w:w="2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3.38</w:t>
            </w:r>
          </w:p>
        </w:tc>
        <w:tc>
          <w:tcPr>
            <w:tcW w:w="26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3.79</w:t>
            </w:r>
          </w:p>
        </w:tc>
        <w:tc>
          <w:tcPr>
            <w:tcW w:w="2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3.56</w:t>
            </w:r>
          </w:p>
        </w:tc>
        <w:tc>
          <w:tcPr>
            <w:tcW w:w="26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3.29</w:t>
            </w:r>
          </w:p>
        </w:tc>
        <w:tc>
          <w:tcPr>
            <w:tcW w:w="24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2.26</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Other expense</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Other expense</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823,683</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877,619</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873,032</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894,348</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802,162</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775,979</w:t>
            </w: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776,577</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933,344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400" w:type="dxa"/>
            <w:vAlign w:val="bottom"/>
            <w:gridSpan w:val="2"/>
          </w:tcPr>
          <w:p>
            <w:pPr>
              <w:spacing w:after="0" w:line="130" w:lineRule="exact"/>
              <w:rPr>
                <w:sz w:val="20"/>
                <w:szCs w:val="20"/>
                <w:color w:val="auto"/>
              </w:rPr>
            </w:pPr>
            <w:r>
              <w:rPr>
                <w:rFonts w:ascii="Arial" w:cs="Arial" w:eastAsia="Arial" w:hAnsi="Arial"/>
                <w:sz w:val="12"/>
                <w:szCs w:val="12"/>
                <w:color w:val="auto"/>
              </w:rPr>
              <w:t>Amortization of core deposit and other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00" w:type="dxa"/>
            <w:vAlign w:val="bottom"/>
            <w:gridSpan w:val="2"/>
          </w:tcPr>
          <w:p>
            <w:pPr>
              <w:ind w:left="100"/>
              <w:spacing w:after="0"/>
              <w:rPr>
                <w:sz w:val="20"/>
                <w:szCs w:val="20"/>
                <w:color w:val="auto"/>
              </w:rPr>
            </w:pPr>
            <w:r>
              <w:rPr>
                <w:rFonts w:ascii="Arial" w:cs="Arial" w:eastAsia="Arial" w:hAnsi="Arial"/>
                <w:sz w:val="12"/>
                <w:szCs w:val="12"/>
                <w:color w:val="auto"/>
              </w:rPr>
              <w:t>intangible assets</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(4,305)</w:t>
            </w:r>
          </w:p>
        </w:tc>
        <w:tc>
          <w:tcPr>
            <w:tcW w:w="1020" w:type="dxa"/>
            <w:vAlign w:val="bottom"/>
            <w:gridSpan w:val="2"/>
          </w:tcPr>
          <w:p>
            <w:pPr>
              <w:jc w:val="right"/>
              <w:ind w:right="159"/>
              <w:spacing w:after="0"/>
              <w:rPr>
                <w:sz w:val="20"/>
                <w:szCs w:val="20"/>
                <w:color w:val="auto"/>
              </w:rPr>
            </w:pPr>
            <w:r>
              <w:rPr>
                <w:rFonts w:ascii="Arial" w:cs="Arial" w:eastAsia="Arial" w:hAnsi="Arial"/>
                <w:sz w:val="12"/>
                <w:szCs w:val="12"/>
                <w:color w:val="auto"/>
              </w:rPr>
              <w:t>(5,088)</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(5,077)</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(5,020)</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(5,359)</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(6,143)</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(6,388)</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(6,632)</w:t>
            </w:r>
          </w:p>
        </w:tc>
        <w:tc>
          <w:tcPr>
            <w:tcW w:w="0" w:type="dxa"/>
            <w:vAlign w:val="bottom"/>
          </w:tcPr>
          <w:p>
            <w:pPr>
              <w:spacing w:after="0"/>
              <w:rPr>
                <w:sz w:val="1"/>
                <w:szCs w:val="1"/>
                <w:color w:val="auto"/>
              </w:rPr>
            </w:pPr>
          </w:p>
        </w:tc>
      </w:tr>
      <w:tr>
        <w:trPr>
          <w:trHeight w:val="138"/>
        </w:trPr>
        <w:tc>
          <w:tcPr>
            <w:tcW w:w="340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2"/>
                <w:szCs w:val="12"/>
                <w:color w:val="auto"/>
              </w:rPr>
              <w:t>Noninterest operating expense</w:t>
            </w: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819,378</w:t>
            </w:r>
          </w:p>
        </w:tc>
        <w:tc>
          <w:tcPr>
            <w:tcW w:w="240" w:type="dxa"/>
            <w:vAlign w:val="bottom"/>
            <w:tcBorders>
              <w:top w:val="single" w:sz="8" w:color="CFF0FC"/>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872,531</w:t>
            </w:r>
          </w:p>
        </w:tc>
        <w:tc>
          <w:tcPr>
            <w:tcW w:w="260" w:type="dxa"/>
            <w:vAlign w:val="bottom"/>
            <w:tcBorders>
              <w:top w:val="single" w:sz="8" w:color="CFF0FC"/>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867,955</w:t>
            </w:r>
          </w:p>
        </w:tc>
        <w:tc>
          <w:tcPr>
            <w:tcW w:w="240" w:type="dxa"/>
            <w:vAlign w:val="bottom"/>
            <w:tcBorders>
              <w:top w:val="single" w:sz="8" w:color="CFF0FC"/>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889,328</w:t>
            </w:r>
          </w:p>
        </w:tc>
        <w:tc>
          <w:tcPr>
            <w:tcW w:w="260" w:type="dxa"/>
            <w:vAlign w:val="bottom"/>
            <w:tcBorders>
              <w:top w:val="single" w:sz="8" w:color="CFF0FC"/>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796,803</w:t>
            </w:r>
          </w:p>
        </w:tc>
        <w:tc>
          <w:tcPr>
            <w:tcW w:w="240" w:type="dxa"/>
            <w:vAlign w:val="bottom"/>
            <w:tcBorders>
              <w:top w:val="single" w:sz="8" w:color="CFF0FC"/>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769,836</w:t>
            </w:r>
          </w:p>
        </w:tc>
        <w:tc>
          <w:tcPr>
            <w:tcW w:w="260" w:type="dxa"/>
            <w:vAlign w:val="bottom"/>
            <w:tcBorders>
              <w:top w:val="single" w:sz="8" w:color="CFF0FC"/>
              <w:bottom w:val="single" w:sz="8" w:color="CFF0FC"/>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770,189</w:t>
            </w:r>
          </w:p>
        </w:tc>
        <w:tc>
          <w:tcPr>
            <w:tcW w:w="240" w:type="dxa"/>
            <w:vAlign w:val="bottom"/>
            <w:tcBorders>
              <w:top w:val="single" w:sz="8" w:color="CFF0FC"/>
              <w:bottom w:val="single" w:sz="8" w:color="CFF0FC"/>
            </w:tcBorders>
            <w:shd w:val="clear" w:color="auto" w:fill="CFF0FC"/>
          </w:tcPr>
          <w:p>
            <w:pPr>
              <w:spacing w:after="0"/>
              <w:rPr>
                <w:sz w:val="11"/>
                <w:szCs w:val="1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926,712</w:t>
            </w: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Efficiency ratio</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Noninterest operating expense (numerator)</w:t>
            </w: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819,378</w:t>
            </w:r>
          </w:p>
        </w:tc>
        <w:tc>
          <w:tcPr>
            <w:tcW w:w="2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872,531</w:t>
            </w:r>
          </w:p>
        </w:tc>
        <w:tc>
          <w:tcPr>
            <w:tcW w:w="26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867,955</w:t>
            </w:r>
          </w:p>
        </w:tc>
        <w:tc>
          <w:tcPr>
            <w:tcW w:w="2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889,328</w:t>
            </w:r>
          </w:p>
        </w:tc>
        <w:tc>
          <w:tcPr>
            <w:tcW w:w="26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796,803</w:t>
            </w:r>
          </w:p>
        </w:tc>
        <w:tc>
          <w:tcPr>
            <w:tcW w:w="2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769,836</w:t>
            </w:r>
          </w:p>
        </w:tc>
        <w:tc>
          <w:tcPr>
            <w:tcW w:w="26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770,189</w:t>
            </w:r>
          </w:p>
        </w:tc>
        <w:tc>
          <w:tcPr>
            <w:tcW w:w="24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926,712</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2"/>
                <w:szCs w:val="12"/>
                <w:color w:val="auto"/>
              </w:rPr>
              <w:t>Taxable-equivalent net interest income</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00" w:type="dxa"/>
            <w:vAlign w:val="bottom"/>
            <w:gridSpan w:val="2"/>
            <w:vMerge w:val="continue"/>
          </w:tcPr>
          <w:p>
            <w:pPr>
              <w:spacing w:after="0"/>
              <w:rPr>
                <w:sz w:val="10"/>
                <w:szCs w:val="10"/>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24" w:lineRule="exact"/>
              <w:rPr>
                <w:sz w:val="20"/>
                <w:szCs w:val="20"/>
                <w:color w:val="auto"/>
              </w:rPr>
            </w:pPr>
            <w:r>
              <w:rPr>
                <w:rFonts w:ascii="Arial" w:cs="Arial" w:eastAsia="Arial" w:hAnsi="Arial"/>
                <w:sz w:val="12"/>
                <w:szCs w:val="12"/>
                <w:color w:val="auto"/>
              </w:rPr>
              <w:t>1,014,225</w:t>
            </w:r>
          </w:p>
        </w:tc>
        <w:tc>
          <w:tcPr>
            <w:tcW w:w="24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Arial" w:cs="Arial" w:eastAsia="Arial" w:hAnsi="Arial"/>
                <w:sz w:val="12"/>
                <w:szCs w:val="12"/>
                <w:color w:val="auto"/>
              </w:rPr>
              <w:t>1,035,469</w:t>
            </w:r>
          </w:p>
        </w:tc>
        <w:tc>
          <w:tcPr>
            <w:tcW w:w="26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Arial" w:cs="Arial" w:eastAsia="Arial" w:hAnsi="Arial"/>
                <w:sz w:val="12"/>
                <w:szCs w:val="12"/>
                <w:color w:val="auto"/>
              </w:rPr>
              <w:t>1,047,406</w:t>
            </w:r>
          </w:p>
        </w:tc>
        <w:tc>
          <w:tcPr>
            <w:tcW w:w="24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Arial" w:cs="Arial" w:eastAsia="Arial" w:hAnsi="Arial"/>
                <w:sz w:val="12"/>
                <w:szCs w:val="12"/>
                <w:color w:val="auto"/>
              </w:rPr>
              <w:t>1,056,027</w:t>
            </w:r>
          </w:p>
        </w:tc>
        <w:tc>
          <w:tcPr>
            <w:tcW w:w="26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Arial" w:cs="Arial" w:eastAsia="Arial" w:hAnsi="Arial"/>
                <w:sz w:val="12"/>
                <w:szCs w:val="12"/>
                <w:color w:val="auto"/>
              </w:rPr>
              <w:t>1,064,918</w:t>
            </w:r>
          </w:p>
        </w:tc>
        <w:tc>
          <w:tcPr>
            <w:tcW w:w="24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Arial" w:cs="Arial" w:eastAsia="Arial" w:hAnsi="Arial"/>
                <w:sz w:val="12"/>
                <w:szCs w:val="12"/>
                <w:color w:val="auto"/>
              </w:rPr>
              <w:t>1,034,771</w:t>
            </w:r>
          </w:p>
        </w:tc>
        <w:tc>
          <w:tcPr>
            <w:tcW w:w="260" w:type="dxa"/>
            <w:vAlign w:val="bottom"/>
          </w:tcPr>
          <w:p>
            <w:pPr>
              <w:spacing w:after="0"/>
              <w:rPr>
                <w:sz w:val="10"/>
                <w:szCs w:val="10"/>
                <w:color w:val="auto"/>
              </w:rPr>
            </w:pPr>
          </w:p>
        </w:tc>
        <w:tc>
          <w:tcPr>
            <w:tcW w:w="780" w:type="dxa"/>
            <w:vAlign w:val="bottom"/>
          </w:tcPr>
          <w:p>
            <w:pPr>
              <w:jc w:val="right"/>
              <w:spacing w:after="0" w:line="124" w:lineRule="exact"/>
              <w:rPr>
                <w:sz w:val="20"/>
                <w:szCs w:val="20"/>
                <w:color w:val="auto"/>
              </w:rPr>
            </w:pPr>
            <w:r>
              <w:rPr>
                <w:rFonts w:ascii="Arial" w:cs="Arial" w:eastAsia="Arial" w:hAnsi="Arial"/>
                <w:sz w:val="12"/>
                <w:szCs w:val="12"/>
                <w:color w:val="auto"/>
              </w:rPr>
              <w:t>1,014,184</w:t>
            </w:r>
          </w:p>
        </w:tc>
        <w:tc>
          <w:tcPr>
            <w:tcW w:w="240" w:type="dxa"/>
            <w:vAlign w:val="bottom"/>
          </w:tcPr>
          <w:p>
            <w:pPr>
              <w:spacing w:after="0"/>
              <w:rPr>
                <w:sz w:val="10"/>
                <w:szCs w:val="10"/>
                <w:color w:val="auto"/>
              </w:rPr>
            </w:pPr>
          </w:p>
        </w:tc>
        <w:tc>
          <w:tcPr>
            <w:tcW w:w="800" w:type="dxa"/>
            <w:vAlign w:val="bottom"/>
          </w:tcPr>
          <w:p>
            <w:pPr>
              <w:jc w:val="right"/>
              <w:spacing w:after="0" w:line="124" w:lineRule="exact"/>
              <w:rPr>
                <w:sz w:val="20"/>
                <w:szCs w:val="20"/>
                <w:color w:val="auto"/>
              </w:rPr>
            </w:pPr>
            <w:r>
              <w:rPr>
                <w:rFonts w:ascii="Arial" w:cs="Arial" w:eastAsia="Arial" w:hAnsi="Arial"/>
                <w:sz w:val="12"/>
                <w:szCs w:val="12"/>
                <w:color w:val="auto"/>
              </w:rPr>
              <w:t>980,326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Other income</w:t>
            </w: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521,040</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527,779</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512,095</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500,765</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480,596</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459,294</w:t>
            </w: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457,414</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458,696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400" w:type="dxa"/>
            <w:vAlign w:val="bottom"/>
            <w:gridSpan w:val="2"/>
          </w:tcPr>
          <w:p>
            <w:pPr>
              <w:spacing w:after="0" w:line="130" w:lineRule="exact"/>
              <w:rPr>
                <w:sz w:val="20"/>
                <w:szCs w:val="20"/>
                <w:color w:val="auto"/>
              </w:rPr>
            </w:pPr>
            <w:r>
              <w:rPr>
                <w:rFonts w:ascii="Arial" w:cs="Arial" w:eastAsia="Arial" w:hAnsi="Arial"/>
                <w:sz w:val="12"/>
                <w:szCs w:val="12"/>
                <w:color w:val="auto"/>
              </w:rPr>
              <w:t>Less: Gain (loss) on bank investment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00" w:type="dxa"/>
            <w:vAlign w:val="bottom"/>
            <w:gridSpan w:val="2"/>
          </w:tcPr>
          <w:p>
            <w:pPr>
              <w:ind w:left="100"/>
              <w:spacing w:after="0"/>
              <w:rPr>
                <w:sz w:val="20"/>
                <w:szCs w:val="20"/>
                <w:color w:val="auto"/>
              </w:rPr>
            </w:pPr>
            <w:r>
              <w:rPr>
                <w:rFonts w:ascii="Arial" w:cs="Arial" w:eastAsia="Arial" w:hAnsi="Arial"/>
                <w:sz w:val="12"/>
                <w:szCs w:val="12"/>
                <w:color w:val="auto"/>
              </w:rPr>
              <w:t>securities</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(6,452)</w:t>
            </w:r>
          </w:p>
        </w:tc>
        <w:tc>
          <w:tcPr>
            <w:tcW w:w="760" w:type="dxa"/>
            <w:vAlign w:val="bottom"/>
          </w:tcPr>
          <w:p>
            <w:pPr>
              <w:jc w:val="right"/>
              <w:spacing w:after="0"/>
              <w:rPr>
                <w:sz w:val="20"/>
                <w:szCs w:val="20"/>
                <w:color w:val="auto"/>
              </w:rPr>
            </w:pPr>
            <w:r>
              <w:rPr>
                <w:rFonts w:ascii="Arial" w:cs="Arial" w:eastAsia="Arial" w:hAnsi="Arial"/>
                <w:sz w:val="12"/>
                <w:szCs w:val="12"/>
                <w:color w:val="auto"/>
              </w:rPr>
              <w:t>3,737</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8,911</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11,841</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4,219</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(3,415)</w:t>
            </w:r>
          </w:p>
        </w:tc>
        <w:tc>
          <w:tcPr>
            <w:tcW w:w="780" w:type="dxa"/>
            <w:vAlign w:val="bottom"/>
          </w:tcPr>
          <w:p>
            <w:pPr>
              <w:jc w:val="right"/>
              <w:spacing w:after="0"/>
              <w:rPr>
                <w:sz w:val="20"/>
                <w:szCs w:val="20"/>
                <w:color w:val="auto"/>
              </w:rPr>
            </w:pPr>
            <w:r>
              <w:rPr>
                <w:rFonts w:ascii="Arial" w:cs="Arial" w:eastAsia="Arial" w:hAnsi="Arial"/>
                <w:sz w:val="12"/>
                <w:szCs w:val="12"/>
                <w:color w:val="auto"/>
              </w:rPr>
              <w:t>2,326</w:t>
            </w:r>
          </w:p>
        </w:tc>
        <w:tc>
          <w:tcPr>
            <w:tcW w:w="24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(9,431)</w:t>
            </w:r>
          </w:p>
        </w:tc>
        <w:tc>
          <w:tcPr>
            <w:tcW w:w="0" w:type="dxa"/>
            <w:vAlign w:val="bottom"/>
          </w:tcPr>
          <w:p>
            <w:pPr>
              <w:spacing w:after="0"/>
              <w:rPr>
                <w:sz w:val="1"/>
                <w:szCs w:val="1"/>
                <w:color w:val="auto"/>
              </w:rPr>
            </w:pPr>
          </w:p>
        </w:tc>
      </w:tr>
      <w:tr>
        <w:trPr>
          <w:trHeight w:val="138"/>
        </w:trPr>
        <w:tc>
          <w:tcPr>
            <w:tcW w:w="34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Denominator</w:t>
            </w: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1,541,717</w:t>
            </w:r>
          </w:p>
        </w:tc>
        <w:tc>
          <w:tcPr>
            <w:tcW w:w="240" w:type="dxa"/>
            <w:vAlign w:val="bottom"/>
            <w:tcBorders>
              <w:top w:val="single" w:sz="8" w:color="CFF0FC"/>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1,559,511</w:t>
            </w:r>
          </w:p>
        </w:tc>
        <w:tc>
          <w:tcPr>
            <w:tcW w:w="260" w:type="dxa"/>
            <w:vAlign w:val="bottom"/>
            <w:tcBorders>
              <w:top w:val="single" w:sz="8" w:color="CFF0FC"/>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1,550,590</w:t>
            </w:r>
          </w:p>
        </w:tc>
        <w:tc>
          <w:tcPr>
            <w:tcW w:w="240" w:type="dxa"/>
            <w:vAlign w:val="bottom"/>
            <w:tcBorders>
              <w:top w:val="single" w:sz="8" w:color="CFF0FC"/>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1,544,951</w:t>
            </w:r>
          </w:p>
        </w:tc>
        <w:tc>
          <w:tcPr>
            <w:tcW w:w="260" w:type="dxa"/>
            <w:vAlign w:val="bottom"/>
            <w:tcBorders>
              <w:top w:val="single" w:sz="8" w:color="CFF0FC"/>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1,541,295</w:t>
            </w:r>
          </w:p>
        </w:tc>
        <w:tc>
          <w:tcPr>
            <w:tcW w:w="240" w:type="dxa"/>
            <w:vAlign w:val="bottom"/>
            <w:tcBorders>
              <w:top w:val="single" w:sz="8" w:color="CFF0FC"/>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1,497,480</w:t>
            </w:r>
          </w:p>
        </w:tc>
        <w:tc>
          <w:tcPr>
            <w:tcW w:w="260" w:type="dxa"/>
            <w:vAlign w:val="bottom"/>
            <w:tcBorders>
              <w:top w:val="single" w:sz="8" w:color="CFF0FC"/>
              <w:bottom w:val="single" w:sz="8" w:color="CFF0FC"/>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1,469,272</w:t>
            </w:r>
          </w:p>
        </w:tc>
        <w:tc>
          <w:tcPr>
            <w:tcW w:w="240" w:type="dxa"/>
            <w:vAlign w:val="bottom"/>
            <w:tcBorders>
              <w:top w:val="single" w:sz="8" w:color="CFF0FC"/>
              <w:bottom w:val="single" w:sz="8" w:color="CFF0FC"/>
            </w:tcBorders>
            <w:shd w:val="clear" w:color="auto" w:fill="CFF0FC"/>
          </w:tcPr>
          <w:p>
            <w:pPr>
              <w:spacing w:after="0"/>
              <w:rPr>
                <w:sz w:val="11"/>
                <w:szCs w:val="1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1,448,453</w:t>
            </w: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2"/>
                <w:szCs w:val="12"/>
                <w:color w:val="auto"/>
              </w:rPr>
              <w:t>Efficiency ratio</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53.15%</w:t>
            </w:r>
          </w:p>
        </w:tc>
        <w:tc>
          <w:tcPr>
            <w:tcW w:w="1020" w:type="dxa"/>
            <w:vAlign w:val="bottom"/>
            <w:gridSpan w:val="2"/>
          </w:tcPr>
          <w:p>
            <w:pPr>
              <w:jc w:val="right"/>
              <w:ind w:right="99"/>
              <w:spacing w:after="0" w:line="124" w:lineRule="exact"/>
              <w:rPr>
                <w:sz w:val="20"/>
                <w:szCs w:val="20"/>
                <w:color w:val="auto"/>
              </w:rPr>
            </w:pPr>
            <w:r>
              <w:rPr>
                <w:rFonts w:ascii="Arial" w:cs="Arial" w:eastAsia="Arial" w:hAnsi="Arial"/>
                <w:sz w:val="12"/>
                <w:szCs w:val="12"/>
                <w:color w:val="auto"/>
              </w:rPr>
              <w:t>55.95%</w:t>
            </w:r>
          </w:p>
        </w:tc>
        <w:tc>
          <w:tcPr>
            <w:tcW w:w="100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55.98%</w:t>
            </w:r>
          </w:p>
        </w:tc>
        <w:tc>
          <w:tcPr>
            <w:tcW w:w="102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57.56%</w:t>
            </w:r>
          </w:p>
        </w:tc>
        <w:tc>
          <w:tcPr>
            <w:tcW w:w="100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51.70%</w:t>
            </w:r>
          </w:p>
        </w:tc>
        <w:tc>
          <w:tcPr>
            <w:tcW w:w="102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51.41%</w:t>
            </w:r>
          </w:p>
        </w:tc>
        <w:tc>
          <w:tcPr>
            <w:tcW w:w="102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52.42%</w:t>
            </w:r>
          </w:p>
        </w:tc>
        <w:tc>
          <w:tcPr>
            <w:tcW w:w="9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63.98%</w:t>
            </w:r>
          </w:p>
        </w:tc>
        <w:tc>
          <w:tcPr>
            <w:tcW w:w="0" w:type="dxa"/>
            <w:vAlign w:val="bottom"/>
          </w:tcPr>
          <w:p>
            <w:pPr>
              <w:spacing w:after="0"/>
              <w:rPr>
                <w:sz w:val="1"/>
                <w:szCs w:val="1"/>
                <w:color w:val="auto"/>
              </w:rPr>
            </w:pPr>
          </w:p>
        </w:tc>
      </w:tr>
      <w:tr>
        <w:trPr>
          <w:trHeight w:val="124"/>
        </w:trPr>
        <w:tc>
          <w:tcPr>
            <w:tcW w:w="3400" w:type="dxa"/>
            <w:vAlign w:val="bottom"/>
            <w:tcBorders>
              <w:top w:val="single" w:sz="8" w:color="CFF0FC"/>
            </w:tcBorders>
            <w:gridSpan w:val="2"/>
            <w:shd w:val="clear" w:color="auto" w:fill="CFF0FC"/>
          </w:tcPr>
          <w:p>
            <w:pPr>
              <w:spacing w:after="0" w:line="124" w:lineRule="exact"/>
              <w:rPr>
                <w:sz w:val="20"/>
                <w:szCs w:val="20"/>
                <w:color w:val="auto"/>
              </w:rPr>
            </w:pPr>
            <w:r>
              <w:rPr>
                <w:rFonts w:ascii="Arial" w:cs="Arial" w:eastAsia="Arial" w:hAnsi="Arial"/>
                <w:sz w:val="12"/>
                <w:szCs w:val="12"/>
                <w:b w:val="1"/>
                <w:bCs w:val="1"/>
                <w:color w:val="auto"/>
              </w:rPr>
              <w:t>Balance sheet data (in millions)</w:t>
            </w:r>
          </w:p>
        </w:tc>
        <w:tc>
          <w:tcPr>
            <w:tcW w:w="14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00" w:type="dxa"/>
            <w:vAlign w:val="bottom"/>
            <w:gridSpan w:val="2"/>
          </w:tcPr>
          <w:p>
            <w:pPr>
              <w:spacing w:after="0"/>
              <w:rPr>
                <w:sz w:val="20"/>
                <w:szCs w:val="20"/>
                <w:color w:val="auto"/>
              </w:rPr>
            </w:pPr>
            <w:r>
              <w:rPr>
                <w:rFonts w:ascii="Arial" w:cs="Arial" w:eastAsia="Arial" w:hAnsi="Arial"/>
                <w:sz w:val="12"/>
                <w:szCs w:val="12"/>
                <w:b w:val="1"/>
                <w:bCs w:val="1"/>
                <w:color w:val="auto"/>
              </w:rPr>
              <w:t>Average assets</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Average assets</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122,554</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120,388</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118,487</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116,839</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117,799</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115,997</w:t>
            </w: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116,413</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117,684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00" w:type="dxa"/>
            <w:vAlign w:val="bottom"/>
            <w:gridSpan w:val="2"/>
          </w:tcPr>
          <w:p>
            <w:pPr>
              <w:spacing w:after="0"/>
              <w:rPr>
                <w:sz w:val="20"/>
                <w:szCs w:val="20"/>
                <w:color w:val="auto"/>
              </w:rPr>
            </w:pPr>
            <w:r>
              <w:rPr>
                <w:rFonts w:ascii="Arial" w:cs="Arial" w:eastAsia="Arial" w:hAnsi="Arial"/>
                <w:sz w:val="12"/>
                <w:szCs w:val="12"/>
                <w:color w:val="auto"/>
              </w:rPr>
              <w:t>Goodwill</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(4,593)</w:t>
            </w:r>
          </w:p>
        </w:tc>
        <w:tc>
          <w:tcPr>
            <w:tcW w:w="1020" w:type="dxa"/>
            <w:vAlign w:val="bottom"/>
            <w:gridSpan w:val="2"/>
          </w:tcPr>
          <w:p>
            <w:pPr>
              <w:jc w:val="right"/>
              <w:ind w:right="159"/>
              <w:spacing w:after="0"/>
              <w:rPr>
                <w:sz w:val="20"/>
                <w:szCs w:val="20"/>
                <w:color w:val="auto"/>
              </w:rPr>
            </w:pPr>
            <w:r>
              <w:rPr>
                <w:rFonts w:ascii="Arial" w:cs="Arial" w:eastAsia="Arial" w:hAnsi="Arial"/>
                <w:sz w:val="12"/>
                <w:szCs w:val="12"/>
                <w:color w:val="auto"/>
              </w:rPr>
              <w:t>(4,593)</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(4,593)</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(4,593)</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(4,593)</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(4,593)</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(4,593)</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(4,593)</w:t>
            </w: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Core deposit and other intangible assets</w:t>
            </w: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(31)</w:t>
            </w:r>
          </w:p>
        </w:tc>
        <w:tc>
          <w:tcPr>
            <w:tcW w:w="1020" w:type="dxa"/>
            <w:vAlign w:val="bottom"/>
            <w:gridSpan w:val="2"/>
            <w:shd w:val="clear" w:color="auto" w:fill="CFF0FC"/>
          </w:tcPr>
          <w:p>
            <w:pPr>
              <w:jc w:val="right"/>
              <w:ind w:right="159"/>
              <w:spacing w:after="0"/>
              <w:rPr>
                <w:sz w:val="20"/>
                <w:szCs w:val="20"/>
                <w:color w:val="auto"/>
              </w:rPr>
            </w:pPr>
            <w:r>
              <w:rPr>
                <w:rFonts w:ascii="Arial" w:cs="Arial" w:eastAsia="Arial" w:hAnsi="Arial"/>
                <w:sz w:val="12"/>
                <w:szCs w:val="12"/>
                <w:color w:val="auto"/>
              </w:rPr>
              <w:t>(36)</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(41)</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(45)</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(50)</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(55)</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(62)</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45"/>
        </w:trPr>
        <w:tc>
          <w:tcPr>
            <w:tcW w:w="34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Deferred taxes</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2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2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26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2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0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2"/>
                <w:szCs w:val="12"/>
                <w:color w:val="auto"/>
              </w:rPr>
              <w:t>Average tangible assets</w:t>
            </w: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117,938</w:t>
            </w:r>
          </w:p>
        </w:tc>
        <w:tc>
          <w:tcPr>
            <w:tcW w:w="24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115,769</w:t>
            </w:r>
          </w:p>
        </w:tc>
        <w:tc>
          <w:tcPr>
            <w:tcW w:w="26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113,864</w:t>
            </w:r>
          </w:p>
        </w:tc>
        <w:tc>
          <w:tcPr>
            <w:tcW w:w="24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112,213</w:t>
            </w:r>
          </w:p>
        </w:tc>
        <w:tc>
          <w:tcPr>
            <w:tcW w:w="26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113,169</w:t>
            </w:r>
          </w:p>
        </w:tc>
        <w:tc>
          <w:tcPr>
            <w:tcW w:w="24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111,363</w:t>
            </w:r>
          </w:p>
        </w:tc>
        <w:tc>
          <w:tcPr>
            <w:tcW w:w="26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111,775</w:t>
            </w:r>
          </w:p>
        </w:tc>
        <w:tc>
          <w:tcPr>
            <w:tcW w:w="24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113,041</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Average common equity</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Average total equity</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15,832</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15,837</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15,630</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15,569</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15,389</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15,549</w:t>
            </w: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15,533</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16,059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00" w:type="dxa"/>
            <w:vAlign w:val="bottom"/>
            <w:gridSpan w:val="2"/>
          </w:tcPr>
          <w:p>
            <w:pPr>
              <w:spacing w:after="0"/>
              <w:rPr>
                <w:sz w:val="20"/>
                <w:szCs w:val="20"/>
                <w:color w:val="auto"/>
              </w:rPr>
            </w:pPr>
            <w:r>
              <w:rPr>
                <w:rFonts w:ascii="Arial" w:cs="Arial" w:eastAsia="Arial" w:hAnsi="Arial"/>
                <w:sz w:val="12"/>
                <w:szCs w:val="12"/>
                <w:color w:val="auto"/>
              </w:rPr>
              <w:t>Preferred stock</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(1,250)</w:t>
            </w:r>
          </w:p>
        </w:tc>
        <w:tc>
          <w:tcPr>
            <w:tcW w:w="1020" w:type="dxa"/>
            <w:vAlign w:val="bottom"/>
            <w:gridSpan w:val="2"/>
          </w:tcPr>
          <w:p>
            <w:pPr>
              <w:jc w:val="right"/>
              <w:ind w:right="159"/>
              <w:spacing w:after="0"/>
              <w:rPr>
                <w:sz w:val="20"/>
                <w:szCs w:val="20"/>
                <w:color w:val="auto"/>
              </w:rPr>
            </w:pPr>
            <w:r>
              <w:rPr>
                <w:rFonts w:ascii="Arial" w:cs="Arial" w:eastAsia="Arial" w:hAnsi="Arial"/>
                <w:sz w:val="12"/>
                <w:szCs w:val="12"/>
                <w:color w:val="auto"/>
              </w:rPr>
              <w:t>(1,373)</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(1,232)</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(1,232)</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(1,232)</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(1,232)</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(1,232)</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(1,232)</w:t>
            </w:r>
          </w:p>
        </w:tc>
        <w:tc>
          <w:tcPr>
            <w:tcW w:w="0" w:type="dxa"/>
            <w:vAlign w:val="bottom"/>
          </w:tcPr>
          <w:p>
            <w:pPr>
              <w:spacing w:after="0"/>
              <w:rPr>
                <w:sz w:val="1"/>
                <w:szCs w:val="1"/>
                <w:color w:val="auto"/>
              </w:rPr>
            </w:pPr>
          </w:p>
        </w:tc>
      </w:tr>
      <w:tr>
        <w:trPr>
          <w:trHeight w:val="138"/>
        </w:trPr>
        <w:tc>
          <w:tcPr>
            <w:tcW w:w="340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2"/>
                <w:szCs w:val="12"/>
                <w:color w:val="auto"/>
              </w:rPr>
              <w:t>Average common equity</w:t>
            </w:r>
          </w:p>
        </w:tc>
        <w:tc>
          <w:tcPr>
            <w:tcW w:w="14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14,582</w:t>
            </w:r>
          </w:p>
        </w:tc>
        <w:tc>
          <w:tcPr>
            <w:tcW w:w="24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14,464</w:t>
            </w:r>
          </w:p>
        </w:tc>
        <w:tc>
          <w:tcPr>
            <w:tcW w:w="26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14,398</w:t>
            </w:r>
          </w:p>
        </w:tc>
        <w:tc>
          <w:tcPr>
            <w:tcW w:w="24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14,337</w:t>
            </w:r>
          </w:p>
        </w:tc>
        <w:tc>
          <w:tcPr>
            <w:tcW w:w="26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14,157</w:t>
            </w:r>
          </w:p>
        </w:tc>
        <w:tc>
          <w:tcPr>
            <w:tcW w:w="24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14,317</w:t>
            </w:r>
          </w:p>
        </w:tc>
        <w:tc>
          <w:tcPr>
            <w:tcW w:w="26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14,301</w:t>
            </w:r>
          </w:p>
        </w:tc>
        <w:tc>
          <w:tcPr>
            <w:tcW w:w="24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14,827</w:t>
            </w: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400" w:type="dxa"/>
            <w:vAlign w:val="bottom"/>
            <w:gridSpan w:val="2"/>
          </w:tcPr>
          <w:p>
            <w:pPr>
              <w:spacing w:after="0"/>
              <w:rPr>
                <w:sz w:val="20"/>
                <w:szCs w:val="20"/>
                <w:color w:val="auto"/>
              </w:rPr>
            </w:pPr>
            <w:r>
              <w:rPr>
                <w:rFonts w:ascii="Arial" w:cs="Arial" w:eastAsia="Arial" w:hAnsi="Arial"/>
                <w:sz w:val="12"/>
                <w:szCs w:val="12"/>
                <w:color w:val="auto"/>
              </w:rPr>
              <w:t>Goodwill</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(4,593)</w:t>
            </w:r>
          </w:p>
        </w:tc>
        <w:tc>
          <w:tcPr>
            <w:tcW w:w="1020" w:type="dxa"/>
            <w:vAlign w:val="bottom"/>
            <w:gridSpan w:val="2"/>
          </w:tcPr>
          <w:p>
            <w:pPr>
              <w:jc w:val="right"/>
              <w:ind w:right="159"/>
              <w:spacing w:after="0"/>
              <w:rPr>
                <w:sz w:val="20"/>
                <w:szCs w:val="20"/>
                <w:color w:val="auto"/>
              </w:rPr>
            </w:pPr>
            <w:r>
              <w:rPr>
                <w:rFonts w:ascii="Arial" w:cs="Arial" w:eastAsia="Arial" w:hAnsi="Arial"/>
                <w:sz w:val="12"/>
                <w:szCs w:val="12"/>
                <w:color w:val="auto"/>
              </w:rPr>
              <w:t>(4,593)</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(4,593)</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(4,593)</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(4,593)</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(4,593)</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(4,593)</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(4,593)</w:t>
            </w: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Core deposit and other intangible assets</w:t>
            </w: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(31)</w:t>
            </w:r>
          </w:p>
        </w:tc>
        <w:tc>
          <w:tcPr>
            <w:tcW w:w="1020" w:type="dxa"/>
            <w:vAlign w:val="bottom"/>
            <w:gridSpan w:val="2"/>
            <w:shd w:val="clear" w:color="auto" w:fill="CFF0FC"/>
          </w:tcPr>
          <w:p>
            <w:pPr>
              <w:jc w:val="right"/>
              <w:ind w:right="159"/>
              <w:spacing w:after="0"/>
              <w:rPr>
                <w:sz w:val="20"/>
                <w:szCs w:val="20"/>
                <w:color w:val="auto"/>
              </w:rPr>
            </w:pPr>
            <w:r>
              <w:rPr>
                <w:rFonts w:ascii="Arial" w:cs="Arial" w:eastAsia="Arial" w:hAnsi="Arial"/>
                <w:sz w:val="12"/>
                <w:szCs w:val="12"/>
                <w:color w:val="auto"/>
              </w:rPr>
              <w:t>(36)</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(41)</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(45)</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(50)</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(55)</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(62)</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45"/>
        </w:trPr>
        <w:tc>
          <w:tcPr>
            <w:tcW w:w="34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Deferred taxes</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2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2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26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2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0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2"/>
                <w:szCs w:val="12"/>
                <w:color w:val="auto"/>
              </w:rPr>
              <w:t>Average tangible common equity</w:t>
            </w: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9,966</w:t>
            </w:r>
          </w:p>
        </w:tc>
        <w:tc>
          <w:tcPr>
            <w:tcW w:w="24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9,845</w:t>
            </w:r>
          </w:p>
        </w:tc>
        <w:tc>
          <w:tcPr>
            <w:tcW w:w="26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9,775</w:t>
            </w:r>
          </w:p>
        </w:tc>
        <w:tc>
          <w:tcPr>
            <w:tcW w:w="24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9,711</w:t>
            </w:r>
          </w:p>
        </w:tc>
        <w:tc>
          <w:tcPr>
            <w:tcW w:w="26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9,527</w:t>
            </w:r>
          </w:p>
        </w:tc>
        <w:tc>
          <w:tcPr>
            <w:tcW w:w="24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9,683</w:t>
            </w:r>
          </w:p>
        </w:tc>
        <w:tc>
          <w:tcPr>
            <w:tcW w:w="26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9,663</w:t>
            </w:r>
          </w:p>
        </w:tc>
        <w:tc>
          <w:tcPr>
            <w:tcW w:w="24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10,184</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At end of quarter</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Total assets</w:t>
            </w: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00" w:type="dxa"/>
            <w:vAlign w:val="bottom"/>
            <w:gridSpan w:val="2"/>
          </w:tcPr>
          <w:p>
            <w:pPr>
              <w:spacing w:after="0"/>
              <w:rPr>
                <w:sz w:val="20"/>
                <w:szCs w:val="20"/>
                <w:color w:val="auto"/>
              </w:rPr>
            </w:pPr>
            <w:r>
              <w:rPr>
                <w:rFonts w:ascii="Arial" w:cs="Arial" w:eastAsia="Arial" w:hAnsi="Arial"/>
                <w:sz w:val="12"/>
                <w:szCs w:val="12"/>
                <w:color w:val="auto"/>
              </w:rPr>
              <w:t>Total assets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119,873</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125,501</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121,555</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120,025</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120,097</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116,828</w:t>
            </w:r>
          </w:p>
        </w:tc>
        <w:tc>
          <w:tcPr>
            <w:tcW w:w="2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118,426</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118,623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Goodwill</w:t>
            </w: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(4,593)</w:t>
            </w:r>
          </w:p>
        </w:tc>
        <w:tc>
          <w:tcPr>
            <w:tcW w:w="1020" w:type="dxa"/>
            <w:vAlign w:val="bottom"/>
            <w:gridSpan w:val="2"/>
            <w:shd w:val="clear" w:color="auto" w:fill="CFF0FC"/>
          </w:tcPr>
          <w:p>
            <w:pPr>
              <w:jc w:val="right"/>
              <w:ind w:right="159"/>
              <w:spacing w:after="0"/>
              <w:rPr>
                <w:sz w:val="20"/>
                <w:szCs w:val="20"/>
                <w:color w:val="auto"/>
              </w:rPr>
            </w:pPr>
            <w:r>
              <w:rPr>
                <w:rFonts w:ascii="Arial" w:cs="Arial" w:eastAsia="Arial" w:hAnsi="Arial"/>
                <w:sz w:val="12"/>
                <w:szCs w:val="12"/>
                <w:color w:val="auto"/>
              </w:rPr>
              <w:t>(4,593)</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(4,593)</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(4,593)</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(4,593)</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(4,593)</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(4,593)</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(4,593)</w:t>
            </w:r>
          </w:p>
        </w:tc>
        <w:tc>
          <w:tcPr>
            <w:tcW w:w="0" w:type="dxa"/>
            <w:vAlign w:val="bottom"/>
          </w:tcPr>
          <w:p>
            <w:pPr>
              <w:spacing w:after="0"/>
              <w:rPr>
                <w:sz w:val="1"/>
                <w:szCs w:val="1"/>
                <w:color w:val="auto"/>
              </w:rPr>
            </w:pPr>
          </w:p>
        </w:tc>
      </w:tr>
      <w:tr>
        <w:trPr>
          <w:trHeight w:val="145"/>
        </w:trPr>
        <w:tc>
          <w:tcPr>
            <w:tcW w:w="3400" w:type="dxa"/>
            <w:vAlign w:val="bottom"/>
            <w:gridSpan w:val="2"/>
          </w:tcPr>
          <w:p>
            <w:pPr>
              <w:spacing w:after="0"/>
              <w:rPr>
                <w:sz w:val="20"/>
                <w:szCs w:val="20"/>
                <w:color w:val="auto"/>
              </w:rPr>
            </w:pPr>
            <w:r>
              <w:rPr>
                <w:rFonts w:ascii="Arial" w:cs="Arial" w:eastAsia="Arial" w:hAnsi="Arial"/>
                <w:sz w:val="12"/>
                <w:szCs w:val="12"/>
                <w:color w:val="auto"/>
              </w:rPr>
              <w:t>Core deposit and other intangible assets</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(29)</w:t>
            </w:r>
          </w:p>
        </w:tc>
        <w:tc>
          <w:tcPr>
            <w:tcW w:w="1020" w:type="dxa"/>
            <w:vAlign w:val="bottom"/>
            <w:gridSpan w:val="2"/>
          </w:tcPr>
          <w:p>
            <w:pPr>
              <w:jc w:val="right"/>
              <w:ind w:right="159"/>
              <w:spacing w:after="0"/>
              <w:rPr>
                <w:sz w:val="20"/>
                <w:szCs w:val="20"/>
                <w:color w:val="auto"/>
              </w:rPr>
            </w:pPr>
            <w:r>
              <w:rPr>
                <w:rFonts w:ascii="Arial" w:cs="Arial" w:eastAsia="Arial" w:hAnsi="Arial"/>
                <w:sz w:val="12"/>
                <w:szCs w:val="12"/>
                <w:color w:val="auto"/>
              </w:rPr>
              <w:t>(33)</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(38)</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(44)</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(47)</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(52)</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(59)</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Deferred taxes</w:t>
            </w:r>
          </w:p>
        </w:tc>
        <w:tc>
          <w:tcPr>
            <w:tcW w:w="14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w:t>
            </w:r>
          </w:p>
        </w:tc>
        <w:tc>
          <w:tcPr>
            <w:tcW w:w="240" w:type="dxa"/>
            <w:vAlign w:val="bottom"/>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w:t>
            </w:r>
          </w:p>
        </w:tc>
        <w:tc>
          <w:tcPr>
            <w:tcW w:w="260" w:type="dxa"/>
            <w:vAlign w:val="bottom"/>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w:t>
            </w:r>
          </w:p>
        </w:tc>
        <w:tc>
          <w:tcPr>
            <w:tcW w:w="240" w:type="dxa"/>
            <w:vAlign w:val="bottom"/>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w:t>
            </w:r>
          </w:p>
        </w:tc>
        <w:tc>
          <w:tcPr>
            <w:tcW w:w="260" w:type="dxa"/>
            <w:vAlign w:val="bottom"/>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w:t>
            </w:r>
          </w:p>
        </w:tc>
        <w:tc>
          <w:tcPr>
            <w:tcW w:w="240" w:type="dxa"/>
            <w:vAlign w:val="bottom"/>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w:t>
            </w:r>
          </w:p>
        </w:tc>
        <w:tc>
          <w:tcPr>
            <w:tcW w:w="260" w:type="dxa"/>
            <w:vAlign w:val="bottom"/>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w:t>
            </w:r>
          </w:p>
        </w:tc>
        <w:tc>
          <w:tcPr>
            <w:tcW w:w="240" w:type="dxa"/>
            <w:vAlign w:val="bottom"/>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00" w:type="dxa"/>
            <w:vAlign w:val="bottom"/>
            <w:tcBorders>
              <w:bottom w:val="single" w:sz="8" w:color="CFF0FC"/>
            </w:tcBorders>
            <w:gridSpan w:val="2"/>
          </w:tcPr>
          <w:p>
            <w:pPr>
              <w:ind w:left="240"/>
              <w:spacing w:after="0"/>
              <w:rPr>
                <w:sz w:val="20"/>
                <w:szCs w:val="20"/>
                <w:color w:val="auto"/>
              </w:rPr>
            </w:pPr>
            <w:r>
              <w:rPr>
                <w:rFonts w:ascii="Arial" w:cs="Arial" w:eastAsia="Arial" w:hAnsi="Arial"/>
                <w:sz w:val="12"/>
                <w:szCs w:val="12"/>
                <w:color w:val="auto"/>
              </w:rPr>
              <w:t>Total tangible assets</w:t>
            </w: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115,258</w:t>
            </w:r>
          </w:p>
        </w:tc>
        <w:tc>
          <w:tcPr>
            <w:tcW w:w="24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120,883</w:t>
            </w:r>
          </w:p>
        </w:tc>
        <w:tc>
          <w:tcPr>
            <w:tcW w:w="26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116,934</w:t>
            </w:r>
          </w:p>
        </w:tc>
        <w:tc>
          <w:tcPr>
            <w:tcW w:w="24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115,400</w:t>
            </w:r>
          </w:p>
        </w:tc>
        <w:tc>
          <w:tcPr>
            <w:tcW w:w="26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115,470</w:t>
            </w:r>
          </w:p>
        </w:tc>
        <w:tc>
          <w:tcPr>
            <w:tcW w:w="24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112,197</w:t>
            </w:r>
          </w:p>
        </w:tc>
        <w:tc>
          <w:tcPr>
            <w:tcW w:w="26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113,790</w:t>
            </w:r>
          </w:p>
        </w:tc>
        <w:tc>
          <w:tcPr>
            <w:tcW w:w="24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113,982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400" w:type="dxa"/>
            <w:vAlign w:val="bottom"/>
            <w:gridSpan w:val="2"/>
            <w:shd w:val="clear" w:color="auto" w:fill="CFF0FC"/>
          </w:tcPr>
          <w:p>
            <w:pPr>
              <w:spacing w:after="0" w:line="124" w:lineRule="exact"/>
              <w:rPr>
                <w:sz w:val="20"/>
                <w:szCs w:val="20"/>
                <w:color w:val="auto"/>
              </w:rPr>
            </w:pPr>
            <w:r>
              <w:rPr>
                <w:rFonts w:ascii="Arial" w:cs="Arial" w:eastAsia="Arial" w:hAnsi="Arial"/>
                <w:sz w:val="12"/>
                <w:szCs w:val="12"/>
                <w:b w:val="1"/>
                <w:bCs w:val="1"/>
                <w:color w:val="auto"/>
              </w:rPr>
              <w:t>Total common equity</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00" w:type="dxa"/>
            <w:vAlign w:val="bottom"/>
            <w:gridSpan w:val="2"/>
          </w:tcPr>
          <w:p>
            <w:pPr>
              <w:spacing w:after="0"/>
              <w:rPr>
                <w:sz w:val="20"/>
                <w:szCs w:val="20"/>
                <w:color w:val="auto"/>
              </w:rPr>
            </w:pPr>
            <w:r>
              <w:rPr>
                <w:rFonts w:ascii="Arial" w:cs="Arial" w:eastAsia="Arial" w:hAnsi="Arial"/>
                <w:sz w:val="12"/>
                <w:szCs w:val="12"/>
                <w:color w:val="auto"/>
              </w:rPr>
              <w:t>Total equity</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15,717</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15,780</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15,692</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15,588</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15,460</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15,436</w:t>
            </w:r>
          </w:p>
        </w:tc>
        <w:tc>
          <w:tcPr>
            <w:tcW w:w="2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15,578</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15,710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Preferred stock</w:t>
            </w: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(1,250)</w:t>
            </w:r>
          </w:p>
        </w:tc>
        <w:tc>
          <w:tcPr>
            <w:tcW w:w="1020" w:type="dxa"/>
            <w:vAlign w:val="bottom"/>
            <w:gridSpan w:val="2"/>
            <w:shd w:val="clear" w:color="auto" w:fill="CFF0FC"/>
          </w:tcPr>
          <w:p>
            <w:pPr>
              <w:jc w:val="right"/>
              <w:ind w:right="159"/>
              <w:spacing w:after="0"/>
              <w:rPr>
                <w:sz w:val="20"/>
                <w:szCs w:val="20"/>
                <w:color w:val="auto"/>
              </w:rPr>
            </w:pPr>
            <w:r>
              <w:rPr>
                <w:rFonts w:ascii="Arial" w:cs="Arial" w:eastAsia="Arial" w:hAnsi="Arial"/>
                <w:sz w:val="12"/>
                <w:szCs w:val="12"/>
                <w:color w:val="auto"/>
              </w:rPr>
              <w:t>(1,250)</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(1,232)</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(1,232)</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(1,232)</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(1,232)</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(1,232)</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(1,232)</w:t>
            </w:r>
          </w:p>
        </w:tc>
        <w:tc>
          <w:tcPr>
            <w:tcW w:w="0" w:type="dxa"/>
            <w:vAlign w:val="bottom"/>
          </w:tcPr>
          <w:p>
            <w:pPr>
              <w:spacing w:after="0"/>
              <w:rPr>
                <w:sz w:val="1"/>
                <w:szCs w:val="1"/>
                <w:color w:val="auto"/>
              </w:rPr>
            </w:pPr>
          </w:p>
        </w:tc>
      </w:tr>
      <w:tr>
        <w:trPr>
          <w:trHeight w:val="130"/>
        </w:trPr>
        <w:tc>
          <w:tcPr>
            <w:tcW w:w="3400" w:type="dxa"/>
            <w:vAlign w:val="bottom"/>
            <w:gridSpan w:val="2"/>
          </w:tcPr>
          <w:p>
            <w:pPr>
              <w:spacing w:after="0" w:line="130" w:lineRule="exact"/>
              <w:rPr>
                <w:sz w:val="20"/>
                <w:szCs w:val="20"/>
                <w:color w:val="auto"/>
              </w:rPr>
            </w:pPr>
            <w:r>
              <w:rPr>
                <w:rFonts w:ascii="Arial" w:cs="Arial" w:eastAsia="Arial" w:hAnsi="Arial"/>
                <w:sz w:val="12"/>
                <w:szCs w:val="12"/>
                <w:color w:val="auto"/>
              </w:rPr>
              <w:t>Undeclared dividends - cumulative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00" w:type="dxa"/>
            <w:vAlign w:val="bottom"/>
            <w:gridSpan w:val="2"/>
          </w:tcPr>
          <w:p>
            <w:pPr>
              <w:ind w:left="100"/>
              <w:spacing w:after="0"/>
              <w:rPr>
                <w:sz w:val="20"/>
                <w:szCs w:val="20"/>
                <w:color w:val="auto"/>
              </w:rPr>
            </w:pPr>
            <w:r>
              <w:rPr>
                <w:rFonts w:ascii="Arial" w:cs="Arial" w:eastAsia="Arial" w:hAnsi="Arial"/>
                <w:sz w:val="12"/>
                <w:szCs w:val="12"/>
                <w:color w:val="auto"/>
              </w:rPr>
              <w:t>preferred stock</w:t>
            </w:r>
          </w:p>
        </w:tc>
        <w:tc>
          <w:tcPr>
            <w:tcW w:w="14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(3)</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24"/>
        </w:trPr>
        <w:tc>
          <w:tcPr>
            <w:tcW w:w="3400" w:type="dxa"/>
            <w:vAlign w:val="bottom"/>
            <w:tcBorders>
              <w:top w:val="single" w:sz="8" w:color="CFF0FC"/>
            </w:tcBorders>
            <w:gridSpan w:val="2"/>
            <w:shd w:val="clear" w:color="auto" w:fill="CFF0FC"/>
          </w:tcPr>
          <w:p>
            <w:pPr>
              <w:ind w:left="240"/>
              <w:spacing w:after="0" w:line="124" w:lineRule="exact"/>
              <w:rPr>
                <w:sz w:val="20"/>
                <w:szCs w:val="20"/>
                <w:color w:val="auto"/>
              </w:rPr>
            </w:pPr>
            <w:r>
              <w:rPr>
                <w:rFonts w:ascii="Arial" w:cs="Arial" w:eastAsia="Arial" w:hAnsi="Arial"/>
                <w:sz w:val="12"/>
                <w:szCs w:val="12"/>
                <w:color w:val="auto"/>
              </w:rPr>
              <w:t>Common equity, net of undeclared</w:t>
            </w:r>
          </w:p>
        </w:tc>
        <w:tc>
          <w:tcPr>
            <w:tcW w:w="14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400" w:type="dxa"/>
            <w:vAlign w:val="bottom"/>
            <w:gridSpan w:val="2"/>
            <w:shd w:val="clear" w:color="auto" w:fill="CFF0FC"/>
          </w:tcPr>
          <w:p>
            <w:pPr>
              <w:ind w:left="340"/>
              <w:spacing w:after="0"/>
              <w:rPr>
                <w:sz w:val="20"/>
                <w:szCs w:val="20"/>
                <w:color w:val="auto"/>
              </w:rPr>
            </w:pPr>
            <w:r>
              <w:rPr>
                <w:rFonts w:ascii="Arial" w:cs="Arial" w:eastAsia="Arial" w:hAnsi="Arial"/>
                <w:sz w:val="12"/>
                <w:szCs w:val="12"/>
                <w:color w:val="auto"/>
              </w:rPr>
              <w:t>cumulative preferred dividends</w:t>
            </w: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14,467</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14,530</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14,457</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14,353</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14,225</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14,201</w:t>
            </w: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14,343</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14,475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00" w:type="dxa"/>
            <w:vAlign w:val="bottom"/>
            <w:gridSpan w:val="2"/>
          </w:tcPr>
          <w:p>
            <w:pPr>
              <w:spacing w:after="0"/>
              <w:rPr>
                <w:sz w:val="20"/>
                <w:szCs w:val="20"/>
                <w:color w:val="auto"/>
              </w:rPr>
            </w:pPr>
            <w:r>
              <w:rPr>
                <w:rFonts w:ascii="Arial" w:cs="Arial" w:eastAsia="Arial" w:hAnsi="Arial"/>
                <w:sz w:val="12"/>
                <w:szCs w:val="12"/>
                <w:color w:val="auto"/>
              </w:rPr>
              <w:t>Goodwill</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(4,593)</w:t>
            </w:r>
          </w:p>
        </w:tc>
        <w:tc>
          <w:tcPr>
            <w:tcW w:w="1020" w:type="dxa"/>
            <w:vAlign w:val="bottom"/>
            <w:gridSpan w:val="2"/>
          </w:tcPr>
          <w:p>
            <w:pPr>
              <w:jc w:val="right"/>
              <w:ind w:right="159"/>
              <w:spacing w:after="0"/>
              <w:rPr>
                <w:sz w:val="20"/>
                <w:szCs w:val="20"/>
                <w:color w:val="auto"/>
              </w:rPr>
            </w:pPr>
            <w:r>
              <w:rPr>
                <w:rFonts w:ascii="Arial" w:cs="Arial" w:eastAsia="Arial" w:hAnsi="Arial"/>
                <w:sz w:val="12"/>
                <w:szCs w:val="12"/>
                <w:color w:val="auto"/>
              </w:rPr>
              <w:t>(4,593)</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(4,593)</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(4,593)</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(4,593)</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(4,593)</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(4,593)</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(4,593)</w:t>
            </w: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Core deposit and other intangible assets</w:t>
            </w: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(29)</w:t>
            </w:r>
          </w:p>
        </w:tc>
        <w:tc>
          <w:tcPr>
            <w:tcW w:w="1020" w:type="dxa"/>
            <w:vAlign w:val="bottom"/>
            <w:gridSpan w:val="2"/>
            <w:shd w:val="clear" w:color="auto" w:fill="CFF0FC"/>
          </w:tcPr>
          <w:p>
            <w:pPr>
              <w:jc w:val="right"/>
              <w:ind w:right="159"/>
              <w:spacing w:after="0"/>
              <w:rPr>
                <w:sz w:val="20"/>
                <w:szCs w:val="20"/>
                <w:color w:val="auto"/>
              </w:rPr>
            </w:pPr>
            <w:r>
              <w:rPr>
                <w:rFonts w:ascii="Arial" w:cs="Arial" w:eastAsia="Arial" w:hAnsi="Arial"/>
                <w:sz w:val="12"/>
                <w:szCs w:val="12"/>
                <w:color w:val="auto"/>
              </w:rPr>
              <w:t>(33)</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(38)</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(44)</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(47)</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(52)</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(59)</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145"/>
        </w:trPr>
        <w:tc>
          <w:tcPr>
            <w:tcW w:w="34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Deferred taxes</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2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2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26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w:t>
            </w:r>
          </w:p>
        </w:tc>
        <w:tc>
          <w:tcPr>
            <w:tcW w:w="2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0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2"/>
                <w:szCs w:val="12"/>
                <w:color w:val="auto"/>
              </w:rPr>
              <w:t>Total tangible common equity</w:t>
            </w: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9,852</w:t>
            </w:r>
          </w:p>
        </w:tc>
        <w:tc>
          <w:tcPr>
            <w:tcW w:w="24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9,912</w:t>
            </w:r>
          </w:p>
        </w:tc>
        <w:tc>
          <w:tcPr>
            <w:tcW w:w="26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9,836</w:t>
            </w:r>
          </w:p>
        </w:tc>
        <w:tc>
          <w:tcPr>
            <w:tcW w:w="24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9,728</w:t>
            </w:r>
          </w:p>
        </w:tc>
        <w:tc>
          <w:tcPr>
            <w:tcW w:w="26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9,598</w:t>
            </w:r>
          </w:p>
        </w:tc>
        <w:tc>
          <w:tcPr>
            <w:tcW w:w="24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9,570</w:t>
            </w:r>
          </w:p>
        </w:tc>
        <w:tc>
          <w:tcPr>
            <w:tcW w:w="26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9,707</w:t>
            </w:r>
          </w:p>
        </w:tc>
        <w:tc>
          <w:tcPr>
            <w:tcW w:w="24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9,834</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2140" w:type="dxa"/>
            <w:vAlign w:val="bottom"/>
            <w:tcBorders>
              <w:bottom w:val="single" w:sz="8" w:color="auto"/>
            </w:tcBorders>
          </w:tcPr>
          <w:p>
            <w:pPr>
              <w:spacing w:after="0"/>
              <w:rPr>
                <w:sz w:val="3"/>
                <w:szCs w:val="3"/>
                <w:color w:val="auto"/>
              </w:rPr>
            </w:pPr>
          </w:p>
        </w:tc>
        <w:tc>
          <w:tcPr>
            <w:tcW w:w="1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600" w:hanging="595"/>
        <w:spacing w:after="0"/>
        <w:tabs>
          <w:tab w:leader="none" w:pos="600" w:val="left"/>
        </w:tabs>
        <w:numPr>
          <w:ilvl w:val="0"/>
          <w:numId w:val="38"/>
        </w:numPr>
        <w:rPr>
          <w:rFonts w:ascii="Arial" w:cs="Arial" w:eastAsia="Arial" w:hAnsi="Arial"/>
          <w:sz w:val="11"/>
          <w:szCs w:val="11"/>
          <w:i w:val="1"/>
          <w:iCs w:val="1"/>
          <w:color w:val="auto"/>
        </w:rPr>
      </w:pPr>
      <w:r>
        <w:rPr>
          <w:rFonts w:ascii="Arial" w:cs="Arial" w:eastAsia="Arial" w:hAnsi="Arial"/>
          <w:sz w:val="11"/>
          <w:szCs w:val="11"/>
          <w:i w:val="1"/>
          <w:iCs w:val="1"/>
          <w:color w:val="auto"/>
        </w:rPr>
        <w:t>After any related tax effect.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07" w:name="page108"/>
    <w:bookmarkEnd w:id="107"/>
    <w:p>
      <w:pPr>
        <w:spacing w:after="0"/>
        <w:tabs>
          <w:tab w:leader="none" w:pos="1160" w:val="left"/>
        </w:tabs>
        <w:rPr>
          <w:sz w:val="20"/>
          <w:szCs w:val="20"/>
          <w:color w:val="auto"/>
        </w:rPr>
      </w:pPr>
      <w:r>
        <w:rPr>
          <w:rFonts w:ascii="Arial" w:cs="Arial" w:eastAsia="Arial" w:hAnsi="Arial"/>
          <w:sz w:val="20"/>
          <w:szCs w:val="20"/>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116" w:lineRule="exact"/>
        <w:rPr>
          <w:sz w:val="20"/>
          <w:szCs w:val="20"/>
          <w:color w:val="auto"/>
        </w:rPr>
      </w:pPr>
    </w:p>
    <w:p>
      <w:pPr>
        <w:ind w:right="100"/>
        <w:spacing w:after="0" w:line="302" w:lineRule="auto"/>
        <w:rPr>
          <w:sz w:val="20"/>
          <w:szCs w:val="20"/>
          <w:color w:val="auto"/>
        </w:rPr>
      </w:pPr>
      <w:r>
        <w:rPr>
          <w:rFonts w:ascii="Arial" w:cs="Arial" w:eastAsia="Arial" w:hAnsi="Arial"/>
          <w:sz w:val="19"/>
          <w:szCs w:val="19"/>
          <w:color w:val="auto"/>
        </w:rPr>
        <w:t>Incorporated by reference to the discussion contained in Part II, Item 7, “Management’s Discussion and Analysis of Financial Condition and Results of Operations,” under the captions “Liquidity, Market Risk, and Interest Rate Sensitivity” (including Table 22) and “Capital.”</w:t>
      </w:r>
    </w:p>
    <w:p>
      <w:pPr>
        <w:spacing w:after="0" w:line="234"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116" w:lineRule="exact"/>
        <w:rPr>
          <w:sz w:val="20"/>
          <w:szCs w:val="20"/>
          <w:color w:val="auto"/>
        </w:rPr>
      </w:pPr>
    </w:p>
    <w:p>
      <w:pPr>
        <w:ind w:right="300"/>
        <w:spacing w:after="0" w:line="332" w:lineRule="auto"/>
        <w:rPr>
          <w:sz w:val="20"/>
          <w:szCs w:val="20"/>
          <w:color w:val="auto"/>
        </w:rPr>
      </w:pPr>
      <w:r>
        <w:rPr>
          <w:rFonts w:ascii="Arial" w:cs="Arial" w:eastAsia="Arial" w:hAnsi="Arial"/>
          <w:sz w:val="18"/>
          <w:szCs w:val="18"/>
          <w:color w:val="auto"/>
        </w:rPr>
        <w:t>Financial Statements and Supplementary Data consist of the financial statements as indexed and presented below and Table 24 “Quarterly Trends” presented in Part II, Item 7, “Management’s Discussion and Analysis of Financial Condition and Results of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00" w:type="dxa"/>
            <w:vAlign w:val="bottom"/>
            <w:gridSpan w:val="10"/>
          </w:tcPr>
          <w:p>
            <w:pPr>
              <w:spacing w:after="0"/>
              <w:rPr>
                <w:sz w:val="20"/>
                <w:szCs w:val="20"/>
                <w:color w:val="auto"/>
              </w:rPr>
            </w:pPr>
            <w:r>
              <w:rPr>
                <w:rFonts w:ascii="Arial" w:cs="Arial" w:eastAsia="Arial" w:hAnsi="Arial"/>
                <w:sz w:val="20"/>
                <w:szCs w:val="20"/>
                <w:b w:val="1"/>
                <w:bCs w:val="1"/>
                <w:color w:val="auto"/>
              </w:rPr>
              <w:t>Index to Financial Statements and Financial Statement Schedules</w:t>
            </w:r>
          </w:p>
        </w:tc>
        <w:tc>
          <w:tcPr>
            <w:tcW w:w="1320" w:type="dxa"/>
            <w:vAlign w:val="bottom"/>
          </w:tcPr>
          <w:p>
            <w:pPr>
              <w:spacing w:after="0"/>
              <w:rPr>
                <w:sz w:val="19"/>
                <w:szCs w:val="19"/>
                <w:color w:val="auto"/>
              </w:rPr>
            </w:pPr>
          </w:p>
        </w:tc>
      </w:tr>
      <w:tr>
        <w:trPr>
          <w:trHeight w:val="217"/>
        </w:trPr>
        <w:tc>
          <w:tcPr>
            <w:tcW w:w="4260" w:type="dxa"/>
            <w:vAlign w:val="bottom"/>
            <w:tcBorders>
              <w:top w:val="single" w:sz="8" w:color="auto"/>
              <w:bottom w:val="single" w:sz="8" w:color="0000EE"/>
            </w:tcBorders>
            <w:gridSpan w:val="2"/>
          </w:tcPr>
          <w:p>
            <w:pPr>
              <w:spacing w:after="0" w:line="216" w:lineRule="exact"/>
              <w:rPr>
                <w:rFonts w:ascii="Arial" w:cs="Arial" w:eastAsia="Arial" w:hAnsi="Arial"/>
                <w:sz w:val="20"/>
                <w:szCs w:val="20"/>
                <w:color w:val="0000EE"/>
                <w:w w:val="92"/>
              </w:rPr>
            </w:pPr>
            <w:hyperlink w:anchor="page109">
              <w:r>
                <w:rPr>
                  <w:rFonts w:ascii="Arial" w:cs="Arial" w:eastAsia="Arial" w:hAnsi="Arial"/>
                  <w:sz w:val="20"/>
                  <w:szCs w:val="20"/>
                  <w:color w:val="0000EE"/>
                  <w:w w:val="92"/>
                </w:rPr>
                <w:t>Report on Internal Control Over Financial Reporting</w:t>
              </w:r>
            </w:hyperlink>
          </w:p>
        </w:tc>
        <w:tc>
          <w:tcPr>
            <w:tcW w:w="1360" w:type="dxa"/>
            <w:vAlign w:val="bottom"/>
            <w:tcBorders>
              <w:top w:val="single" w:sz="8" w:color="auto"/>
            </w:tcBorders>
            <w:gridSpan w:val="3"/>
          </w:tcPr>
          <w:p>
            <w:pPr>
              <w:spacing w:after="0"/>
              <w:rPr>
                <w:sz w:val="18"/>
                <w:szCs w:val="18"/>
                <w:color w:val="auto"/>
              </w:rPr>
            </w:pPr>
          </w:p>
        </w:tc>
        <w:tc>
          <w:tcPr>
            <w:tcW w:w="4480" w:type="dxa"/>
            <w:vAlign w:val="bottom"/>
            <w:gridSpan w:val="5"/>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Arial" w:cs="Arial" w:eastAsia="Arial" w:hAnsi="Arial"/>
                <w:sz w:val="20"/>
                <w:szCs w:val="20"/>
                <w:color w:val="auto"/>
              </w:rPr>
              <w:t>109</w:t>
            </w:r>
          </w:p>
        </w:tc>
      </w:tr>
      <w:tr>
        <w:trPr>
          <w:trHeight w:val="217"/>
        </w:trPr>
        <w:tc>
          <w:tcPr>
            <w:tcW w:w="10100" w:type="dxa"/>
            <w:vAlign w:val="bottom"/>
            <w:gridSpan w:val="10"/>
          </w:tcPr>
          <w:p>
            <w:pPr>
              <w:spacing w:after="0" w:line="216" w:lineRule="exact"/>
              <w:rPr>
                <w:rFonts w:ascii="Arial" w:cs="Arial" w:eastAsia="Arial" w:hAnsi="Arial"/>
                <w:sz w:val="20"/>
                <w:szCs w:val="20"/>
                <w:color w:val="0000EE"/>
              </w:rPr>
            </w:pPr>
            <w:hyperlink w:anchor="page110">
              <w:r>
                <w:rPr>
                  <w:rFonts w:ascii="Arial" w:cs="Arial" w:eastAsia="Arial" w:hAnsi="Arial"/>
                  <w:sz w:val="20"/>
                  <w:szCs w:val="20"/>
                  <w:color w:val="0000EE"/>
                </w:rPr>
                <w:t>Report of Independent Registered Public Accounting Firm</w:t>
              </w:r>
            </w:hyperlink>
          </w:p>
        </w:tc>
        <w:tc>
          <w:tcPr>
            <w:tcW w:w="1320" w:type="dxa"/>
            <w:vAlign w:val="bottom"/>
          </w:tcPr>
          <w:p>
            <w:pPr>
              <w:jc w:val="right"/>
              <w:spacing w:after="0" w:line="216" w:lineRule="exact"/>
              <w:rPr>
                <w:sz w:val="20"/>
                <w:szCs w:val="20"/>
                <w:color w:val="auto"/>
              </w:rPr>
            </w:pPr>
            <w:r>
              <w:rPr>
                <w:rFonts w:ascii="Arial" w:cs="Arial" w:eastAsia="Arial" w:hAnsi="Arial"/>
                <w:sz w:val="20"/>
                <w:szCs w:val="20"/>
                <w:color w:val="auto"/>
              </w:rPr>
              <w:t>110</w:t>
            </w:r>
          </w:p>
        </w:tc>
      </w:tr>
      <w:tr>
        <w:trPr>
          <w:trHeight w:val="20"/>
        </w:trPr>
        <w:tc>
          <w:tcPr>
            <w:tcW w:w="24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7"/>
        </w:trPr>
        <w:tc>
          <w:tcPr>
            <w:tcW w:w="10100" w:type="dxa"/>
            <w:vAlign w:val="bottom"/>
            <w:gridSpan w:val="10"/>
          </w:tcPr>
          <w:p>
            <w:pPr>
              <w:spacing w:after="0" w:line="216" w:lineRule="exact"/>
              <w:rPr>
                <w:rFonts w:ascii="Arial" w:cs="Arial" w:eastAsia="Arial" w:hAnsi="Arial"/>
                <w:sz w:val="20"/>
                <w:szCs w:val="20"/>
                <w:color w:val="0000EE"/>
              </w:rPr>
            </w:pPr>
            <w:hyperlink w:anchor="page113">
              <w:r>
                <w:rPr>
                  <w:rFonts w:ascii="Arial" w:cs="Arial" w:eastAsia="Arial" w:hAnsi="Arial"/>
                  <w:sz w:val="20"/>
                  <w:szCs w:val="20"/>
                  <w:color w:val="0000EE"/>
                </w:rPr>
                <w:t>Consolidated Balance Sheet — December 31, 2019 and 2018</w:t>
              </w:r>
            </w:hyperlink>
          </w:p>
        </w:tc>
        <w:tc>
          <w:tcPr>
            <w:tcW w:w="1320" w:type="dxa"/>
            <w:vAlign w:val="bottom"/>
          </w:tcPr>
          <w:p>
            <w:pPr>
              <w:jc w:val="right"/>
              <w:spacing w:after="0" w:line="216" w:lineRule="exact"/>
              <w:rPr>
                <w:sz w:val="20"/>
                <w:szCs w:val="20"/>
                <w:color w:val="auto"/>
              </w:rPr>
            </w:pPr>
            <w:r>
              <w:rPr>
                <w:rFonts w:ascii="Arial" w:cs="Arial" w:eastAsia="Arial" w:hAnsi="Arial"/>
                <w:sz w:val="20"/>
                <w:szCs w:val="20"/>
                <w:color w:val="auto"/>
              </w:rPr>
              <w:t>113</w:t>
            </w:r>
          </w:p>
        </w:tc>
      </w:tr>
      <w:tr>
        <w:trPr>
          <w:trHeight w:val="20"/>
        </w:trPr>
        <w:tc>
          <w:tcPr>
            <w:tcW w:w="2420" w:type="dxa"/>
            <w:vAlign w:val="bottom"/>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7"/>
        </w:trPr>
        <w:tc>
          <w:tcPr>
            <w:tcW w:w="10100" w:type="dxa"/>
            <w:vAlign w:val="bottom"/>
            <w:gridSpan w:val="10"/>
          </w:tcPr>
          <w:p>
            <w:pPr>
              <w:spacing w:after="0" w:line="216" w:lineRule="exact"/>
              <w:rPr>
                <w:rFonts w:ascii="Arial" w:cs="Arial" w:eastAsia="Arial" w:hAnsi="Arial"/>
                <w:sz w:val="20"/>
                <w:szCs w:val="20"/>
                <w:color w:val="0000EE"/>
              </w:rPr>
            </w:pPr>
            <w:hyperlink w:anchor="page114">
              <w:r>
                <w:rPr>
                  <w:rFonts w:ascii="Arial" w:cs="Arial" w:eastAsia="Arial" w:hAnsi="Arial"/>
                  <w:sz w:val="20"/>
                  <w:szCs w:val="20"/>
                  <w:color w:val="0000EE"/>
                </w:rPr>
                <w:t>Consolidated Statement of Income — Years ended December 31, 2019, 2018 and 2017</w:t>
              </w:r>
            </w:hyperlink>
          </w:p>
        </w:tc>
        <w:tc>
          <w:tcPr>
            <w:tcW w:w="1320" w:type="dxa"/>
            <w:vAlign w:val="bottom"/>
          </w:tcPr>
          <w:p>
            <w:pPr>
              <w:jc w:val="right"/>
              <w:spacing w:after="0" w:line="216" w:lineRule="exact"/>
              <w:rPr>
                <w:sz w:val="20"/>
                <w:szCs w:val="20"/>
                <w:color w:val="auto"/>
              </w:rPr>
            </w:pPr>
            <w:r>
              <w:rPr>
                <w:rFonts w:ascii="Arial" w:cs="Arial" w:eastAsia="Arial" w:hAnsi="Arial"/>
                <w:sz w:val="20"/>
                <w:szCs w:val="20"/>
                <w:color w:val="auto"/>
              </w:rPr>
              <w:t>114</w:t>
            </w:r>
          </w:p>
        </w:tc>
      </w:tr>
      <w:tr>
        <w:trPr>
          <w:trHeight w:val="20"/>
        </w:trPr>
        <w:tc>
          <w:tcPr>
            <w:tcW w:w="2420" w:type="dxa"/>
            <w:vAlign w:val="bottom"/>
            <w:shd w:val="clear" w:color="auto" w:fill="0000EE"/>
          </w:tcPr>
          <w:p>
            <w:pPr>
              <w:spacing w:after="0" w:line="20" w:lineRule="exact"/>
              <w:rPr>
                <w:sz w:val="1"/>
                <w:szCs w:val="1"/>
                <w:color w:val="auto"/>
              </w:rPr>
            </w:pPr>
          </w:p>
        </w:tc>
        <w:tc>
          <w:tcPr>
            <w:tcW w:w="458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7"/>
        </w:trPr>
        <w:tc>
          <w:tcPr>
            <w:tcW w:w="10100" w:type="dxa"/>
            <w:vAlign w:val="bottom"/>
            <w:gridSpan w:val="10"/>
          </w:tcPr>
          <w:p>
            <w:pPr>
              <w:spacing w:after="0" w:line="216" w:lineRule="exact"/>
              <w:rPr>
                <w:rFonts w:ascii="Arial" w:cs="Arial" w:eastAsia="Arial" w:hAnsi="Arial"/>
                <w:sz w:val="20"/>
                <w:szCs w:val="20"/>
                <w:color w:val="0000EE"/>
              </w:rPr>
            </w:pPr>
            <w:hyperlink w:anchor="page115">
              <w:r>
                <w:rPr>
                  <w:rFonts w:ascii="Arial" w:cs="Arial" w:eastAsia="Arial" w:hAnsi="Arial"/>
                  <w:sz w:val="20"/>
                  <w:szCs w:val="20"/>
                  <w:color w:val="0000EE"/>
                </w:rPr>
                <w:t>Consolidated Statement of Comprehensive Income — Years ended December 31, 2019, 2018 and 2017</w:t>
              </w:r>
            </w:hyperlink>
          </w:p>
        </w:tc>
        <w:tc>
          <w:tcPr>
            <w:tcW w:w="1320" w:type="dxa"/>
            <w:vAlign w:val="bottom"/>
          </w:tcPr>
          <w:p>
            <w:pPr>
              <w:jc w:val="right"/>
              <w:spacing w:after="0" w:line="216" w:lineRule="exact"/>
              <w:rPr>
                <w:sz w:val="20"/>
                <w:szCs w:val="20"/>
                <w:color w:val="auto"/>
              </w:rPr>
            </w:pPr>
            <w:r>
              <w:rPr>
                <w:rFonts w:ascii="Arial" w:cs="Arial" w:eastAsia="Arial" w:hAnsi="Arial"/>
                <w:sz w:val="20"/>
                <w:szCs w:val="20"/>
                <w:color w:val="auto"/>
              </w:rPr>
              <w:t>115</w:t>
            </w:r>
          </w:p>
        </w:tc>
      </w:tr>
      <w:tr>
        <w:trPr>
          <w:trHeight w:val="217"/>
        </w:trPr>
        <w:tc>
          <w:tcPr>
            <w:tcW w:w="7360" w:type="dxa"/>
            <w:vAlign w:val="bottom"/>
            <w:tcBorders>
              <w:top w:val="single" w:sz="8" w:color="0000EE"/>
              <w:bottom w:val="single" w:sz="8" w:color="0000EE"/>
            </w:tcBorders>
            <w:gridSpan w:val="7"/>
          </w:tcPr>
          <w:p>
            <w:pPr>
              <w:spacing w:after="0" w:line="216" w:lineRule="exact"/>
              <w:rPr>
                <w:rFonts w:ascii="Arial" w:cs="Arial" w:eastAsia="Arial" w:hAnsi="Arial"/>
                <w:sz w:val="20"/>
                <w:szCs w:val="20"/>
                <w:color w:val="0000EE"/>
                <w:w w:val="89"/>
              </w:rPr>
            </w:pPr>
            <w:hyperlink w:anchor="page116">
              <w:r>
                <w:rPr>
                  <w:rFonts w:ascii="Arial" w:cs="Arial" w:eastAsia="Arial" w:hAnsi="Arial"/>
                  <w:sz w:val="20"/>
                  <w:szCs w:val="20"/>
                  <w:color w:val="0000EE"/>
                  <w:w w:val="89"/>
                </w:rPr>
                <w:t>Consolidated Statement of Cash Flows — Years ended December 31, 2019, 2018 and 2017</w:t>
              </w:r>
            </w:hyperlink>
          </w:p>
        </w:tc>
        <w:tc>
          <w:tcPr>
            <w:tcW w:w="960" w:type="dxa"/>
            <w:vAlign w:val="bottom"/>
            <w:tcBorders>
              <w:top w:val="single" w:sz="8" w:color="0000EE"/>
            </w:tcBorders>
          </w:tcPr>
          <w:p>
            <w:pPr>
              <w:spacing w:after="0"/>
              <w:rPr>
                <w:sz w:val="18"/>
                <w:szCs w:val="18"/>
                <w:color w:val="auto"/>
              </w:rPr>
            </w:pPr>
          </w:p>
        </w:tc>
        <w:tc>
          <w:tcPr>
            <w:tcW w:w="1780" w:type="dxa"/>
            <w:vAlign w:val="bottom"/>
            <w:gridSpan w:val="2"/>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Arial" w:cs="Arial" w:eastAsia="Arial" w:hAnsi="Arial"/>
                <w:sz w:val="20"/>
                <w:szCs w:val="20"/>
                <w:color w:val="auto"/>
              </w:rPr>
              <w:t>116</w:t>
            </w:r>
          </w:p>
        </w:tc>
      </w:tr>
      <w:tr>
        <w:trPr>
          <w:trHeight w:val="217"/>
        </w:trPr>
        <w:tc>
          <w:tcPr>
            <w:tcW w:w="10100" w:type="dxa"/>
            <w:vAlign w:val="bottom"/>
            <w:gridSpan w:val="10"/>
          </w:tcPr>
          <w:p>
            <w:pPr>
              <w:spacing w:after="0" w:line="216" w:lineRule="exact"/>
              <w:rPr>
                <w:rFonts w:ascii="Arial" w:cs="Arial" w:eastAsia="Arial" w:hAnsi="Arial"/>
                <w:sz w:val="20"/>
                <w:szCs w:val="20"/>
                <w:color w:val="0000EE"/>
              </w:rPr>
            </w:pPr>
            <w:hyperlink w:anchor="page117">
              <w:r>
                <w:rPr>
                  <w:rFonts w:ascii="Arial" w:cs="Arial" w:eastAsia="Arial" w:hAnsi="Arial"/>
                  <w:sz w:val="20"/>
                  <w:szCs w:val="20"/>
                  <w:color w:val="0000EE"/>
                </w:rPr>
                <w:t>Consolidated Statement of Changes in Shareholders’ Equity — Years ended December 31, 2019, 2018 and 2017</w:t>
              </w:r>
            </w:hyperlink>
          </w:p>
        </w:tc>
        <w:tc>
          <w:tcPr>
            <w:tcW w:w="1320" w:type="dxa"/>
            <w:vAlign w:val="bottom"/>
          </w:tcPr>
          <w:p>
            <w:pPr>
              <w:jc w:val="right"/>
              <w:spacing w:after="0" w:line="216" w:lineRule="exact"/>
              <w:rPr>
                <w:sz w:val="20"/>
                <w:szCs w:val="20"/>
                <w:color w:val="auto"/>
              </w:rPr>
            </w:pPr>
            <w:r>
              <w:rPr>
                <w:rFonts w:ascii="Arial" w:cs="Arial" w:eastAsia="Arial" w:hAnsi="Arial"/>
                <w:sz w:val="20"/>
                <w:szCs w:val="20"/>
                <w:color w:val="auto"/>
              </w:rPr>
              <w:t>117</w:t>
            </w:r>
          </w:p>
        </w:tc>
      </w:tr>
      <w:tr>
        <w:trPr>
          <w:trHeight w:val="217"/>
        </w:trPr>
        <w:tc>
          <w:tcPr>
            <w:tcW w:w="2420" w:type="dxa"/>
            <w:vAlign w:val="bottom"/>
            <w:tcBorders>
              <w:top w:val="single" w:sz="8" w:color="0000EE"/>
              <w:bottom w:val="single" w:sz="8" w:color="0000EE"/>
            </w:tcBorders>
          </w:tcPr>
          <w:p>
            <w:pPr>
              <w:spacing w:after="0" w:line="216" w:lineRule="exact"/>
              <w:rPr>
                <w:rFonts w:ascii="Arial" w:cs="Arial" w:eastAsia="Arial" w:hAnsi="Arial"/>
                <w:sz w:val="20"/>
                <w:szCs w:val="20"/>
                <w:color w:val="0000EE"/>
                <w:w w:val="89"/>
              </w:rPr>
            </w:pPr>
            <w:hyperlink w:anchor="page118">
              <w:r>
                <w:rPr>
                  <w:rFonts w:ascii="Arial" w:cs="Arial" w:eastAsia="Arial" w:hAnsi="Arial"/>
                  <w:sz w:val="20"/>
                  <w:szCs w:val="20"/>
                  <w:color w:val="0000EE"/>
                  <w:w w:val="89"/>
                </w:rPr>
                <w:t>Notes to Financial Statements</w:t>
              </w:r>
            </w:hyperlink>
          </w:p>
        </w:tc>
        <w:tc>
          <w:tcPr>
            <w:tcW w:w="6640" w:type="dxa"/>
            <w:vAlign w:val="bottom"/>
            <w:tcBorders>
              <w:top w:val="single" w:sz="8" w:color="0000EE"/>
            </w:tcBorders>
            <w:gridSpan w:val="8"/>
          </w:tcPr>
          <w:p>
            <w:pPr>
              <w:spacing w:after="0"/>
              <w:rPr>
                <w:sz w:val="18"/>
                <w:szCs w:val="18"/>
                <w:color w:val="auto"/>
              </w:rPr>
            </w:pPr>
          </w:p>
        </w:tc>
        <w:tc>
          <w:tcPr>
            <w:tcW w:w="104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Arial" w:cs="Arial" w:eastAsia="Arial" w:hAnsi="Arial"/>
                <w:sz w:val="20"/>
                <w:szCs w:val="20"/>
                <w:color w:val="auto"/>
              </w:rPr>
              <w:t>118</w:t>
            </w:r>
          </w:p>
        </w:tc>
      </w:tr>
      <w:tr>
        <w:trPr>
          <w:trHeight w:val="650"/>
        </w:trPr>
        <w:tc>
          <w:tcPr>
            <w:tcW w:w="7000" w:type="dxa"/>
            <w:vAlign w:val="bottom"/>
            <w:gridSpan w:val="6"/>
          </w:tcPr>
          <w:p>
            <w:pPr>
              <w:ind w:left="5580"/>
              <w:spacing w:after="0"/>
              <w:rPr>
                <w:sz w:val="20"/>
                <w:szCs w:val="20"/>
                <w:color w:val="auto"/>
              </w:rPr>
            </w:pPr>
            <w:r>
              <w:rPr>
                <w:rFonts w:ascii="Arial" w:cs="Arial" w:eastAsia="Arial" w:hAnsi="Arial"/>
                <w:sz w:val="18"/>
                <w:szCs w:val="18"/>
                <w:color w:val="auto"/>
              </w:rPr>
              <w:t>108</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2"/>
        </w:trPr>
        <w:tc>
          <w:tcPr>
            <w:tcW w:w="242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b w:val="1"/>
          <w:bCs w:val="1"/>
          <w:color w:val="auto"/>
        </w:rPr>
        <w:t>Report on Internal Control Over Financial Reporting</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Management is responsible for establishing and maintaining adequate internal control over financial reporting at M&amp;T Bank Corporation and subsidiaries (“the Company”). Management has assessed the effectiveness of the Company’s internal control over financial reporting as of December 31, 2019 based on criteria described in “Internal Control — Integrated Framework (2013)” issued by the Committee of Sponsoring Organizations of the Treadway Commission. Based on that assessment, management concluded that the Company maintained effective internal control over financial reporting as of December 31, 2019.</w:t>
      </w:r>
    </w:p>
    <w:p>
      <w:pPr>
        <w:spacing w:after="0" w:line="3" w:lineRule="exact"/>
        <w:rPr>
          <w:sz w:val="20"/>
          <w:szCs w:val="20"/>
          <w:color w:val="auto"/>
        </w:rPr>
      </w:pPr>
    </w:p>
    <w:p>
      <w:pPr>
        <w:ind w:right="40" w:firstLine="598"/>
        <w:spacing w:after="0" w:line="250" w:lineRule="auto"/>
        <w:rPr>
          <w:sz w:val="20"/>
          <w:szCs w:val="20"/>
          <w:color w:val="auto"/>
        </w:rPr>
      </w:pPr>
      <w:r>
        <w:rPr>
          <w:rFonts w:ascii="Arial" w:cs="Arial" w:eastAsia="Arial" w:hAnsi="Arial"/>
          <w:sz w:val="20"/>
          <w:szCs w:val="20"/>
          <w:color w:val="auto"/>
        </w:rPr>
        <w:t>The consolidated financial statements of the Company have been audited by PricewaterhouseCoopers LLP, an independent registered public accounting firm, that was engaged to express an opinion as to the fairness of presentation of such financial statements. PricewaterhouseCoopers LLP was also engaged to assess the effectiveness of the Company’s internal control over financial reporting. The report of PricewaterhouseCoopers LLP follows this report.</w:t>
      </w:r>
    </w:p>
    <w:p>
      <w:pPr>
        <w:spacing w:after="0" w:line="206" w:lineRule="exact"/>
        <w:rPr>
          <w:sz w:val="20"/>
          <w:szCs w:val="20"/>
          <w:color w:val="auto"/>
        </w:rPr>
      </w:pPr>
    </w:p>
    <w:p>
      <w:pPr>
        <w:ind w:left="7080"/>
        <w:spacing w:after="0"/>
        <w:rPr>
          <w:sz w:val="20"/>
          <w:szCs w:val="20"/>
          <w:color w:val="auto"/>
        </w:rPr>
      </w:pPr>
      <w:r>
        <w:rPr>
          <w:rFonts w:ascii="Arial" w:cs="Arial" w:eastAsia="Arial" w:hAnsi="Arial"/>
          <w:sz w:val="20"/>
          <w:szCs w:val="20"/>
          <w:color w:val="auto"/>
        </w:rPr>
        <w:t>M&amp;T BANK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4133215</wp:posOffset>
            </wp:positionH>
            <wp:positionV relativeFrom="paragraph">
              <wp:posOffset>313055</wp:posOffset>
            </wp:positionV>
            <wp:extent cx="2352675" cy="767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352675" cy="76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5280"/>
        <w:spacing w:after="0"/>
        <w:rPr>
          <w:sz w:val="20"/>
          <w:szCs w:val="20"/>
          <w:color w:val="auto"/>
        </w:rPr>
      </w:pPr>
      <w:r>
        <w:rPr>
          <w:rFonts w:ascii="Arial" w:cs="Arial" w:eastAsia="Arial" w:hAnsi="Arial"/>
          <w:sz w:val="20"/>
          <w:szCs w:val="20"/>
          <w:color w:val="auto"/>
        </w:rPr>
        <w:t>René F. Jones</w:t>
      </w:r>
    </w:p>
    <w:p>
      <w:pPr>
        <w:spacing w:after="0" w:line="25" w:lineRule="exact"/>
        <w:rPr>
          <w:sz w:val="20"/>
          <w:szCs w:val="20"/>
          <w:color w:val="auto"/>
        </w:rPr>
      </w:pPr>
    </w:p>
    <w:p>
      <w:pPr>
        <w:jc w:val="center"/>
        <w:ind w:left="5280"/>
        <w:spacing w:after="0"/>
        <w:rPr>
          <w:sz w:val="20"/>
          <w:szCs w:val="20"/>
          <w:color w:val="auto"/>
        </w:rPr>
      </w:pPr>
      <w:r>
        <w:rPr>
          <w:rFonts w:ascii="Arial" w:cs="Arial" w:eastAsia="Arial" w:hAnsi="Arial"/>
          <w:sz w:val="20"/>
          <w:szCs w:val="20"/>
          <w:i w:val="1"/>
          <w:iCs w:val="1"/>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285115</wp:posOffset>
            </wp:positionV>
            <wp:extent cx="1251585" cy="9429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5158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5280"/>
        <w:spacing w:after="0"/>
        <w:rPr>
          <w:sz w:val="20"/>
          <w:szCs w:val="20"/>
          <w:color w:val="auto"/>
        </w:rPr>
      </w:pPr>
      <w:r>
        <w:rPr>
          <w:rFonts w:ascii="Arial" w:cs="Arial" w:eastAsia="Arial" w:hAnsi="Arial"/>
          <w:sz w:val="20"/>
          <w:szCs w:val="20"/>
          <w:color w:val="auto"/>
        </w:rPr>
        <w:t>Darren J. King</w:t>
      </w:r>
    </w:p>
    <w:p>
      <w:pPr>
        <w:spacing w:after="0" w:line="25" w:lineRule="exact"/>
        <w:rPr>
          <w:sz w:val="20"/>
          <w:szCs w:val="20"/>
          <w:color w:val="auto"/>
        </w:rPr>
      </w:pPr>
    </w:p>
    <w:p>
      <w:pPr>
        <w:jc w:val="center"/>
        <w:ind w:left="5280"/>
        <w:spacing w:after="0"/>
        <w:rPr>
          <w:sz w:val="20"/>
          <w:szCs w:val="20"/>
          <w:color w:val="auto"/>
        </w:rPr>
      </w:pPr>
      <w:r>
        <w:rPr>
          <w:rFonts w:ascii="Arial" w:cs="Arial" w:eastAsia="Arial" w:hAnsi="Arial"/>
          <w:sz w:val="20"/>
          <w:szCs w:val="20"/>
          <w:i w:val="1"/>
          <w:i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00"/>
          </w:cols>
          <w:pgMar w:left="240" w:top="332" w:right="259" w:bottom="1440" w:gutter="0" w:footer="0" w:header="0"/>
        </w:sectPr>
      </w:pPr>
    </w:p>
    <w:bookmarkStart w:id="109" w:name="page110"/>
    <w:bookmarkEnd w:id="109"/>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Shareholders of</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M&amp;T Bank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177" w:lineRule="exact"/>
        <w:rPr>
          <w:sz w:val="20"/>
          <w:szCs w:val="20"/>
          <w:color w:val="auto"/>
        </w:rPr>
      </w:pPr>
    </w:p>
    <w:p>
      <w:pPr>
        <w:ind w:right="20"/>
        <w:spacing w:after="0" w:line="252" w:lineRule="auto"/>
        <w:rPr>
          <w:sz w:val="20"/>
          <w:szCs w:val="20"/>
          <w:color w:val="auto"/>
        </w:rPr>
      </w:pPr>
      <w:r>
        <w:rPr>
          <w:rFonts w:ascii="Arial" w:cs="Arial" w:eastAsia="Arial" w:hAnsi="Arial"/>
          <w:sz w:val="20"/>
          <w:szCs w:val="20"/>
          <w:color w:val="auto"/>
        </w:rPr>
        <w:t xml:space="preserve">We have audited the accompanying consolidated balance sheet of M&amp;T Bank Corporation and its subsidiaries (the “Company”) as of December 31, 2019 and 2018, and the related consolidated statements of income, of comprehensive income, of changes in shareholders' equity and of cash flows for each of the three years in the period ended December 31, 2019, including the related notes (collectively referred to as the “consolidated financial statements”). We also have audited the Company's internal control over financial reporting as of December 31, 2019, based on criteria established in </w:t>
      </w:r>
      <w:r>
        <w:rPr>
          <w:rFonts w:ascii="Arial" w:cs="Arial" w:eastAsia="Arial" w:hAnsi="Arial"/>
          <w:sz w:val="20"/>
          <w:szCs w:val="20"/>
          <w:i w:val="1"/>
          <w:iCs w:val="1"/>
          <w:color w:val="auto"/>
        </w:rPr>
        <w:t>Internal Control - Integrated Framework</w:t>
      </w:r>
      <w:r>
        <w:rPr>
          <w:rFonts w:ascii="Arial" w:cs="Arial" w:eastAsia="Arial" w:hAnsi="Arial"/>
          <w:sz w:val="20"/>
          <w:szCs w:val="20"/>
          <w:color w:val="auto"/>
        </w:rPr>
        <w:t xml:space="preserve"> (2013) issued by the Committee of Sponsoring Organizations of the Treadway Commission (COSO).</w:t>
      </w:r>
    </w:p>
    <w:p>
      <w:pPr>
        <w:spacing w:after="0" w:line="154"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(2013) issued by the COSO.</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177" w:lineRule="exact"/>
        <w:rPr>
          <w:sz w:val="20"/>
          <w:szCs w:val="20"/>
          <w:color w:val="auto"/>
        </w:rPr>
      </w:pPr>
    </w:p>
    <w:p>
      <w:pPr>
        <w:ind w:right="260"/>
        <w:spacing w:after="0" w:line="251" w:lineRule="auto"/>
        <w:rPr>
          <w:sz w:val="20"/>
          <w:szCs w:val="20"/>
          <w:color w:val="auto"/>
        </w:rPr>
      </w:pPr>
      <w:r>
        <w:rPr>
          <w:rFonts w:ascii="Arial" w:cs="Arial" w:eastAsia="Arial" w:hAnsi="Arial"/>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jc w:val="both"/>
        <w:ind w:right="220"/>
        <w:spacing w:after="0" w:line="281"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6" w:lineRule="exact"/>
        <w:rPr>
          <w:sz w:val="20"/>
          <w:szCs w:val="20"/>
          <w:color w:val="auto"/>
        </w:rPr>
      </w:pPr>
    </w:p>
    <w:p>
      <w:pPr>
        <w:ind w:right="20"/>
        <w:spacing w:after="0" w:line="266" w:lineRule="auto"/>
        <w:rPr>
          <w:sz w:val="20"/>
          <w:szCs w:val="20"/>
          <w:color w:val="auto"/>
        </w:rPr>
      </w:pPr>
      <w:r>
        <w:rPr>
          <w:rFonts w:ascii="Arial" w:cs="Arial" w:eastAsia="Arial" w:hAnsi="Arial"/>
          <w:sz w:val="19"/>
          <w:szCs w:val="19"/>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340"/>
          </w:cols>
          <w:pgMar w:left="240" w:top="332" w:right="319" w:bottom="1440" w:gutter="0" w:footer="0" w:header="0"/>
        </w:sectPr>
      </w:pPr>
    </w:p>
    <w:bookmarkStart w:id="110" w:name="page111"/>
    <w:bookmarkEnd w:id="110"/>
    <w:p>
      <w:pPr>
        <w:ind w:right="80"/>
        <w:spacing w:after="0" w:line="275" w:lineRule="auto"/>
        <w:rPr>
          <w:sz w:val="20"/>
          <w:szCs w:val="20"/>
          <w:color w:val="auto"/>
        </w:rPr>
      </w:pPr>
      <w:r>
        <w:rPr>
          <w:rFonts w:ascii="Arial" w:cs="Arial" w:eastAsia="Arial" w:hAnsi="Arial"/>
          <w:sz w:val="20"/>
          <w:szCs w:val="20"/>
          <w:color w:val="auto"/>
        </w:rPr>
        <w:t>audits also included performing such other procedures as we considered necessary in the circumstances. We believe that our audits provide a reasonable basis for our opinions.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19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7" w:lineRule="exact"/>
        <w:rPr>
          <w:sz w:val="20"/>
          <w:szCs w:val="20"/>
          <w:color w:val="auto"/>
        </w:rPr>
      </w:pPr>
    </w:p>
    <w:p>
      <w:pPr>
        <w:jc w:val="both"/>
        <w:ind w:right="40"/>
        <w:spacing w:after="0" w:line="261"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190" w:lineRule="exact"/>
        <w:rPr>
          <w:sz w:val="20"/>
          <w:szCs w:val="20"/>
          <w:color w:val="auto"/>
        </w:rPr>
      </w:pPr>
    </w:p>
    <w:p>
      <w:pPr>
        <w:ind w:right="140"/>
        <w:spacing w:after="0" w:line="252" w:lineRule="auto"/>
        <w:rPr>
          <w:sz w:val="20"/>
          <w:szCs w:val="20"/>
          <w:color w:val="auto"/>
        </w:rPr>
      </w:pPr>
      <w:r>
        <w:rPr>
          <w:rFonts w:ascii="Arial" w:cs="Arial" w:eastAsia="Arial" w:hAnsi="Arial"/>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Allowance for Credit Losses – Commercial Loans and Commercial Real Estate Loans Loss Factors</w:t>
      </w:r>
    </w:p>
    <w:p>
      <w:pPr>
        <w:spacing w:after="0" w:line="243"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As described in Notes 1 and 4 to the consolidated financial statements, the Company’s allowance for credit losses of $1.1 billion, represents management’s estimate of losses inherent in the loan and lease portfolio of $90.9 billion as of December 31, 2019. The Company’s allowance for credit losses allocated to commercial loans and commercial real estate loans comprise a significant portion of the total allowance for credit losses. The allowance for credit losses allocated to commercial loans and commercial real estate loans is primarily determined by applying loss factors to groups of loan balances based on loan type and management’s classification of commercial loans and commercial real estate loans under the Company’s loan grading system. Factors considered in assigning loan grades and loss factors include borrower-specific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11" w:name="page112"/>
    <w:bookmarkEnd w:id="111"/>
    <w:p>
      <w:pPr>
        <w:ind w:right="60"/>
        <w:spacing w:after="0" w:line="285" w:lineRule="auto"/>
        <w:rPr>
          <w:sz w:val="20"/>
          <w:szCs w:val="20"/>
          <w:color w:val="auto"/>
        </w:rPr>
      </w:pPr>
      <w:r>
        <w:rPr>
          <w:rFonts w:ascii="Arial" w:cs="Arial" w:eastAsia="Arial" w:hAnsi="Arial"/>
          <w:sz w:val="18"/>
          <w:szCs w:val="18"/>
          <w:color w:val="auto"/>
        </w:rPr>
        <w:t>The principal considerations for our determination that performing procedures relating to the allowance for credit losses – commercial loans and commercial real estate loans loss factors is a critical audit matter are (i) the application of significant judgment and estimation by management in determining the commercial loans and commercial real estate loans loss factors, which led to a high degree of auditor judgment and subjectivity in performing procedures related thereto, (ii) a high degree of auditor judgment was necessary to evaluate the evidence obtained related to the commercial loans and commercial real estate loans loss factors, and (iii) the audit effort involved the use of professionals with specialized skill and knowledge to assist in evaluating the audit evidence obtained from these procedures.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Addressing the matter involved performing procedures and evaluating audit evidence in connection with forming our overall opinion on the consolidated financial statements. These procedures included testing the effectiveness of controls relating to the Company’s allowance for credit losses estimation process, including controls over commercial loan and commercial real estate loan loss factors. These procedures also included, among others, testing management’s process for determining the allowance for credit losses allocated to commercial loans and commercial real estate loans, including testing the completeness and accuracy of data used in the estimate and the involvement of professionals with specialized skill and knowledge to assist in evaluating the appropriateness of the methodology and evaluating the reasonableness of the commercial loans and commercial real estate loans loss factors. Evaluating the commercial loan and commercial real estate loan loss factors included evaluating the reasonableness of the impact of borrower-specific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2177415" cy="3835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77415" cy="38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Buffalo, New York</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February 19, 2020</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1984.</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360"/>
          </w:cols>
          <w:pgMar w:left="240" w:top="336" w:right="299" w:bottom="1440" w:gutter="0" w:footer="0" w:header="0"/>
        </w:sectPr>
      </w:pPr>
    </w:p>
    <w:bookmarkStart w:id="112" w:name="page113"/>
    <w:bookmarkEnd w:id="112"/>
    <w:p>
      <w:pPr>
        <w:spacing w:after="0"/>
        <w:rPr>
          <w:sz w:val="20"/>
          <w:szCs w:val="20"/>
          <w:color w:val="auto"/>
        </w:rPr>
      </w:pPr>
      <w:r>
        <w:rPr>
          <w:rFonts w:ascii="Arial" w:cs="Arial" w:eastAsia="Arial" w:hAnsi="Arial"/>
          <w:sz w:val="20"/>
          <w:szCs w:val="20"/>
          <w:b w:val="1"/>
          <w:bCs w:val="1"/>
          <w:color w:val="auto"/>
        </w:rPr>
        <w:t>M&amp;T BANK CORPORATION AND SUBSIDIARIES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Balance Sheet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per share)</w:t>
            </w:r>
          </w:p>
        </w:tc>
        <w:tc>
          <w:tcPr>
            <w:tcW w:w="1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440" w:type="dxa"/>
            <w:vAlign w:val="bottom"/>
            <w:tcBorders>
              <w:bottom w:val="single" w:sz="8" w:color="CFF0FC"/>
            </w:tcBorders>
            <w:vMerge w:val="continue"/>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26"/>
              <w:spacing w:after="0" w:line="151"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06"/>
              <w:spacing w:after="0" w:line="151"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5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line="171" w:lineRule="exact"/>
              <w:rPr>
                <w:sz w:val="20"/>
                <w:szCs w:val="20"/>
                <w:color w:val="auto"/>
              </w:rPr>
            </w:pPr>
            <w:r>
              <w:rPr>
                <w:rFonts w:ascii="Arial" w:cs="Arial" w:eastAsia="Arial" w:hAnsi="Arial"/>
                <w:sz w:val="15"/>
                <w:szCs w:val="15"/>
                <w:color w:val="auto"/>
              </w:rPr>
              <w:t>Cash and due from banks</w:t>
            </w:r>
          </w:p>
        </w:tc>
        <w:tc>
          <w:tcPr>
            <w:tcW w:w="1900" w:type="dxa"/>
            <w:vAlign w:val="bottom"/>
            <w:gridSpan w:val="2"/>
          </w:tcPr>
          <w:p>
            <w:pPr>
              <w:jc w:val="right"/>
              <w:ind w:right="166"/>
              <w:spacing w:after="0" w:line="171" w:lineRule="exact"/>
              <w:rPr>
                <w:sz w:val="20"/>
                <w:szCs w:val="20"/>
                <w:color w:val="auto"/>
              </w:rPr>
            </w:pPr>
            <w:r>
              <w:rPr>
                <w:rFonts w:ascii="Arial" w:cs="Arial" w:eastAsia="Arial" w:hAnsi="Arial"/>
                <w:sz w:val="15"/>
                <w:szCs w:val="15"/>
                <w:color w:val="auto"/>
              </w:rPr>
              <w:t>$</w:t>
            </w:r>
          </w:p>
        </w:tc>
        <w:tc>
          <w:tcPr>
            <w:tcW w:w="1120" w:type="dxa"/>
            <w:vAlign w:val="bottom"/>
          </w:tcPr>
          <w:p>
            <w:pPr>
              <w:jc w:val="right"/>
              <w:spacing w:after="0" w:line="171" w:lineRule="exact"/>
              <w:rPr>
                <w:sz w:val="20"/>
                <w:szCs w:val="20"/>
                <w:color w:val="auto"/>
              </w:rPr>
            </w:pPr>
            <w:r>
              <w:rPr>
                <w:rFonts w:ascii="Arial" w:cs="Arial" w:eastAsia="Arial" w:hAnsi="Arial"/>
                <w:sz w:val="15"/>
                <w:szCs w:val="15"/>
                <w:color w:val="auto"/>
              </w:rPr>
              <w:t>1,432,805</w:t>
            </w:r>
          </w:p>
        </w:tc>
        <w:tc>
          <w:tcPr>
            <w:tcW w:w="460" w:type="dxa"/>
            <w:vAlign w:val="bottom"/>
          </w:tcPr>
          <w:p>
            <w:pPr>
              <w:spacing w:after="0"/>
              <w:rPr>
                <w:sz w:val="14"/>
                <w:szCs w:val="14"/>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171" w:lineRule="exact"/>
              <w:rPr>
                <w:sz w:val="20"/>
                <w:szCs w:val="20"/>
                <w:color w:val="auto"/>
              </w:rPr>
            </w:pPr>
            <w:r>
              <w:rPr>
                <w:rFonts w:ascii="Arial" w:cs="Arial" w:eastAsia="Arial" w:hAnsi="Arial"/>
                <w:sz w:val="15"/>
                <w:szCs w:val="15"/>
                <w:color w:val="auto"/>
              </w:rPr>
              <w:t>1,605,439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Interest-bearing deposits at banks</w:t>
            </w:r>
          </w:p>
        </w:tc>
        <w:tc>
          <w:tcPr>
            <w:tcW w:w="15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7,190,154</w:t>
            </w:r>
          </w:p>
        </w:tc>
        <w:tc>
          <w:tcPr>
            <w:tcW w:w="4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8,105,197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line="171" w:lineRule="exact"/>
              <w:rPr>
                <w:sz w:val="20"/>
                <w:szCs w:val="20"/>
                <w:color w:val="auto"/>
              </w:rPr>
            </w:pPr>
            <w:r>
              <w:rPr>
                <w:rFonts w:ascii="Arial" w:cs="Arial" w:eastAsia="Arial" w:hAnsi="Arial"/>
                <w:sz w:val="15"/>
                <w:szCs w:val="15"/>
                <w:color w:val="auto"/>
              </w:rPr>
              <w:t>Federal funds sold</w:t>
            </w: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line="171" w:lineRule="exact"/>
              <w:rPr>
                <w:sz w:val="20"/>
                <w:szCs w:val="20"/>
                <w:color w:val="auto"/>
              </w:rPr>
            </w:pPr>
            <w:r>
              <w:rPr>
                <w:rFonts w:ascii="Arial" w:cs="Arial" w:eastAsia="Arial" w:hAnsi="Arial"/>
                <w:sz w:val="15"/>
                <w:szCs w:val="15"/>
                <w:color w:val="auto"/>
              </w:rPr>
              <w:t>3,500</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644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Trading account</w:t>
            </w:r>
          </w:p>
        </w:tc>
        <w:tc>
          <w:tcPr>
            <w:tcW w:w="15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470,129</w:t>
            </w:r>
          </w:p>
        </w:tc>
        <w:tc>
          <w:tcPr>
            <w:tcW w:w="4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185,584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5"/>
                <w:szCs w:val="15"/>
                <w:color w:val="auto"/>
              </w:rPr>
              <w:t>Investment securities (includes pledged securities that can be sold or repledged of</w:t>
            </w:r>
          </w:p>
        </w:tc>
        <w:tc>
          <w:tcPr>
            <w:tcW w:w="1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440" w:type="dxa"/>
            <w:vAlign w:val="bottom"/>
          </w:tcPr>
          <w:p>
            <w:pPr>
              <w:ind w:left="120"/>
              <w:spacing w:after="0" w:line="171" w:lineRule="exact"/>
              <w:rPr>
                <w:sz w:val="20"/>
                <w:szCs w:val="20"/>
                <w:color w:val="auto"/>
              </w:rPr>
            </w:pPr>
            <w:r>
              <w:rPr>
                <w:rFonts w:ascii="Arial" w:cs="Arial" w:eastAsia="Arial" w:hAnsi="Arial"/>
                <w:sz w:val="15"/>
                <w:szCs w:val="15"/>
                <w:color w:val="auto"/>
              </w:rPr>
              <w:t>$200,339 at December 31, 2019; $487,365 at December 31, 2018)</w:t>
            </w: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440" w:type="dxa"/>
            <w:vAlign w:val="bottom"/>
            <w:shd w:val="clear" w:color="auto" w:fill="CFF0FC"/>
          </w:tcPr>
          <w:p>
            <w:pPr>
              <w:ind w:left="240"/>
              <w:spacing w:after="0" w:line="158" w:lineRule="exact"/>
              <w:rPr>
                <w:sz w:val="20"/>
                <w:szCs w:val="20"/>
                <w:color w:val="auto"/>
              </w:rPr>
            </w:pPr>
            <w:r>
              <w:rPr>
                <w:rFonts w:ascii="Arial" w:cs="Arial" w:eastAsia="Arial" w:hAnsi="Arial"/>
                <w:sz w:val="15"/>
                <w:szCs w:val="15"/>
                <w:color w:val="auto"/>
              </w:rPr>
              <w:t>Available for sale (cost: $6,258,276 at December 31, 2019;</w:t>
            </w:r>
          </w:p>
        </w:tc>
        <w:tc>
          <w:tcPr>
            <w:tcW w:w="15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440" w:type="dxa"/>
            <w:vAlign w:val="bottom"/>
            <w:shd w:val="clear" w:color="auto" w:fill="CFF0FC"/>
          </w:tcPr>
          <w:p>
            <w:pPr>
              <w:ind w:left="360"/>
              <w:spacing w:after="0" w:line="171" w:lineRule="exact"/>
              <w:rPr>
                <w:sz w:val="20"/>
                <w:szCs w:val="20"/>
                <w:color w:val="auto"/>
              </w:rPr>
            </w:pPr>
            <w:r>
              <w:rPr>
                <w:rFonts w:ascii="Arial" w:cs="Arial" w:eastAsia="Arial" w:hAnsi="Arial"/>
                <w:sz w:val="15"/>
                <w:szCs w:val="15"/>
                <w:color w:val="auto"/>
              </w:rPr>
              <w:t>$8,869,423 at December 31, 2018)</w:t>
            </w:r>
          </w:p>
        </w:tc>
        <w:tc>
          <w:tcPr>
            <w:tcW w:w="15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6,318,776</w:t>
            </w:r>
          </w:p>
        </w:tc>
        <w:tc>
          <w:tcPr>
            <w:tcW w:w="4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8,682,509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440" w:type="dxa"/>
            <w:vAlign w:val="bottom"/>
          </w:tcPr>
          <w:p>
            <w:pPr>
              <w:ind w:left="240"/>
              <w:spacing w:after="0" w:line="158" w:lineRule="exact"/>
              <w:rPr>
                <w:sz w:val="20"/>
                <w:szCs w:val="20"/>
                <w:color w:val="auto"/>
              </w:rPr>
            </w:pPr>
            <w:r>
              <w:rPr>
                <w:rFonts w:ascii="Arial" w:cs="Arial" w:eastAsia="Arial" w:hAnsi="Arial"/>
                <w:sz w:val="15"/>
                <w:szCs w:val="15"/>
                <w:color w:val="auto"/>
              </w:rPr>
              <w:t>Held to maturity (fair value: $2,699,206 at December 31, 2019;</w:t>
            </w:r>
          </w:p>
        </w:tc>
        <w:tc>
          <w:tcPr>
            <w:tcW w:w="1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440" w:type="dxa"/>
            <w:vAlign w:val="bottom"/>
          </w:tcPr>
          <w:p>
            <w:pPr>
              <w:ind w:left="360"/>
              <w:spacing w:after="0" w:line="171" w:lineRule="exact"/>
              <w:rPr>
                <w:sz w:val="20"/>
                <w:szCs w:val="20"/>
                <w:color w:val="auto"/>
              </w:rPr>
            </w:pPr>
            <w:r>
              <w:rPr>
                <w:rFonts w:ascii="Arial" w:cs="Arial" w:eastAsia="Arial" w:hAnsi="Arial"/>
                <w:sz w:val="15"/>
                <w:szCs w:val="15"/>
                <w:color w:val="auto"/>
              </w:rPr>
              <w:t>$3,255,483 at December 31, 2018)</w:t>
            </w: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line="171" w:lineRule="exact"/>
              <w:rPr>
                <w:sz w:val="20"/>
                <w:szCs w:val="20"/>
                <w:color w:val="auto"/>
              </w:rPr>
            </w:pPr>
            <w:r>
              <w:rPr>
                <w:rFonts w:ascii="Arial" w:cs="Arial" w:eastAsia="Arial" w:hAnsi="Arial"/>
                <w:sz w:val="15"/>
                <w:szCs w:val="15"/>
                <w:color w:val="auto"/>
              </w:rPr>
              <w:t>2,656,917</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line="171" w:lineRule="exact"/>
              <w:rPr>
                <w:sz w:val="20"/>
                <w:szCs w:val="20"/>
                <w:color w:val="auto"/>
              </w:rPr>
            </w:pPr>
            <w:r>
              <w:rPr>
                <w:rFonts w:ascii="Arial" w:cs="Arial" w:eastAsia="Arial" w:hAnsi="Arial"/>
                <w:sz w:val="15"/>
                <w:szCs w:val="15"/>
                <w:color w:val="auto"/>
              </w:rPr>
              <w:t>3,316,640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440" w:type="dxa"/>
            <w:vAlign w:val="bottom"/>
            <w:shd w:val="clear" w:color="auto" w:fill="CFF0FC"/>
          </w:tcPr>
          <w:p>
            <w:pPr>
              <w:ind w:left="240"/>
              <w:spacing w:after="0" w:line="158" w:lineRule="exact"/>
              <w:rPr>
                <w:sz w:val="20"/>
                <w:szCs w:val="20"/>
                <w:color w:val="auto"/>
              </w:rPr>
            </w:pPr>
            <w:r>
              <w:rPr>
                <w:rFonts w:ascii="Arial" w:cs="Arial" w:eastAsia="Arial" w:hAnsi="Arial"/>
                <w:sz w:val="15"/>
                <w:szCs w:val="15"/>
                <w:color w:val="auto"/>
              </w:rPr>
              <w:t>Equity and other securities (cost: $487,041 at December 31, 2019;</w:t>
            </w:r>
          </w:p>
        </w:tc>
        <w:tc>
          <w:tcPr>
            <w:tcW w:w="15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440" w:type="dxa"/>
            <w:vAlign w:val="bottom"/>
            <w:shd w:val="clear" w:color="auto" w:fill="CFF0FC"/>
          </w:tcPr>
          <w:p>
            <w:pPr>
              <w:ind w:left="360"/>
              <w:spacing w:after="0" w:line="171" w:lineRule="exact"/>
              <w:rPr>
                <w:sz w:val="20"/>
                <w:szCs w:val="20"/>
                <w:color w:val="auto"/>
              </w:rPr>
            </w:pPr>
            <w:r>
              <w:rPr>
                <w:rFonts w:ascii="Arial" w:cs="Arial" w:eastAsia="Arial" w:hAnsi="Arial"/>
                <w:sz w:val="15"/>
                <w:szCs w:val="15"/>
                <w:color w:val="auto"/>
              </w:rPr>
              <w:t>$677,187 at December 31, 2018)</w:t>
            </w:r>
          </w:p>
        </w:tc>
        <w:tc>
          <w:tcPr>
            <w:tcW w:w="158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521,558</w:t>
            </w:r>
          </w:p>
        </w:tc>
        <w:tc>
          <w:tcPr>
            <w:tcW w:w="46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693,664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440" w:type="dxa"/>
            <w:vAlign w:val="bottom"/>
            <w:tcBorders>
              <w:bottom w:val="single" w:sz="8" w:color="CFF0FC"/>
            </w:tcBorders>
          </w:tcPr>
          <w:p>
            <w:pPr>
              <w:ind w:left="480"/>
              <w:spacing w:after="0" w:line="164" w:lineRule="exact"/>
              <w:rPr>
                <w:sz w:val="20"/>
                <w:szCs w:val="20"/>
                <w:color w:val="auto"/>
              </w:rPr>
            </w:pPr>
            <w:r>
              <w:rPr>
                <w:rFonts w:ascii="Arial" w:cs="Arial" w:eastAsia="Arial" w:hAnsi="Arial"/>
                <w:sz w:val="15"/>
                <w:szCs w:val="15"/>
                <w:color w:val="auto"/>
              </w:rPr>
              <w:t>Total investment securities</w:t>
            </w:r>
          </w:p>
        </w:tc>
        <w:tc>
          <w:tcPr>
            <w:tcW w:w="15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9,497,251</w:t>
            </w:r>
          </w:p>
        </w:tc>
        <w:tc>
          <w:tcPr>
            <w:tcW w:w="4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12,692,813</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440" w:type="dxa"/>
            <w:vAlign w:val="bottom"/>
            <w:shd w:val="clear" w:color="auto" w:fill="CFF0FC"/>
          </w:tcPr>
          <w:p>
            <w:pPr>
              <w:spacing w:after="0" w:line="164" w:lineRule="exact"/>
              <w:rPr>
                <w:sz w:val="20"/>
                <w:szCs w:val="20"/>
                <w:color w:val="auto"/>
              </w:rPr>
            </w:pPr>
            <w:r>
              <w:rPr>
                <w:rFonts w:ascii="Arial" w:cs="Arial" w:eastAsia="Arial" w:hAnsi="Arial"/>
                <w:sz w:val="15"/>
                <w:szCs w:val="15"/>
                <w:color w:val="auto"/>
              </w:rPr>
              <w:t>Loans and leases</w:t>
            </w:r>
          </w:p>
        </w:tc>
        <w:tc>
          <w:tcPr>
            <w:tcW w:w="15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4" w:lineRule="exact"/>
              <w:rPr>
                <w:sz w:val="20"/>
                <w:szCs w:val="20"/>
                <w:color w:val="auto"/>
              </w:rPr>
            </w:pPr>
            <w:r>
              <w:rPr>
                <w:rFonts w:ascii="Arial" w:cs="Arial" w:eastAsia="Arial" w:hAnsi="Arial"/>
                <w:sz w:val="15"/>
                <w:szCs w:val="15"/>
                <w:color w:val="auto"/>
              </w:rPr>
              <w:t>91,188,525</w:t>
            </w:r>
          </w:p>
        </w:tc>
        <w:tc>
          <w:tcPr>
            <w:tcW w:w="4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line="164" w:lineRule="exact"/>
              <w:rPr>
                <w:sz w:val="20"/>
                <w:szCs w:val="20"/>
                <w:color w:val="auto"/>
              </w:rPr>
            </w:pPr>
            <w:r>
              <w:rPr>
                <w:rFonts w:ascii="Arial" w:cs="Arial" w:eastAsia="Arial" w:hAnsi="Arial"/>
                <w:sz w:val="15"/>
                <w:szCs w:val="15"/>
                <w:color w:val="auto"/>
              </w:rPr>
              <w:t>88,733,492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tcPr>
          <w:p>
            <w:pPr>
              <w:ind w:left="240"/>
              <w:spacing w:after="0" w:line="171" w:lineRule="exact"/>
              <w:rPr>
                <w:sz w:val="20"/>
                <w:szCs w:val="20"/>
                <w:color w:val="auto"/>
              </w:rPr>
            </w:pPr>
            <w:r>
              <w:rPr>
                <w:rFonts w:ascii="Arial" w:cs="Arial" w:eastAsia="Arial" w:hAnsi="Arial"/>
                <w:sz w:val="15"/>
                <w:szCs w:val="15"/>
                <w:color w:val="auto"/>
              </w:rPr>
              <w:t>Unearned discount</w:t>
            </w: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2"/>
          </w:tcPr>
          <w:p>
            <w:pPr>
              <w:jc w:val="right"/>
              <w:ind w:right="420"/>
              <w:spacing w:after="0" w:line="171" w:lineRule="exact"/>
              <w:rPr>
                <w:sz w:val="20"/>
                <w:szCs w:val="20"/>
                <w:color w:val="auto"/>
              </w:rPr>
            </w:pPr>
            <w:r>
              <w:rPr>
                <w:rFonts w:ascii="Arial" w:cs="Arial" w:eastAsia="Arial" w:hAnsi="Arial"/>
                <w:sz w:val="15"/>
                <w:szCs w:val="15"/>
                <w:color w:val="auto"/>
              </w:rPr>
              <w:t>(265,656)</w:t>
            </w:r>
          </w:p>
        </w:tc>
        <w:tc>
          <w:tcPr>
            <w:tcW w:w="340" w:type="dxa"/>
            <w:vAlign w:val="bottom"/>
          </w:tcPr>
          <w:p>
            <w:pPr>
              <w:spacing w:after="0"/>
              <w:rPr>
                <w:sz w:val="14"/>
                <w:szCs w:val="14"/>
                <w:color w:val="auto"/>
              </w:rPr>
            </w:pPr>
          </w:p>
        </w:tc>
        <w:tc>
          <w:tcPr>
            <w:tcW w:w="116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(267,015)</w:t>
            </w:r>
          </w:p>
        </w:tc>
        <w:tc>
          <w:tcPr>
            <w:tcW w:w="0" w:type="dxa"/>
            <w:vAlign w:val="bottom"/>
          </w:tcPr>
          <w:p>
            <w:pPr>
              <w:spacing w:after="0"/>
              <w:rPr>
                <w:sz w:val="1"/>
                <w:szCs w:val="1"/>
                <w:color w:val="auto"/>
              </w:rPr>
            </w:pPr>
          </w:p>
        </w:tc>
      </w:tr>
      <w:tr>
        <w:trPr>
          <w:trHeight w:val="164"/>
        </w:trPr>
        <w:tc>
          <w:tcPr>
            <w:tcW w:w="6440" w:type="dxa"/>
            <w:vAlign w:val="bottom"/>
            <w:tcBorders>
              <w:top w:val="single" w:sz="8" w:color="CFF0FC"/>
            </w:tcBorders>
            <w:shd w:val="clear" w:color="auto" w:fill="CFF0FC"/>
          </w:tcPr>
          <w:p>
            <w:pPr>
              <w:ind w:left="360"/>
              <w:spacing w:after="0" w:line="164" w:lineRule="exact"/>
              <w:rPr>
                <w:sz w:val="20"/>
                <w:szCs w:val="20"/>
                <w:color w:val="auto"/>
              </w:rPr>
            </w:pPr>
            <w:r>
              <w:rPr>
                <w:rFonts w:ascii="Arial" w:cs="Arial" w:eastAsia="Arial" w:hAnsi="Arial"/>
                <w:sz w:val="15"/>
                <w:szCs w:val="15"/>
                <w:color w:val="auto"/>
              </w:rPr>
              <w:t>Loans and leases, net of unearned discount</w:t>
            </w:r>
          </w:p>
        </w:tc>
        <w:tc>
          <w:tcPr>
            <w:tcW w:w="1580" w:type="dxa"/>
            <w:vAlign w:val="bottom"/>
            <w:tcBorders>
              <w:top w:val="single" w:sz="8" w:color="CFF0FC"/>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90,922,869</w:t>
            </w:r>
          </w:p>
        </w:tc>
        <w:tc>
          <w:tcPr>
            <w:tcW w:w="46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88,466,477</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tcPr>
          <w:p>
            <w:pPr>
              <w:ind w:left="240"/>
              <w:spacing w:after="0" w:line="171" w:lineRule="exact"/>
              <w:rPr>
                <w:sz w:val="20"/>
                <w:szCs w:val="20"/>
                <w:color w:val="auto"/>
              </w:rPr>
            </w:pPr>
            <w:r>
              <w:rPr>
                <w:rFonts w:ascii="Arial" w:cs="Arial" w:eastAsia="Arial" w:hAnsi="Arial"/>
                <w:sz w:val="15"/>
                <w:szCs w:val="15"/>
                <w:color w:val="auto"/>
              </w:rPr>
              <w:t>Allowance for credit losses</w:t>
            </w: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2"/>
          </w:tcPr>
          <w:p>
            <w:pPr>
              <w:jc w:val="right"/>
              <w:ind w:right="420"/>
              <w:spacing w:after="0" w:line="171" w:lineRule="exact"/>
              <w:rPr>
                <w:sz w:val="20"/>
                <w:szCs w:val="20"/>
                <w:color w:val="auto"/>
              </w:rPr>
            </w:pPr>
            <w:r>
              <w:rPr>
                <w:rFonts w:ascii="Arial" w:cs="Arial" w:eastAsia="Arial" w:hAnsi="Arial"/>
                <w:sz w:val="15"/>
                <w:szCs w:val="15"/>
                <w:color w:val="auto"/>
              </w:rPr>
              <w:t>(1,051,071)</w:t>
            </w:r>
          </w:p>
        </w:tc>
        <w:tc>
          <w:tcPr>
            <w:tcW w:w="340" w:type="dxa"/>
            <w:vAlign w:val="bottom"/>
          </w:tcPr>
          <w:p>
            <w:pPr>
              <w:spacing w:after="0"/>
              <w:rPr>
                <w:sz w:val="14"/>
                <w:szCs w:val="14"/>
                <w:color w:val="auto"/>
              </w:rPr>
            </w:pPr>
          </w:p>
        </w:tc>
        <w:tc>
          <w:tcPr>
            <w:tcW w:w="116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(1,019,444)</w:t>
            </w:r>
          </w:p>
        </w:tc>
        <w:tc>
          <w:tcPr>
            <w:tcW w:w="0" w:type="dxa"/>
            <w:vAlign w:val="bottom"/>
          </w:tcPr>
          <w:p>
            <w:pPr>
              <w:spacing w:after="0"/>
              <w:rPr>
                <w:sz w:val="1"/>
                <w:szCs w:val="1"/>
                <w:color w:val="auto"/>
              </w:rPr>
            </w:pPr>
          </w:p>
        </w:tc>
      </w:tr>
      <w:tr>
        <w:trPr>
          <w:trHeight w:val="164"/>
        </w:trPr>
        <w:tc>
          <w:tcPr>
            <w:tcW w:w="6440" w:type="dxa"/>
            <w:vAlign w:val="bottom"/>
            <w:tcBorders>
              <w:top w:val="single" w:sz="8" w:color="CFF0FC"/>
            </w:tcBorders>
            <w:shd w:val="clear" w:color="auto" w:fill="CFF0FC"/>
          </w:tcPr>
          <w:p>
            <w:pPr>
              <w:ind w:left="360"/>
              <w:spacing w:after="0" w:line="164" w:lineRule="exact"/>
              <w:rPr>
                <w:sz w:val="20"/>
                <w:szCs w:val="20"/>
                <w:color w:val="auto"/>
              </w:rPr>
            </w:pPr>
            <w:r>
              <w:rPr>
                <w:rFonts w:ascii="Arial" w:cs="Arial" w:eastAsia="Arial" w:hAnsi="Arial"/>
                <w:sz w:val="15"/>
                <w:szCs w:val="15"/>
                <w:color w:val="auto"/>
              </w:rPr>
              <w:t>Loans and leases, net</w:t>
            </w:r>
          </w:p>
        </w:tc>
        <w:tc>
          <w:tcPr>
            <w:tcW w:w="1580" w:type="dxa"/>
            <w:vAlign w:val="bottom"/>
            <w:tcBorders>
              <w:top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89,871,798</w:t>
            </w:r>
          </w:p>
        </w:tc>
        <w:tc>
          <w:tcPr>
            <w:tcW w:w="46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87,447,033</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440" w:type="dxa"/>
            <w:vAlign w:val="bottom"/>
          </w:tcPr>
          <w:p>
            <w:pPr>
              <w:spacing w:after="0" w:line="164" w:lineRule="exact"/>
              <w:rPr>
                <w:sz w:val="20"/>
                <w:szCs w:val="20"/>
                <w:color w:val="auto"/>
              </w:rPr>
            </w:pPr>
            <w:r>
              <w:rPr>
                <w:rFonts w:ascii="Arial" w:cs="Arial" w:eastAsia="Arial" w:hAnsi="Arial"/>
                <w:sz w:val="15"/>
                <w:szCs w:val="15"/>
                <w:color w:val="auto"/>
              </w:rPr>
              <w:t>Premises and equipment</w:t>
            </w: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5"/>
                <w:szCs w:val="15"/>
                <w:color w:val="auto"/>
              </w:rPr>
              <w:t>1,140,924</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line="164" w:lineRule="exact"/>
              <w:rPr>
                <w:sz w:val="20"/>
                <w:szCs w:val="20"/>
                <w:color w:val="auto"/>
              </w:rPr>
            </w:pPr>
            <w:r>
              <w:rPr>
                <w:rFonts w:ascii="Arial" w:cs="Arial" w:eastAsia="Arial" w:hAnsi="Arial"/>
                <w:sz w:val="15"/>
                <w:szCs w:val="15"/>
                <w:color w:val="auto"/>
              </w:rPr>
              <w:t>647,408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Goodwill</w:t>
            </w:r>
          </w:p>
        </w:tc>
        <w:tc>
          <w:tcPr>
            <w:tcW w:w="15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4,593,112</w:t>
            </w:r>
          </w:p>
        </w:tc>
        <w:tc>
          <w:tcPr>
            <w:tcW w:w="4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4,593,112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line="171" w:lineRule="exact"/>
              <w:rPr>
                <w:sz w:val="20"/>
                <w:szCs w:val="20"/>
                <w:color w:val="auto"/>
              </w:rPr>
            </w:pPr>
            <w:r>
              <w:rPr>
                <w:rFonts w:ascii="Arial" w:cs="Arial" w:eastAsia="Arial" w:hAnsi="Arial"/>
                <w:sz w:val="15"/>
                <w:szCs w:val="15"/>
                <w:color w:val="auto"/>
              </w:rPr>
              <w:t>Core deposit and other intangible assets</w:t>
            </w: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line="171" w:lineRule="exact"/>
              <w:rPr>
                <w:sz w:val="20"/>
                <w:szCs w:val="20"/>
                <w:color w:val="auto"/>
              </w:rPr>
            </w:pPr>
            <w:r>
              <w:rPr>
                <w:rFonts w:ascii="Arial" w:cs="Arial" w:eastAsia="Arial" w:hAnsi="Arial"/>
                <w:sz w:val="15"/>
                <w:szCs w:val="15"/>
                <w:color w:val="auto"/>
              </w:rPr>
              <w:t>29,034</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line="171" w:lineRule="exact"/>
              <w:rPr>
                <w:sz w:val="20"/>
                <w:szCs w:val="20"/>
                <w:color w:val="auto"/>
              </w:rPr>
            </w:pPr>
            <w:r>
              <w:rPr>
                <w:rFonts w:ascii="Arial" w:cs="Arial" w:eastAsia="Arial" w:hAnsi="Arial"/>
                <w:sz w:val="15"/>
                <w:szCs w:val="15"/>
                <w:color w:val="auto"/>
              </w:rPr>
              <w:t>47,067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Accrued interest and other assets</w:t>
            </w:r>
          </w:p>
        </w:tc>
        <w:tc>
          <w:tcPr>
            <w:tcW w:w="158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5,644,050</w:t>
            </w:r>
          </w:p>
        </w:tc>
        <w:tc>
          <w:tcPr>
            <w:tcW w:w="46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4,773,750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440" w:type="dxa"/>
            <w:vAlign w:val="bottom"/>
            <w:tcBorders>
              <w:bottom w:val="single" w:sz="8" w:color="CFF0FC"/>
            </w:tcBorders>
          </w:tcPr>
          <w:p>
            <w:pPr>
              <w:ind w:left="480"/>
              <w:spacing w:after="0" w:line="164" w:lineRule="exact"/>
              <w:rPr>
                <w:sz w:val="20"/>
                <w:szCs w:val="20"/>
                <w:color w:val="auto"/>
              </w:rPr>
            </w:pPr>
            <w:r>
              <w:rPr>
                <w:rFonts w:ascii="Arial" w:cs="Arial" w:eastAsia="Arial" w:hAnsi="Arial"/>
                <w:sz w:val="15"/>
                <w:szCs w:val="15"/>
                <w:color w:val="auto"/>
              </w:rPr>
              <w:t>Total assets</w:t>
            </w:r>
          </w:p>
        </w:tc>
        <w:tc>
          <w:tcPr>
            <w:tcW w:w="158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jc w:val="right"/>
              <w:ind w:right="166"/>
              <w:spacing w:after="0" w:line="164"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119,872,757</w:t>
            </w:r>
          </w:p>
        </w:tc>
        <w:tc>
          <w:tcPr>
            <w:tcW w:w="46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120,097,403</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5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line="171" w:lineRule="exact"/>
              <w:rPr>
                <w:sz w:val="20"/>
                <w:szCs w:val="20"/>
                <w:color w:val="auto"/>
              </w:rPr>
            </w:pPr>
            <w:r>
              <w:rPr>
                <w:rFonts w:ascii="Arial" w:cs="Arial" w:eastAsia="Arial" w:hAnsi="Arial"/>
                <w:sz w:val="15"/>
                <w:szCs w:val="15"/>
                <w:color w:val="auto"/>
              </w:rPr>
              <w:t>Noninterest-bearing deposits</w:t>
            </w:r>
          </w:p>
        </w:tc>
        <w:tc>
          <w:tcPr>
            <w:tcW w:w="1900" w:type="dxa"/>
            <w:vAlign w:val="bottom"/>
            <w:gridSpan w:val="2"/>
          </w:tcPr>
          <w:p>
            <w:pPr>
              <w:jc w:val="right"/>
              <w:ind w:right="166"/>
              <w:spacing w:after="0" w:line="171" w:lineRule="exact"/>
              <w:rPr>
                <w:sz w:val="20"/>
                <w:szCs w:val="20"/>
                <w:color w:val="auto"/>
              </w:rPr>
            </w:pPr>
            <w:r>
              <w:rPr>
                <w:rFonts w:ascii="Arial" w:cs="Arial" w:eastAsia="Arial" w:hAnsi="Arial"/>
                <w:sz w:val="15"/>
                <w:szCs w:val="15"/>
                <w:color w:val="auto"/>
              </w:rPr>
              <w:t>$</w:t>
            </w:r>
          </w:p>
        </w:tc>
        <w:tc>
          <w:tcPr>
            <w:tcW w:w="1120" w:type="dxa"/>
            <w:vAlign w:val="bottom"/>
          </w:tcPr>
          <w:p>
            <w:pPr>
              <w:jc w:val="right"/>
              <w:spacing w:after="0" w:line="171" w:lineRule="exact"/>
              <w:rPr>
                <w:sz w:val="20"/>
                <w:szCs w:val="20"/>
                <w:color w:val="auto"/>
              </w:rPr>
            </w:pPr>
            <w:r>
              <w:rPr>
                <w:rFonts w:ascii="Arial" w:cs="Arial" w:eastAsia="Arial" w:hAnsi="Arial"/>
                <w:sz w:val="15"/>
                <w:szCs w:val="15"/>
                <w:color w:val="auto"/>
              </w:rPr>
              <w:t>32,396,407</w:t>
            </w:r>
          </w:p>
        </w:tc>
        <w:tc>
          <w:tcPr>
            <w:tcW w:w="460" w:type="dxa"/>
            <w:vAlign w:val="bottom"/>
          </w:tcPr>
          <w:p>
            <w:pPr>
              <w:spacing w:after="0"/>
              <w:rPr>
                <w:sz w:val="14"/>
                <w:szCs w:val="14"/>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171" w:lineRule="exact"/>
              <w:rPr>
                <w:sz w:val="20"/>
                <w:szCs w:val="20"/>
                <w:color w:val="auto"/>
              </w:rPr>
            </w:pPr>
            <w:r>
              <w:rPr>
                <w:rFonts w:ascii="Arial" w:cs="Arial" w:eastAsia="Arial" w:hAnsi="Arial"/>
                <w:sz w:val="15"/>
                <w:szCs w:val="15"/>
                <w:color w:val="auto"/>
              </w:rPr>
              <w:t>32,256,668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Savings and interest-checking deposits</w:t>
            </w:r>
          </w:p>
        </w:tc>
        <w:tc>
          <w:tcPr>
            <w:tcW w:w="15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54,932,162</w:t>
            </w:r>
          </w:p>
        </w:tc>
        <w:tc>
          <w:tcPr>
            <w:tcW w:w="4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50,963,744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line="171" w:lineRule="exact"/>
              <w:rPr>
                <w:sz w:val="20"/>
                <w:szCs w:val="20"/>
                <w:color w:val="auto"/>
              </w:rPr>
            </w:pPr>
            <w:r>
              <w:rPr>
                <w:rFonts w:ascii="Arial" w:cs="Arial" w:eastAsia="Arial" w:hAnsi="Arial"/>
                <w:sz w:val="15"/>
                <w:szCs w:val="15"/>
                <w:color w:val="auto"/>
              </w:rPr>
              <w:t>Time deposits</w:t>
            </w: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line="171" w:lineRule="exact"/>
              <w:rPr>
                <w:sz w:val="20"/>
                <w:szCs w:val="20"/>
                <w:color w:val="auto"/>
              </w:rPr>
            </w:pPr>
            <w:r>
              <w:rPr>
                <w:rFonts w:ascii="Arial" w:cs="Arial" w:eastAsia="Arial" w:hAnsi="Arial"/>
                <w:sz w:val="15"/>
                <w:szCs w:val="15"/>
                <w:color w:val="auto"/>
              </w:rPr>
              <w:t>5,757,456</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line="171" w:lineRule="exact"/>
              <w:rPr>
                <w:sz w:val="20"/>
                <w:szCs w:val="20"/>
                <w:color w:val="auto"/>
              </w:rPr>
            </w:pPr>
            <w:r>
              <w:rPr>
                <w:rFonts w:ascii="Arial" w:cs="Arial" w:eastAsia="Arial" w:hAnsi="Arial"/>
                <w:sz w:val="15"/>
                <w:szCs w:val="15"/>
                <w:color w:val="auto"/>
              </w:rPr>
              <w:t>6,124,254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Deposits at Cayman Islands office</w:t>
            </w:r>
          </w:p>
        </w:tc>
        <w:tc>
          <w:tcPr>
            <w:tcW w:w="158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1,684,044</w:t>
            </w:r>
          </w:p>
        </w:tc>
        <w:tc>
          <w:tcPr>
            <w:tcW w:w="46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811,906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440" w:type="dxa"/>
            <w:vAlign w:val="bottom"/>
            <w:tcBorders>
              <w:bottom w:val="single" w:sz="8" w:color="CFF0FC"/>
            </w:tcBorders>
          </w:tcPr>
          <w:p>
            <w:pPr>
              <w:ind w:left="480"/>
              <w:spacing w:after="0" w:line="164" w:lineRule="exact"/>
              <w:rPr>
                <w:sz w:val="20"/>
                <w:szCs w:val="20"/>
                <w:color w:val="auto"/>
              </w:rPr>
            </w:pPr>
            <w:r>
              <w:rPr>
                <w:rFonts w:ascii="Arial" w:cs="Arial" w:eastAsia="Arial" w:hAnsi="Arial"/>
                <w:sz w:val="15"/>
                <w:szCs w:val="15"/>
                <w:color w:val="auto"/>
              </w:rPr>
              <w:t>Total deposits</w:t>
            </w:r>
          </w:p>
        </w:tc>
        <w:tc>
          <w:tcPr>
            <w:tcW w:w="15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94,770,069</w:t>
            </w:r>
          </w:p>
        </w:tc>
        <w:tc>
          <w:tcPr>
            <w:tcW w:w="4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90,156,572</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440" w:type="dxa"/>
            <w:vAlign w:val="bottom"/>
            <w:shd w:val="clear" w:color="auto" w:fill="CFF0FC"/>
          </w:tcPr>
          <w:p>
            <w:pPr>
              <w:spacing w:after="0" w:line="164" w:lineRule="exact"/>
              <w:rPr>
                <w:sz w:val="20"/>
                <w:szCs w:val="20"/>
                <w:color w:val="auto"/>
              </w:rPr>
            </w:pPr>
            <w:r>
              <w:rPr>
                <w:rFonts w:ascii="Arial" w:cs="Arial" w:eastAsia="Arial" w:hAnsi="Arial"/>
                <w:sz w:val="15"/>
                <w:szCs w:val="15"/>
                <w:color w:val="auto"/>
              </w:rPr>
              <w:t>Short-term borrowings</w:t>
            </w:r>
          </w:p>
        </w:tc>
        <w:tc>
          <w:tcPr>
            <w:tcW w:w="15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4" w:lineRule="exact"/>
              <w:rPr>
                <w:sz w:val="20"/>
                <w:szCs w:val="20"/>
                <w:color w:val="auto"/>
              </w:rPr>
            </w:pPr>
            <w:r>
              <w:rPr>
                <w:rFonts w:ascii="Arial" w:cs="Arial" w:eastAsia="Arial" w:hAnsi="Arial"/>
                <w:sz w:val="15"/>
                <w:szCs w:val="15"/>
                <w:color w:val="auto"/>
              </w:rPr>
              <w:t>62,363</w:t>
            </w:r>
          </w:p>
        </w:tc>
        <w:tc>
          <w:tcPr>
            <w:tcW w:w="4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line="164" w:lineRule="exact"/>
              <w:rPr>
                <w:sz w:val="20"/>
                <w:szCs w:val="20"/>
                <w:color w:val="auto"/>
              </w:rPr>
            </w:pPr>
            <w:r>
              <w:rPr>
                <w:rFonts w:ascii="Arial" w:cs="Arial" w:eastAsia="Arial" w:hAnsi="Arial"/>
                <w:sz w:val="15"/>
                <w:szCs w:val="15"/>
                <w:color w:val="auto"/>
              </w:rPr>
              <w:t>4,398,378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line="171" w:lineRule="exact"/>
              <w:rPr>
                <w:sz w:val="20"/>
                <w:szCs w:val="20"/>
                <w:color w:val="auto"/>
              </w:rPr>
            </w:pPr>
            <w:r>
              <w:rPr>
                <w:rFonts w:ascii="Arial" w:cs="Arial" w:eastAsia="Arial" w:hAnsi="Arial"/>
                <w:sz w:val="15"/>
                <w:szCs w:val="15"/>
                <w:color w:val="auto"/>
              </w:rPr>
              <w:t>Accrued interest and other liabilities</w:t>
            </w: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line="171" w:lineRule="exact"/>
              <w:rPr>
                <w:sz w:val="20"/>
                <w:szCs w:val="20"/>
                <w:color w:val="auto"/>
              </w:rPr>
            </w:pPr>
            <w:r>
              <w:rPr>
                <w:rFonts w:ascii="Arial" w:cs="Arial" w:eastAsia="Arial" w:hAnsi="Arial"/>
                <w:sz w:val="15"/>
                <w:szCs w:val="15"/>
                <w:color w:val="auto"/>
              </w:rPr>
              <w:t>2,337,490</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line="171" w:lineRule="exact"/>
              <w:rPr>
                <w:sz w:val="20"/>
                <w:szCs w:val="20"/>
                <w:color w:val="auto"/>
              </w:rPr>
            </w:pPr>
            <w:r>
              <w:rPr>
                <w:rFonts w:ascii="Arial" w:cs="Arial" w:eastAsia="Arial" w:hAnsi="Arial"/>
                <w:sz w:val="15"/>
                <w:szCs w:val="15"/>
                <w:color w:val="auto"/>
              </w:rPr>
              <w:t>1,637,348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Long-term borrowings</w:t>
            </w:r>
          </w:p>
        </w:tc>
        <w:tc>
          <w:tcPr>
            <w:tcW w:w="158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6,986,186</w:t>
            </w:r>
          </w:p>
        </w:tc>
        <w:tc>
          <w:tcPr>
            <w:tcW w:w="46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8,444,914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440" w:type="dxa"/>
            <w:vAlign w:val="bottom"/>
            <w:tcBorders>
              <w:bottom w:val="single" w:sz="8" w:color="CFF0FC"/>
            </w:tcBorders>
          </w:tcPr>
          <w:p>
            <w:pPr>
              <w:ind w:left="480"/>
              <w:spacing w:after="0" w:line="164" w:lineRule="exact"/>
              <w:rPr>
                <w:sz w:val="20"/>
                <w:szCs w:val="20"/>
                <w:color w:val="auto"/>
              </w:rPr>
            </w:pPr>
            <w:r>
              <w:rPr>
                <w:rFonts w:ascii="Arial" w:cs="Arial" w:eastAsia="Arial" w:hAnsi="Arial"/>
                <w:sz w:val="15"/>
                <w:szCs w:val="15"/>
                <w:color w:val="auto"/>
              </w:rPr>
              <w:t>Total liabilities</w:t>
            </w:r>
          </w:p>
        </w:tc>
        <w:tc>
          <w:tcPr>
            <w:tcW w:w="15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104,156,108</w:t>
            </w:r>
          </w:p>
        </w:tc>
        <w:tc>
          <w:tcPr>
            <w:tcW w:w="4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104,637,212</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Shareholders' equity</w:t>
            </w:r>
          </w:p>
        </w:tc>
        <w:tc>
          <w:tcPr>
            <w:tcW w:w="15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5"/>
                <w:szCs w:val="15"/>
                <w:color w:val="auto"/>
              </w:rPr>
              <w:t>Preferred stock, $1.00 par, 1,000,000 shares authorized;</w:t>
            </w:r>
          </w:p>
        </w:tc>
        <w:tc>
          <w:tcPr>
            <w:tcW w:w="1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40" w:type="dxa"/>
            <w:vAlign w:val="bottom"/>
          </w:tcPr>
          <w:p>
            <w:pPr>
              <w:ind w:left="120"/>
              <w:spacing w:after="0" w:line="158" w:lineRule="exact"/>
              <w:rPr>
                <w:sz w:val="20"/>
                <w:szCs w:val="20"/>
                <w:color w:val="auto"/>
              </w:rPr>
            </w:pPr>
            <w:r>
              <w:rPr>
                <w:rFonts w:ascii="Arial" w:cs="Arial" w:eastAsia="Arial" w:hAnsi="Arial"/>
                <w:sz w:val="15"/>
                <w:szCs w:val="15"/>
                <w:color w:val="auto"/>
              </w:rPr>
              <w:t>Issued and outstanding: Liquidation preference of $1,000 per</w:t>
            </w:r>
          </w:p>
        </w:tc>
        <w:tc>
          <w:tcPr>
            <w:tcW w:w="1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40" w:type="dxa"/>
            <w:vAlign w:val="bottom"/>
          </w:tcPr>
          <w:p>
            <w:pPr>
              <w:ind w:left="120"/>
              <w:spacing w:after="0" w:line="158" w:lineRule="exact"/>
              <w:rPr>
                <w:sz w:val="20"/>
                <w:szCs w:val="20"/>
                <w:color w:val="auto"/>
              </w:rPr>
            </w:pPr>
            <w:r>
              <w:rPr>
                <w:rFonts w:ascii="Arial" w:cs="Arial" w:eastAsia="Arial" w:hAnsi="Arial"/>
                <w:sz w:val="15"/>
                <w:szCs w:val="15"/>
                <w:color w:val="auto"/>
              </w:rPr>
              <w:t>share: 350,000 shares at December 31, 2019 and 731,500 shares</w:t>
            </w:r>
          </w:p>
        </w:tc>
        <w:tc>
          <w:tcPr>
            <w:tcW w:w="1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40" w:type="dxa"/>
            <w:vAlign w:val="bottom"/>
          </w:tcPr>
          <w:p>
            <w:pPr>
              <w:ind w:left="120"/>
              <w:spacing w:after="0" w:line="158" w:lineRule="exact"/>
              <w:rPr>
                <w:sz w:val="20"/>
                <w:szCs w:val="20"/>
                <w:color w:val="auto"/>
              </w:rPr>
            </w:pPr>
            <w:r>
              <w:rPr>
                <w:rFonts w:ascii="Arial" w:cs="Arial" w:eastAsia="Arial" w:hAnsi="Arial"/>
                <w:sz w:val="15"/>
                <w:szCs w:val="15"/>
                <w:color w:val="auto"/>
              </w:rPr>
              <w:t>at December 31, 2018; Liquidation preference of $10,000 per share:</w:t>
            </w:r>
          </w:p>
        </w:tc>
        <w:tc>
          <w:tcPr>
            <w:tcW w:w="1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440" w:type="dxa"/>
            <w:vAlign w:val="bottom"/>
          </w:tcPr>
          <w:p>
            <w:pPr>
              <w:ind w:left="120"/>
              <w:spacing w:after="0" w:line="171" w:lineRule="exact"/>
              <w:rPr>
                <w:sz w:val="20"/>
                <w:szCs w:val="20"/>
                <w:color w:val="auto"/>
              </w:rPr>
            </w:pPr>
            <w:r>
              <w:rPr>
                <w:rFonts w:ascii="Arial" w:cs="Arial" w:eastAsia="Arial" w:hAnsi="Arial"/>
                <w:sz w:val="15"/>
                <w:szCs w:val="15"/>
                <w:color w:val="auto"/>
              </w:rPr>
              <w:t>90,000 shares at December 31, 2019 and 50,000 shares at December 31, 2018</w:t>
            </w: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line="171" w:lineRule="exact"/>
              <w:rPr>
                <w:sz w:val="20"/>
                <w:szCs w:val="20"/>
                <w:color w:val="auto"/>
              </w:rPr>
            </w:pPr>
            <w:r>
              <w:rPr>
                <w:rFonts w:ascii="Arial" w:cs="Arial" w:eastAsia="Arial" w:hAnsi="Arial"/>
                <w:sz w:val="15"/>
                <w:szCs w:val="15"/>
                <w:color w:val="auto"/>
              </w:rPr>
              <w:t>1,250,000</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line="171" w:lineRule="exact"/>
              <w:rPr>
                <w:sz w:val="20"/>
                <w:szCs w:val="20"/>
                <w:color w:val="auto"/>
              </w:rPr>
            </w:pPr>
            <w:r>
              <w:rPr>
                <w:rFonts w:ascii="Arial" w:cs="Arial" w:eastAsia="Arial" w:hAnsi="Arial"/>
                <w:sz w:val="15"/>
                <w:szCs w:val="15"/>
                <w:color w:val="auto"/>
              </w:rPr>
              <w:t>1,231,500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440" w:type="dxa"/>
            <w:vAlign w:val="bottom"/>
            <w:shd w:val="clear" w:color="auto" w:fill="CFF0FC"/>
          </w:tcPr>
          <w:p>
            <w:pPr>
              <w:spacing w:after="0" w:line="158" w:lineRule="exact"/>
              <w:rPr>
                <w:sz w:val="20"/>
                <w:szCs w:val="20"/>
                <w:color w:val="auto"/>
              </w:rPr>
            </w:pPr>
            <w:r>
              <w:rPr>
                <w:rFonts w:ascii="Arial" w:cs="Arial" w:eastAsia="Arial" w:hAnsi="Arial"/>
                <w:sz w:val="15"/>
                <w:szCs w:val="15"/>
                <w:color w:val="auto"/>
              </w:rPr>
              <w:t>Common stock, $.50 par, 250,000,000 shares authorized,</w:t>
            </w:r>
          </w:p>
        </w:tc>
        <w:tc>
          <w:tcPr>
            <w:tcW w:w="15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40" w:type="dxa"/>
            <w:vAlign w:val="bottom"/>
            <w:shd w:val="clear" w:color="auto" w:fill="CFF0FC"/>
          </w:tcPr>
          <w:p>
            <w:pPr>
              <w:ind w:left="120"/>
              <w:spacing w:after="0" w:line="158" w:lineRule="exact"/>
              <w:rPr>
                <w:sz w:val="20"/>
                <w:szCs w:val="20"/>
                <w:color w:val="auto"/>
              </w:rPr>
            </w:pPr>
            <w:r>
              <w:rPr>
                <w:rFonts w:ascii="Arial" w:cs="Arial" w:eastAsia="Arial" w:hAnsi="Arial"/>
                <w:sz w:val="15"/>
                <w:szCs w:val="15"/>
                <w:color w:val="auto"/>
              </w:rPr>
              <w:t>159,741,898 shares issued at December 31, 2019;</w:t>
            </w:r>
          </w:p>
        </w:tc>
        <w:tc>
          <w:tcPr>
            <w:tcW w:w="15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440" w:type="dxa"/>
            <w:vAlign w:val="bottom"/>
            <w:shd w:val="clear" w:color="auto" w:fill="CFF0FC"/>
          </w:tcPr>
          <w:p>
            <w:pPr>
              <w:ind w:left="120"/>
              <w:spacing w:after="0" w:line="171" w:lineRule="exact"/>
              <w:rPr>
                <w:sz w:val="20"/>
                <w:szCs w:val="20"/>
                <w:color w:val="auto"/>
              </w:rPr>
            </w:pPr>
            <w:r>
              <w:rPr>
                <w:rFonts w:ascii="Arial" w:cs="Arial" w:eastAsia="Arial" w:hAnsi="Arial"/>
                <w:sz w:val="15"/>
                <w:szCs w:val="15"/>
                <w:color w:val="auto"/>
              </w:rPr>
              <w:t>159,765,044 shares issued at December 31, 2018</w:t>
            </w:r>
          </w:p>
        </w:tc>
        <w:tc>
          <w:tcPr>
            <w:tcW w:w="15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79,871</w:t>
            </w:r>
          </w:p>
        </w:tc>
        <w:tc>
          <w:tcPr>
            <w:tcW w:w="4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79,883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5"/>
                <w:szCs w:val="15"/>
                <w:color w:val="auto"/>
              </w:rPr>
              <w:t>Common stock issuable, 21,534 shares at December 31, 2019;</w:t>
            </w:r>
          </w:p>
        </w:tc>
        <w:tc>
          <w:tcPr>
            <w:tcW w:w="1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440" w:type="dxa"/>
            <w:vAlign w:val="bottom"/>
          </w:tcPr>
          <w:p>
            <w:pPr>
              <w:ind w:left="120"/>
              <w:spacing w:after="0" w:line="171" w:lineRule="exact"/>
              <w:rPr>
                <w:sz w:val="20"/>
                <w:szCs w:val="20"/>
                <w:color w:val="auto"/>
              </w:rPr>
            </w:pPr>
            <w:r>
              <w:rPr>
                <w:rFonts w:ascii="Arial" w:cs="Arial" w:eastAsia="Arial" w:hAnsi="Arial"/>
                <w:sz w:val="15"/>
                <w:szCs w:val="15"/>
                <w:color w:val="auto"/>
              </w:rPr>
              <w:t>24,563 shares at December 31, 2018</w:t>
            </w: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line="171" w:lineRule="exact"/>
              <w:rPr>
                <w:sz w:val="20"/>
                <w:szCs w:val="20"/>
                <w:color w:val="auto"/>
              </w:rPr>
            </w:pPr>
            <w:r>
              <w:rPr>
                <w:rFonts w:ascii="Arial" w:cs="Arial" w:eastAsia="Arial" w:hAnsi="Arial"/>
                <w:sz w:val="15"/>
                <w:szCs w:val="15"/>
                <w:color w:val="auto"/>
              </w:rPr>
              <w:t>1,566</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line="171" w:lineRule="exact"/>
              <w:rPr>
                <w:sz w:val="20"/>
                <w:szCs w:val="20"/>
                <w:color w:val="auto"/>
              </w:rPr>
            </w:pPr>
            <w:r>
              <w:rPr>
                <w:rFonts w:ascii="Arial" w:cs="Arial" w:eastAsia="Arial" w:hAnsi="Arial"/>
                <w:sz w:val="15"/>
                <w:szCs w:val="15"/>
                <w:color w:val="auto"/>
              </w:rPr>
              <w:t>1,726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Additional paid-in capital</w:t>
            </w:r>
          </w:p>
        </w:tc>
        <w:tc>
          <w:tcPr>
            <w:tcW w:w="15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6,593,539</w:t>
            </w:r>
          </w:p>
        </w:tc>
        <w:tc>
          <w:tcPr>
            <w:tcW w:w="4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6,579,342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line="171" w:lineRule="exact"/>
              <w:rPr>
                <w:sz w:val="20"/>
                <w:szCs w:val="20"/>
                <w:color w:val="auto"/>
              </w:rPr>
            </w:pPr>
            <w:r>
              <w:rPr>
                <w:rFonts w:ascii="Arial" w:cs="Arial" w:eastAsia="Arial" w:hAnsi="Arial"/>
                <w:sz w:val="15"/>
                <w:szCs w:val="15"/>
                <w:color w:val="auto"/>
              </w:rPr>
              <w:t>Retained earnings</w:t>
            </w: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line="171" w:lineRule="exact"/>
              <w:rPr>
                <w:sz w:val="20"/>
                <w:szCs w:val="20"/>
                <w:color w:val="auto"/>
              </w:rPr>
            </w:pPr>
            <w:r>
              <w:rPr>
                <w:rFonts w:ascii="Arial" w:cs="Arial" w:eastAsia="Arial" w:hAnsi="Arial"/>
                <w:sz w:val="15"/>
                <w:szCs w:val="15"/>
                <w:color w:val="auto"/>
              </w:rPr>
              <w:t>12,820,916</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line="171" w:lineRule="exact"/>
              <w:rPr>
                <w:sz w:val="20"/>
                <w:szCs w:val="20"/>
                <w:color w:val="auto"/>
              </w:rPr>
            </w:pPr>
            <w:r>
              <w:rPr>
                <w:rFonts w:ascii="Arial" w:cs="Arial" w:eastAsia="Arial" w:hAnsi="Arial"/>
                <w:sz w:val="15"/>
                <w:szCs w:val="15"/>
                <w:color w:val="auto"/>
              </w:rPr>
              <w:t>11,516,672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Accumulated other comprehensive income (loss), net</w:t>
            </w:r>
          </w:p>
        </w:tc>
        <w:tc>
          <w:tcPr>
            <w:tcW w:w="15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420"/>
              <w:spacing w:after="0" w:line="171" w:lineRule="exact"/>
              <w:rPr>
                <w:sz w:val="20"/>
                <w:szCs w:val="20"/>
                <w:color w:val="auto"/>
              </w:rPr>
            </w:pPr>
            <w:r>
              <w:rPr>
                <w:rFonts w:ascii="Arial" w:cs="Arial" w:eastAsia="Arial" w:hAnsi="Arial"/>
                <w:sz w:val="15"/>
                <w:szCs w:val="15"/>
                <w:color w:val="auto"/>
              </w:rPr>
              <w:t>(206,680)</w:t>
            </w:r>
          </w:p>
        </w:tc>
        <w:tc>
          <w:tcPr>
            <w:tcW w:w="3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line="171" w:lineRule="exact"/>
              <w:rPr>
                <w:sz w:val="20"/>
                <w:szCs w:val="20"/>
                <w:color w:val="auto"/>
              </w:rPr>
            </w:pPr>
            <w:r>
              <w:rPr>
                <w:rFonts w:ascii="Arial" w:cs="Arial" w:eastAsia="Arial" w:hAnsi="Arial"/>
                <w:sz w:val="15"/>
                <w:szCs w:val="15"/>
                <w:color w:val="auto"/>
              </w:rPr>
              <w:t>(420,081)</w:t>
            </w: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5"/>
                <w:szCs w:val="15"/>
                <w:color w:val="auto"/>
              </w:rPr>
              <w:t>Treasury stock — common, at cost — 29,174,402 shares at December 31, 2019;</w:t>
            </w:r>
          </w:p>
        </w:tc>
        <w:tc>
          <w:tcPr>
            <w:tcW w:w="1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440" w:type="dxa"/>
            <w:vAlign w:val="bottom"/>
          </w:tcPr>
          <w:p>
            <w:pPr>
              <w:ind w:left="160"/>
              <w:spacing w:after="0" w:line="171" w:lineRule="exact"/>
              <w:rPr>
                <w:sz w:val="20"/>
                <w:szCs w:val="20"/>
                <w:color w:val="auto"/>
              </w:rPr>
            </w:pPr>
            <w:r>
              <w:rPr>
                <w:rFonts w:ascii="Arial" w:cs="Arial" w:eastAsia="Arial" w:hAnsi="Arial"/>
                <w:sz w:val="15"/>
                <w:szCs w:val="15"/>
                <w:color w:val="auto"/>
              </w:rPr>
              <w:t>21,255,275 shares at December 31, 2018</w:t>
            </w: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2"/>
          </w:tcPr>
          <w:p>
            <w:pPr>
              <w:jc w:val="right"/>
              <w:ind w:right="420"/>
              <w:spacing w:after="0" w:line="171" w:lineRule="exact"/>
              <w:rPr>
                <w:sz w:val="20"/>
                <w:szCs w:val="20"/>
                <w:color w:val="auto"/>
              </w:rPr>
            </w:pPr>
            <w:r>
              <w:rPr>
                <w:rFonts w:ascii="Arial" w:cs="Arial" w:eastAsia="Arial" w:hAnsi="Arial"/>
                <w:sz w:val="15"/>
                <w:szCs w:val="15"/>
                <w:color w:val="auto"/>
              </w:rPr>
              <w:t>(4,822,563)</w:t>
            </w:r>
          </w:p>
        </w:tc>
        <w:tc>
          <w:tcPr>
            <w:tcW w:w="340" w:type="dxa"/>
            <w:vAlign w:val="bottom"/>
          </w:tcPr>
          <w:p>
            <w:pPr>
              <w:spacing w:after="0"/>
              <w:rPr>
                <w:sz w:val="14"/>
                <w:szCs w:val="14"/>
                <w:color w:val="auto"/>
              </w:rPr>
            </w:pPr>
          </w:p>
        </w:tc>
        <w:tc>
          <w:tcPr>
            <w:tcW w:w="116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(3,528,851)</w:t>
            </w:r>
          </w:p>
        </w:tc>
        <w:tc>
          <w:tcPr>
            <w:tcW w:w="0" w:type="dxa"/>
            <w:vAlign w:val="bottom"/>
          </w:tcPr>
          <w:p>
            <w:pPr>
              <w:spacing w:after="0"/>
              <w:rPr>
                <w:sz w:val="1"/>
                <w:szCs w:val="1"/>
                <w:color w:val="auto"/>
              </w:rPr>
            </w:pPr>
          </w:p>
        </w:tc>
      </w:tr>
      <w:tr>
        <w:trPr>
          <w:trHeight w:val="164"/>
        </w:trPr>
        <w:tc>
          <w:tcPr>
            <w:tcW w:w="6440" w:type="dxa"/>
            <w:vAlign w:val="bottom"/>
            <w:tcBorders>
              <w:top w:val="single" w:sz="8" w:color="CFF0FC"/>
            </w:tcBorders>
            <w:shd w:val="clear" w:color="auto" w:fill="CFF0FC"/>
          </w:tcPr>
          <w:p>
            <w:pPr>
              <w:ind w:left="480"/>
              <w:spacing w:after="0" w:line="164" w:lineRule="exact"/>
              <w:rPr>
                <w:sz w:val="20"/>
                <w:szCs w:val="20"/>
                <w:color w:val="auto"/>
              </w:rPr>
            </w:pPr>
            <w:r>
              <w:rPr>
                <w:rFonts w:ascii="Arial" w:cs="Arial" w:eastAsia="Arial" w:hAnsi="Arial"/>
                <w:sz w:val="15"/>
                <w:szCs w:val="15"/>
                <w:color w:val="auto"/>
              </w:rPr>
              <w:t>Total shareholders’ equity</w:t>
            </w:r>
          </w:p>
        </w:tc>
        <w:tc>
          <w:tcPr>
            <w:tcW w:w="1580" w:type="dxa"/>
            <w:vAlign w:val="bottom"/>
            <w:tcBorders>
              <w:top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15,716,649</w:t>
            </w:r>
          </w:p>
        </w:tc>
        <w:tc>
          <w:tcPr>
            <w:tcW w:w="46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15,460,191</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440" w:type="dxa"/>
            <w:vAlign w:val="bottom"/>
          </w:tcPr>
          <w:p>
            <w:pPr>
              <w:ind w:left="480"/>
              <w:spacing w:after="0" w:line="164" w:lineRule="exact"/>
              <w:rPr>
                <w:sz w:val="20"/>
                <w:szCs w:val="20"/>
                <w:color w:val="auto"/>
              </w:rPr>
            </w:pPr>
            <w:r>
              <w:rPr>
                <w:rFonts w:ascii="Arial" w:cs="Arial" w:eastAsia="Arial" w:hAnsi="Arial"/>
                <w:sz w:val="15"/>
                <w:szCs w:val="15"/>
                <w:color w:val="auto"/>
              </w:rPr>
              <w:t>Total liabilities and shareholders’ equity</w:t>
            </w:r>
          </w:p>
        </w:tc>
        <w:tc>
          <w:tcPr>
            <w:tcW w:w="1580" w:type="dxa"/>
            <w:vAlign w:val="bottom"/>
          </w:tcPr>
          <w:p>
            <w:pPr>
              <w:spacing w:after="0"/>
              <w:rPr>
                <w:sz w:val="14"/>
                <w:szCs w:val="14"/>
                <w:color w:val="auto"/>
              </w:rPr>
            </w:pPr>
          </w:p>
        </w:tc>
        <w:tc>
          <w:tcPr>
            <w:tcW w:w="320" w:type="dxa"/>
            <w:vAlign w:val="bottom"/>
            <w:tcBorders>
              <w:bottom w:val="single" w:sz="8" w:color="auto"/>
            </w:tcBorders>
          </w:tcPr>
          <w:p>
            <w:pPr>
              <w:jc w:val="right"/>
              <w:ind w:right="166"/>
              <w:spacing w:after="0" w:line="164"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119,872,757</w:t>
            </w:r>
          </w:p>
        </w:tc>
        <w:tc>
          <w:tcPr>
            <w:tcW w:w="460" w:type="dxa"/>
            <w:vAlign w:val="bottom"/>
          </w:tcPr>
          <w:p>
            <w:pPr>
              <w:spacing w:after="0"/>
              <w:rPr>
                <w:sz w:val="14"/>
                <w:szCs w:val="14"/>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120,097,403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See accompanying notes to financial statements.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13" w:name="page114"/>
    <w:bookmarkEnd w:id="113"/>
    <w:p>
      <w:pPr>
        <w:spacing w:after="0"/>
        <w:rPr>
          <w:sz w:val="20"/>
          <w:szCs w:val="20"/>
          <w:color w:val="auto"/>
        </w:rPr>
      </w:pPr>
      <w:r>
        <w:rPr>
          <w:rFonts w:ascii="Arial" w:cs="Arial" w:eastAsia="Arial" w:hAnsi="Arial"/>
          <w:sz w:val="20"/>
          <w:szCs w:val="20"/>
          <w:b w:val="1"/>
          <w:bCs w:val="1"/>
          <w:color w:val="auto"/>
        </w:rPr>
        <w:t>M&amp;T BANK CORPORATION AND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 of Income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w:t>
            </w:r>
          </w:p>
        </w:tc>
        <w:tc>
          <w:tcPr>
            <w:tcW w:w="1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8"/>
              </w:rPr>
              <w:t>Year Ended December 31</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560" w:type="dxa"/>
            <w:vAlign w:val="bottom"/>
            <w:vMerge w:val="continue"/>
          </w:tcPr>
          <w:p>
            <w:pPr>
              <w:spacing w:after="0"/>
              <w:rPr>
                <w:sz w:val="13"/>
                <w:szCs w:val="13"/>
                <w:color w:val="auto"/>
              </w:rPr>
            </w:pPr>
          </w:p>
        </w:tc>
        <w:tc>
          <w:tcPr>
            <w:tcW w:w="16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line="151"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1"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1"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Loans and leases, including fees</w:t>
            </w:r>
          </w:p>
        </w:tc>
        <w:tc>
          <w:tcPr>
            <w:tcW w:w="1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4,442,182</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4,164,561</w:t>
            </w:r>
          </w:p>
        </w:tc>
        <w:tc>
          <w:tcPr>
            <w:tcW w:w="2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3,742,867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Investment securities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Fully taxable</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288,532</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323,912</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361,157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240"/>
              <w:spacing w:after="0"/>
              <w:rPr>
                <w:sz w:val="20"/>
                <w:szCs w:val="20"/>
                <w:color w:val="auto"/>
              </w:rPr>
            </w:pPr>
            <w:r>
              <w:rPr>
                <w:rFonts w:ascii="Arial" w:cs="Arial" w:eastAsia="Arial" w:hAnsi="Arial"/>
                <w:sz w:val="18"/>
                <w:szCs w:val="18"/>
                <w:color w:val="auto"/>
              </w:rPr>
              <w:t>Exempt from federal taxes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Deposits at banks</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141,397</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108,182</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7,161</w:t>
            </w:r>
          </w:p>
        </w:tc>
        <w:tc>
          <w:tcPr>
            <w:tcW w:w="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interest income</w:t>
            </w:r>
          </w:p>
        </w:tc>
        <w:tc>
          <w:tcPr>
            <w:tcW w:w="16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4,879,593</w:t>
            </w:r>
          </w:p>
        </w:tc>
        <w:tc>
          <w:tcPr>
            <w:tcW w:w="3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4,598,711</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4,167,795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368,003</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215,411</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Time deposits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95,426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51,423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Deposits at Cayman Islands office</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21,917</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5,633</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Short-term borrowings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24,741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5,386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Long-term borrowings</w:t>
            </w:r>
          </w:p>
        </w:tc>
        <w:tc>
          <w:tcPr>
            <w:tcW w:w="16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239,242</w:t>
            </w:r>
          </w:p>
        </w:tc>
        <w:tc>
          <w:tcPr>
            <w:tcW w:w="3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248,556</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interest expense</w:t>
            </w:r>
          </w:p>
        </w:tc>
        <w:tc>
          <w:tcPr>
            <w:tcW w:w="16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749,329</w:t>
            </w:r>
          </w:p>
        </w:tc>
        <w:tc>
          <w:tcPr>
            <w:tcW w:w="3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526,409</w:t>
            </w: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386,751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interest income</w:t>
            </w:r>
          </w:p>
        </w:tc>
        <w:tc>
          <w:tcPr>
            <w:tcW w:w="1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4,130,264</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4,072,302</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3,781,044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credit losses</w:t>
            </w:r>
          </w:p>
        </w:tc>
        <w:tc>
          <w:tcPr>
            <w:tcW w:w="16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176,000</w:t>
            </w:r>
          </w:p>
        </w:tc>
        <w:tc>
          <w:tcPr>
            <w:tcW w:w="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132,000</w:t>
            </w: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Net interest income after provision for credit losses</w:t>
            </w:r>
          </w:p>
        </w:tc>
        <w:tc>
          <w:tcPr>
            <w:tcW w:w="16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3,954,264</w:t>
            </w:r>
          </w:p>
        </w:tc>
        <w:tc>
          <w:tcPr>
            <w:tcW w:w="3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3,940,302</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3,613,044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Mortgage banking revenues</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457,770</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360,442</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363,827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Service charges on deposit accounts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432,978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429,337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427,372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Trust income</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572,608</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537,585</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501,381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Brokerage services income</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48,922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51,069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Trading account and foreign exchange gains</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62,044</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32,547</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Gain (loss) on bank investment securities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18,037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(6,301)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Other revenues from operations</w:t>
            </w:r>
          </w:p>
        </w:tc>
        <w:tc>
          <w:tcPr>
            <w:tcW w:w="16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469,320</w:t>
            </w:r>
          </w:p>
        </w:tc>
        <w:tc>
          <w:tcPr>
            <w:tcW w:w="3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451,321</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440,538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income</w:t>
            </w:r>
          </w:p>
        </w:tc>
        <w:tc>
          <w:tcPr>
            <w:tcW w:w="16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2,061,679</w:t>
            </w:r>
          </w:p>
        </w:tc>
        <w:tc>
          <w:tcPr>
            <w:tcW w:w="3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1,856,000</w:t>
            </w: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1,851,143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expense</w:t>
            </w:r>
          </w:p>
        </w:tc>
        <w:tc>
          <w:tcPr>
            <w:tcW w:w="1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1,900,797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1,752,264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1,648,794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Equipment and net occupancy</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324,079</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298,828</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Outside data processing and software</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229,731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199,025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FDIC assessments</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41,535</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68,526</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Advertising and marketing</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93,472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85,710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Printing, postage and supplies</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39,893</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35,658</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Amortization of core deposit and other intangible assets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19,490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24,522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Other costs of operations</w:t>
            </w:r>
          </w:p>
        </w:tc>
        <w:tc>
          <w:tcPr>
            <w:tcW w:w="16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819,685</w:t>
            </w:r>
          </w:p>
        </w:tc>
        <w:tc>
          <w:tcPr>
            <w:tcW w:w="3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823,529</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773,377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expense</w:t>
            </w:r>
          </w:p>
        </w:tc>
        <w:tc>
          <w:tcPr>
            <w:tcW w:w="16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3,468,682</w:t>
            </w:r>
          </w:p>
        </w:tc>
        <w:tc>
          <w:tcPr>
            <w:tcW w:w="3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3,288,062</w:t>
            </w: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3,140,325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taxes</w:t>
            </w:r>
          </w:p>
        </w:tc>
        <w:tc>
          <w:tcPr>
            <w:tcW w:w="1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2,547,261</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2,508,240</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2,323,862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taxes</w:t>
            </w:r>
          </w:p>
        </w:tc>
        <w:tc>
          <w:tcPr>
            <w:tcW w:w="16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618,112</w:t>
            </w:r>
          </w:p>
        </w:tc>
        <w:tc>
          <w:tcPr>
            <w:tcW w:w="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590,160</w:t>
            </w: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915,556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income</w:t>
            </w:r>
          </w:p>
        </w:tc>
        <w:tc>
          <w:tcPr>
            <w:tcW w:w="1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1,929,149</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1,918,080</w:t>
            </w:r>
          </w:p>
        </w:tc>
        <w:tc>
          <w:tcPr>
            <w:tcW w:w="2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1,408,306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Net income available to common shareholders</w:t>
            </w:r>
          </w:p>
        </w:tc>
        <w:tc>
          <w:tcPr>
            <w:tcW w:w="16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w:t>
            </w:r>
          </w:p>
        </w:tc>
        <w:tc>
          <w:tcPr>
            <w:tcW w:w="1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1,849,509</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1,836,028</w:t>
            </w:r>
          </w:p>
        </w:tc>
        <w:tc>
          <w:tcPr>
            <w:tcW w:w="2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1,327,503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480"/>
              <w:spacing w:after="0"/>
              <w:rPr>
                <w:sz w:val="20"/>
                <w:szCs w:val="20"/>
                <w:color w:val="auto"/>
              </w:rPr>
            </w:pPr>
            <w:r>
              <w:rPr>
                <w:rFonts w:ascii="Arial" w:cs="Arial" w:eastAsia="Arial" w:hAnsi="Arial"/>
                <w:sz w:val="18"/>
                <w:szCs w:val="18"/>
                <w:color w:val="auto"/>
              </w:rPr>
              <w:t>Diluted</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1,849,511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1,836,035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1,327,517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per common share</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480"/>
              <w:spacing w:after="0"/>
              <w:rPr>
                <w:sz w:val="20"/>
                <w:szCs w:val="20"/>
                <w:color w:val="auto"/>
              </w:rPr>
            </w:pPr>
            <w:r>
              <w:rPr>
                <w:rFonts w:ascii="Arial" w:cs="Arial" w:eastAsia="Arial" w:hAnsi="Arial"/>
                <w:sz w:val="18"/>
                <w:szCs w:val="18"/>
                <w:color w:val="auto"/>
              </w:rPr>
              <w:t>Basic</w:t>
            </w: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13.76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12.75</w:t>
            </w:r>
          </w:p>
        </w:tc>
        <w:tc>
          <w:tcPr>
            <w:tcW w:w="28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See accompanying notes to financial statements.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14" w:name="page115"/>
    <w:bookmarkEnd w:id="114"/>
    <w:p>
      <w:pPr>
        <w:spacing w:after="0"/>
        <w:rPr>
          <w:sz w:val="20"/>
          <w:szCs w:val="20"/>
          <w:color w:val="auto"/>
        </w:rPr>
      </w:pPr>
      <w:r>
        <w:rPr>
          <w:rFonts w:ascii="Arial" w:cs="Arial" w:eastAsia="Arial" w:hAnsi="Arial"/>
          <w:sz w:val="20"/>
          <w:szCs w:val="20"/>
          <w:b w:val="1"/>
          <w:bCs w:val="1"/>
          <w:color w:val="auto"/>
        </w:rPr>
        <w:t>M&amp;T BANK CORPORATION AND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 of Comprehensive Income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0"/>
              </w:rPr>
              <w:t>Year Ended December 31</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680" w:type="dxa"/>
            <w:vAlign w:val="bottom"/>
            <w:vMerge w:val="continue"/>
          </w:tcPr>
          <w:p>
            <w:pPr>
              <w:spacing w:after="0"/>
              <w:rPr>
                <w:sz w:val="13"/>
                <w:szCs w:val="13"/>
                <w:color w:val="auto"/>
              </w:rPr>
            </w:pPr>
          </w:p>
        </w:tc>
        <w:tc>
          <w:tcPr>
            <w:tcW w:w="16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1"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1"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5"/>
              <w:spacing w:after="0" w:line="151"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900" w:type="dxa"/>
            <w:vAlign w:val="bottom"/>
            <w:gridSpan w:val="2"/>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1,929,149</w:t>
            </w:r>
          </w:p>
        </w:tc>
        <w:tc>
          <w:tcPr>
            <w:tcW w:w="1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83"/>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1,918,080</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1,408,306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color w:val="auto"/>
              </w:rPr>
              <w:t>Other comprehensive income (loss), net of tax and</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140"/>
              <w:spacing w:after="0"/>
              <w:rPr>
                <w:sz w:val="20"/>
                <w:szCs w:val="20"/>
                <w:color w:val="auto"/>
              </w:rPr>
            </w:pPr>
            <w:r>
              <w:rPr>
                <w:rFonts w:ascii="Arial" w:cs="Arial" w:eastAsia="Arial" w:hAnsi="Arial"/>
                <w:sz w:val="18"/>
                <w:szCs w:val="18"/>
                <w:color w:val="auto"/>
              </w:rPr>
              <w:t>reclassification adjustments: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unrealized gains (losses) on investment securities</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184,906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(86,523)</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(19,766)</w:t>
            </w:r>
          </w:p>
        </w:tc>
        <w:tc>
          <w:tcPr>
            <w:tcW w:w="0" w:type="dxa"/>
            <w:vAlign w:val="bottom"/>
          </w:tcPr>
          <w:p>
            <w:pPr>
              <w:spacing w:after="0"/>
              <w:rPr>
                <w:sz w:val="1"/>
                <w:szCs w:val="1"/>
                <w:color w:val="auto"/>
              </w:rPr>
            </w:pPr>
          </w:p>
        </w:tc>
      </w:tr>
      <w:tr>
        <w:trPr>
          <w:trHeight w:val="223"/>
        </w:trPr>
        <w:tc>
          <w:tcPr>
            <w:tcW w:w="5680" w:type="dxa"/>
            <w:vAlign w:val="bottom"/>
          </w:tcPr>
          <w:p>
            <w:pPr>
              <w:ind w:left="240"/>
              <w:spacing w:after="0"/>
              <w:rPr>
                <w:sz w:val="20"/>
                <w:szCs w:val="20"/>
                <w:color w:val="auto"/>
              </w:rPr>
            </w:pPr>
            <w:r>
              <w:rPr>
                <w:rFonts w:ascii="Arial" w:cs="Arial" w:eastAsia="Arial" w:hAnsi="Arial"/>
                <w:sz w:val="18"/>
                <w:szCs w:val="18"/>
                <w:color w:val="auto"/>
              </w:rPr>
              <w:t>Cash flow hedges adjustments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108,520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6,091</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(9,912)</w:t>
            </w:r>
          </w:p>
        </w:tc>
        <w:tc>
          <w:tcPr>
            <w:tcW w:w="0" w:type="dxa"/>
            <w:vAlign w:val="bottom"/>
          </w:tcPr>
          <w:p>
            <w:pPr>
              <w:spacing w:after="0"/>
              <w:rPr>
                <w:sz w:val="1"/>
                <w:szCs w:val="1"/>
                <w:color w:val="auto"/>
              </w:rPr>
            </w:pPr>
          </w:p>
        </w:tc>
      </w:tr>
      <w:tr>
        <w:trPr>
          <w:trHeight w:val="224"/>
        </w:trPr>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(2,225)</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ind w:left="240"/>
              <w:spacing w:after="0"/>
              <w:rPr>
                <w:sz w:val="20"/>
                <w:szCs w:val="20"/>
                <w:color w:val="auto"/>
              </w:rPr>
            </w:pPr>
            <w:r>
              <w:rPr>
                <w:rFonts w:ascii="Arial" w:cs="Arial" w:eastAsia="Arial" w:hAnsi="Arial"/>
                <w:sz w:val="18"/>
                <w:szCs w:val="18"/>
                <w:color w:val="auto"/>
              </w:rPr>
              <w:t>Defined benefit plans liability adjustments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(81,116)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43,243</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shd w:val="clear" w:color="auto" w:fill="CFF0FC"/>
          </w:tcPr>
          <w:p>
            <w:pPr>
              <w:ind w:left="480"/>
              <w:spacing w:after="0"/>
              <w:rPr>
                <w:sz w:val="20"/>
                <w:szCs w:val="20"/>
                <w:color w:val="auto"/>
              </w:rPr>
            </w:pPr>
            <w:r>
              <w:rPr>
                <w:rFonts w:ascii="Arial" w:cs="Arial" w:eastAsia="Arial" w:hAnsi="Arial"/>
                <w:sz w:val="18"/>
                <w:szCs w:val="18"/>
                <w:color w:val="auto"/>
              </w:rPr>
              <w:t>Total other comprehensive income (loss)</w:t>
            </w:r>
          </w:p>
        </w:tc>
        <w:tc>
          <w:tcPr>
            <w:tcW w:w="16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80" w:type="dxa"/>
            <w:vAlign w:val="bottom"/>
            <w:vMerge w:val="continue"/>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213,401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(39,414)</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16"/>
        </w:trPr>
        <w:tc>
          <w:tcPr>
            <w:tcW w:w="5680" w:type="dxa"/>
            <w:vAlign w:val="bottom"/>
          </w:tcPr>
          <w:p>
            <w:pPr>
              <w:ind w:left="480"/>
              <w:spacing w:after="0"/>
              <w:rPr>
                <w:sz w:val="20"/>
                <w:szCs w:val="20"/>
                <w:color w:val="auto"/>
              </w:rPr>
            </w:pPr>
            <w:r>
              <w:rPr>
                <w:rFonts w:ascii="Arial" w:cs="Arial" w:eastAsia="Arial" w:hAnsi="Arial"/>
                <w:sz w:val="18"/>
                <w:szCs w:val="18"/>
                <w:color w:val="auto"/>
              </w:rPr>
              <w:t>Total comprehensive income</w:t>
            </w:r>
          </w:p>
        </w:tc>
        <w:tc>
          <w:tcPr>
            <w:tcW w:w="16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2,142,550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1,878,666</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1,403,157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8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86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(In thousands)</w:t>
            </w:r>
          </w:p>
        </w:tc>
        <w:tc>
          <w:tcPr>
            <w:tcW w:w="16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8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spacing w:after="0"/>
              <w:rPr>
                <w:sz w:val="20"/>
                <w:szCs w:val="20"/>
                <w:color w:val="auto"/>
              </w:rPr>
            </w:pPr>
            <w:r>
              <w:rPr>
                <w:rFonts w:ascii="Arial" w:cs="Arial" w:eastAsia="Arial" w:hAnsi="Arial"/>
                <w:sz w:val="13"/>
                <w:szCs w:val="13"/>
                <w:color w:val="auto"/>
              </w:rPr>
              <w:t>Net income</w:t>
            </w:r>
          </w:p>
        </w:tc>
        <w:tc>
          <w:tcPr>
            <w:tcW w:w="1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1,929,149</w:t>
            </w:r>
          </w:p>
        </w:tc>
        <w:tc>
          <w:tcPr>
            <w:tcW w:w="10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1,918,080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1,408,306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ind w:left="480"/>
              <w:spacing w:after="0"/>
              <w:rPr>
                <w:sz w:val="20"/>
                <w:szCs w:val="20"/>
                <w:color w:val="auto"/>
              </w:rPr>
            </w:pPr>
            <w:r>
              <w:rPr>
                <w:rFonts w:ascii="Arial" w:cs="Arial" w:eastAsia="Arial" w:hAnsi="Arial"/>
                <w:sz w:val="13"/>
                <w:szCs w:val="13"/>
                <w:color w:val="auto"/>
              </w:rPr>
              <w:t>Provision for credit losses</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176,000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132,000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168,000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FF0FC"/>
          </w:tcPr>
          <w:p>
            <w:pPr>
              <w:ind w:left="480"/>
              <w:spacing w:after="0"/>
              <w:rPr>
                <w:sz w:val="20"/>
                <w:szCs w:val="20"/>
                <w:color w:val="auto"/>
              </w:rPr>
            </w:pPr>
            <w:r>
              <w:rPr>
                <w:rFonts w:ascii="Arial" w:cs="Arial" w:eastAsia="Arial" w:hAnsi="Arial"/>
                <w:sz w:val="13"/>
                <w:szCs w:val="13"/>
                <w:color w:val="auto"/>
              </w:rPr>
              <w:t>Depreciation and amortization of premises and equipment</w:t>
            </w:r>
          </w:p>
        </w:tc>
        <w:tc>
          <w:tcPr>
            <w:tcW w:w="1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209,937</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104,864</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109,587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ind w:left="480"/>
              <w:spacing w:after="0"/>
              <w:rPr>
                <w:sz w:val="20"/>
                <w:szCs w:val="20"/>
                <w:color w:val="auto"/>
              </w:rPr>
            </w:pPr>
            <w:r>
              <w:rPr>
                <w:rFonts w:ascii="Arial" w:cs="Arial" w:eastAsia="Arial" w:hAnsi="Arial"/>
                <w:sz w:val="13"/>
                <w:szCs w:val="13"/>
                <w:color w:val="auto"/>
              </w:rPr>
              <w:t>Amortization of capitalized servicing rights</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71,888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49,619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56,172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FF0FC"/>
          </w:tcPr>
          <w:p>
            <w:pPr>
              <w:ind w:left="480"/>
              <w:spacing w:after="0"/>
              <w:rPr>
                <w:sz w:val="20"/>
                <w:szCs w:val="20"/>
                <w:color w:val="auto"/>
              </w:rPr>
            </w:pPr>
            <w:r>
              <w:rPr>
                <w:rFonts w:ascii="Arial" w:cs="Arial" w:eastAsia="Arial" w:hAnsi="Arial"/>
                <w:sz w:val="13"/>
                <w:szCs w:val="13"/>
                <w:color w:val="auto"/>
              </w:rPr>
              <w:t>Amortization of core deposit and other intangible assets</w:t>
            </w:r>
          </w:p>
        </w:tc>
        <w:tc>
          <w:tcPr>
            <w:tcW w:w="1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19,490</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24,522</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31,366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ind w:left="480"/>
              <w:spacing w:after="0"/>
              <w:rPr>
                <w:sz w:val="20"/>
                <w:szCs w:val="20"/>
                <w:color w:val="auto"/>
              </w:rPr>
            </w:pPr>
            <w:r>
              <w:rPr>
                <w:rFonts w:ascii="Arial" w:cs="Arial" w:eastAsia="Arial" w:hAnsi="Arial"/>
                <w:sz w:val="13"/>
                <w:szCs w:val="13"/>
                <w:color w:val="auto"/>
              </w:rPr>
              <w:t>Provision for deferred income taxes</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57,548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15,857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400,790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FF0FC"/>
          </w:tcPr>
          <w:p>
            <w:pPr>
              <w:ind w:left="480"/>
              <w:spacing w:after="0"/>
              <w:rPr>
                <w:sz w:val="20"/>
                <w:szCs w:val="20"/>
                <w:color w:val="auto"/>
              </w:rPr>
            </w:pPr>
            <w:r>
              <w:rPr>
                <w:rFonts w:ascii="Arial" w:cs="Arial" w:eastAsia="Arial" w:hAnsi="Arial"/>
                <w:sz w:val="13"/>
                <w:szCs w:val="13"/>
                <w:color w:val="auto"/>
              </w:rPr>
              <w:t>Asset write-downs</w:t>
            </w:r>
          </w:p>
        </w:tc>
        <w:tc>
          <w:tcPr>
            <w:tcW w:w="1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7,701</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24,774</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15,429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ind w:left="480"/>
              <w:spacing w:after="0"/>
              <w:rPr>
                <w:sz w:val="20"/>
                <w:szCs w:val="20"/>
                <w:color w:val="auto"/>
              </w:rPr>
            </w:pPr>
            <w:r>
              <w:rPr>
                <w:rFonts w:ascii="Arial" w:cs="Arial" w:eastAsia="Arial" w:hAnsi="Arial"/>
                <w:sz w:val="13"/>
                <w:szCs w:val="13"/>
                <w:color w:val="auto"/>
              </w:rPr>
              <w:t>Net (gain) loss on sales of assets</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31,526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(23,503)</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(53,467)</w:t>
            </w:r>
          </w:p>
        </w:tc>
        <w:tc>
          <w:tcPr>
            <w:tcW w:w="0" w:type="dxa"/>
            <w:vAlign w:val="bottom"/>
          </w:tcPr>
          <w:p>
            <w:pPr>
              <w:spacing w:after="0"/>
              <w:rPr>
                <w:sz w:val="1"/>
                <w:szCs w:val="1"/>
                <w:color w:val="auto"/>
              </w:rPr>
            </w:pPr>
          </w:p>
        </w:tc>
      </w:tr>
      <w:tr>
        <w:trPr>
          <w:trHeight w:val="158"/>
        </w:trPr>
        <w:tc>
          <w:tcPr>
            <w:tcW w:w="5860" w:type="dxa"/>
            <w:vAlign w:val="bottom"/>
            <w:shd w:val="clear" w:color="auto" w:fill="CFF0FC"/>
          </w:tcPr>
          <w:p>
            <w:pPr>
              <w:ind w:left="480"/>
              <w:spacing w:after="0"/>
              <w:rPr>
                <w:sz w:val="20"/>
                <w:szCs w:val="20"/>
                <w:color w:val="auto"/>
              </w:rPr>
            </w:pPr>
            <w:r>
              <w:rPr>
                <w:rFonts w:ascii="Arial" w:cs="Arial" w:eastAsia="Arial" w:hAnsi="Arial"/>
                <w:sz w:val="13"/>
                <w:szCs w:val="13"/>
                <w:color w:val="auto"/>
              </w:rPr>
              <w:t>Net change in accrued interest receivable, payable</w:t>
            </w:r>
          </w:p>
        </w:tc>
        <w:tc>
          <w:tcPr>
            <w:tcW w:w="1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30,923</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(7,162)</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(17,896)</w:t>
            </w:r>
          </w:p>
        </w:tc>
        <w:tc>
          <w:tcPr>
            <w:tcW w:w="0" w:type="dxa"/>
            <w:vAlign w:val="bottom"/>
          </w:tcPr>
          <w:p>
            <w:pPr>
              <w:spacing w:after="0"/>
              <w:rPr>
                <w:sz w:val="1"/>
                <w:szCs w:val="1"/>
                <w:color w:val="auto"/>
              </w:rPr>
            </w:pPr>
          </w:p>
        </w:tc>
      </w:tr>
      <w:tr>
        <w:trPr>
          <w:trHeight w:val="158"/>
        </w:trPr>
        <w:tc>
          <w:tcPr>
            <w:tcW w:w="5860" w:type="dxa"/>
            <w:vAlign w:val="bottom"/>
          </w:tcPr>
          <w:p>
            <w:pPr>
              <w:ind w:left="480"/>
              <w:spacing w:after="0"/>
              <w:rPr>
                <w:sz w:val="20"/>
                <w:szCs w:val="20"/>
                <w:color w:val="auto"/>
              </w:rPr>
            </w:pPr>
            <w:r>
              <w:rPr>
                <w:rFonts w:ascii="Arial" w:cs="Arial" w:eastAsia="Arial" w:hAnsi="Arial"/>
                <w:sz w:val="13"/>
                <w:szCs w:val="13"/>
                <w:color w:val="auto"/>
              </w:rPr>
              <w:t>Net change in other accrued income and expense</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75,930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13,436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(201,981)</w:t>
            </w:r>
          </w:p>
        </w:tc>
        <w:tc>
          <w:tcPr>
            <w:tcW w:w="0" w:type="dxa"/>
            <w:vAlign w:val="bottom"/>
          </w:tcPr>
          <w:p>
            <w:pPr>
              <w:spacing w:after="0"/>
              <w:rPr>
                <w:sz w:val="1"/>
                <w:szCs w:val="1"/>
                <w:color w:val="auto"/>
              </w:rPr>
            </w:pPr>
          </w:p>
        </w:tc>
      </w:tr>
      <w:tr>
        <w:trPr>
          <w:trHeight w:val="158"/>
        </w:trPr>
        <w:tc>
          <w:tcPr>
            <w:tcW w:w="5860" w:type="dxa"/>
            <w:vAlign w:val="bottom"/>
            <w:shd w:val="clear" w:color="auto" w:fill="CFF0FC"/>
          </w:tcPr>
          <w:p>
            <w:pPr>
              <w:ind w:left="480"/>
              <w:spacing w:after="0"/>
              <w:rPr>
                <w:sz w:val="20"/>
                <w:szCs w:val="20"/>
                <w:color w:val="auto"/>
              </w:rPr>
            </w:pPr>
            <w:r>
              <w:rPr>
                <w:rFonts w:ascii="Arial" w:cs="Arial" w:eastAsia="Arial" w:hAnsi="Arial"/>
                <w:sz w:val="13"/>
                <w:szCs w:val="13"/>
                <w:color w:val="auto"/>
              </w:rPr>
              <w:t>Net change in loans originated for sale</w:t>
            </w:r>
          </w:p>
        </w:tc>
        <w:tc>
          <w:tcPr>
            <w:tcW w:w="1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130,230</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(150,695)</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711,657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ind w:left="480"/>
              <w:spacing w:after="0"/>
              <w:rPr>
                <w:sz w:val="20"/>
                <w:szCs w:val="20"/>
                <w:color w:val="auto"/>
              </w:rPr>
            </w:pPr>
            <w:r>
              <w:rPr>
                <w:rFonts w:ascii="Arial" w:cs="Arial" w:eastAsia="Arial" w:hAnsi="Arial"/>
                <w:sz w:val="13"/>
                <w:szCs w:val="13"/>
                <w:color w:val="auto"/>
              </w:rPr>
              <w:t>Net change in trading account assets and liabilities</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(382,767)</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(11,940)</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153,972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8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3"/>
                <w:szCs w:val="13"/>
                <w:color w:val="auto"/>
              </w:rPr>
              <w:t>Net cash provided by operating activities</w:t>
            </w:r>
          </w:p>
        </w:tc>
        <w:tc>
          <w:tcPr>
            <w:tcW w:w="16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2,357,555</w:t>
            </w:r>
          </w:p>
        </w:tc>
        <w:tc>
          <w:tcPr>
            <w:tcW w:w="10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2,089,852</w:t>
            </w:r>
          </w:p>
        </w:tc>
        <w:tc>
          <w:tcPr>
            <w:tcW w:w="10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2,781,935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86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FF0FC"/>
          </w:tcPr>
          <w:p>
            <w:pPr>
              <w:spacing w:after="0"/>
              <w:rPr>
                <w:sz w:val="20"/>
                <w:szCs w:val="20"/>
                <w:color w:val="auto"/>
              </w:rPr>
            </w:pPr>
            <w:r>
              <w:rPr>
                <w:rFonts w:ascii="Arial" w:cs="Arial" w:eastAsia="Arial" w:hAnsi="Arial"/>
                <w:sz w:val="13"/>
                <w:szCs w:val="13"/>
                <w:color w:val="auto"/>
              </w:rPr>
              <w:t>Proceeds from sales of investment securities</w:t>
            </w:r>
          </w:p>
        </w:tc>
        <w:tc>
          <w:tcPr>
            <w:tcW w:w="1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ind w:left="240"/>
              <w:spacing w:after="0"/>
              <w:rPr>
                <w:sz w:val="20"/>
                <w:szCs w:val="20"/>
                <w:color w:val="auto"/>
              </w:rPr>
            </w:pPr>
            <w:r>
              <w:rPr>
                <w:rFonts w:ascii="Arial" w:cs="Arial" w:eastAsia="Arial" w:hAnsi="Arial"/>
                <w:sz w:val="13"/>
                <w:szCs w:val="13"/>
                <w:color w:val="auto"/>
              </w:rPr>
              <w:t>Available for sale</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418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534,160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FF0FC"/>
          </w:tcPr>
          <w:p>
            <w:pPr>
              <w:ind w:left="240"/>
              <w:spacing w:after="0"/>
              <w:rPr>
                <w:sz w:val="20"/>
                <w:szCs w:val="20"/>
                <w:color w:val="auto"/>
              </w:rPr>
            </w:pPr>
            <w:r>
              <w:rPr>
                <w:rFonts w:ascii="Arial" w:cs="Arial" w:eastAsia="Arial" w:hAnsi="Arial"/>
                <w:sz w:val="13"/>
                <w:szCs w:val="13"/>
                <w:color w:val="auto"/>
              </w:rPr>
              <w:t>Equity and other securities</w:t>
            </w:r>
          </w:p>
        </w:tc>
        <w:tc>
          <w:tcPr>
            <w:tcW w:w="1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1,169,876</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650,858</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178,468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spacing w:after="0"/>
              <w:rPr>
                <w:sz w:val="20"/>
                <w:szCs w:val="20"/>
                <w:color w:val="auto"/>
              </w:rPr>
            </w:pPr>
            <w:r>
              <w:rPr>
                <w:rFonts w:ascii="Arial" w:cs="Arial" w:eastAsia="Arial" w:hAnsi="Arial"/>
                <w:sz w:val="13"/>
                <w:szCs w:val="13"/>
                <w:color w:val="auto"/>
              </w:rPr>
              <w:t>Proceeds from maturities of investment securities</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Available for sale</w:t>
            </w:r>
          </w:p>
        </w:tc>
        <w:tc>
          <w:tcPr>
            <w:tcW w:w="1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2,621,603</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1,997,263</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2,131,118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ind w:left="240"/>
              <w:spacing w:after="0"/>
              <w:rPr>
                <w:sz w:val="20"/>
                <w:szCs w:val="20"/>
                <w:color w:val="auto"/>
              </w:rPr>
            </w:pPr>
            <w:r>
              <w:rPr>
                <w:rFonts w:ascii="Arial" w:cs="Arial" w:eastAsia="Arial" w:hAnsi="Arial"/>
                <w:sz w:val="13"/>
                <w:szCs w:val="13"/>
                <w:color w:val="auto"/>
              </w:rPr>
              <w:t>Held to maturity</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1,162,820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478,172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528,585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FF0FC"/>
          </w:tcPr>
          <w:p>
            <w:pPr>
              <w:spacing w:after="0"/>
              <w:rPr>
                <w:sz w:val="20"/>
                <w:szCs w:val="20"/>
                <w:color w:val="auto"/>
              </w:rPr>
            </w:pPr>
            <w:r>
              <w:rPr>
                <w:rFonts w:ascii="Arial" w:cs="Arial" w:eastAsia="Arial" w:hAnsi="Arial"/>
                <w:sz w:val="13"/>
                <w:szCs w:val="13"/>
                <w:color w:val="auto"/>
              </w:rPr>
              <w:t>Purchases of investment securities</w:t>
            </w:r>
          </w:p>
        </w:tc>
        <w:tc>
          <w:tcPr>
            <w:tcW w:w="1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ind w:left="240"/>
              <w:spacing w:after="0"/>
              <w:rPr>
                <w:sz w:val="20"/>
                <w:szCs w:val="20"/>
                <w:color w:val="auto"/>
              </w:rPr>
            </w:pPr>
            <w:r>
              <w:rPr>
                <w:rFonts w:ascii="Arial" w:cs="Arial" w:eastAsia="Arial" w:hAnsi="Arial"/>
                <w:sz w:val="13"/>
                <w:szCs w:val="13"/>
                <w:color w:val="auto"/>
              </w:rPr>
              <w:t>Available for sale</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(28,120)</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(12,494)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(251,185)</w:t>
            </w:r>
          </w:p>
        </w:tc>
        <w:tc>
          <w:tcPr>
            <w:tcW w:w="0" w:type="dxa"/>
            <w:vAlign w:val="bottom"/>
          </w:tcPr>
          <w:p>
            <w:pPr>
              <w:spacing w:after="0"/>
              <w:rPr>
                <w:sz w:val="1"/>
                <w:szCs w:val="1"/>
                <w:color w:val="auto"/>
              </w:rPr>
            </w:pPr>
          </w:p>
        </w:tc>
      </w:tr>
      <w:tr>
        <w:trPr>
          <w:trHeight w:val="158"/>
        </w:trPr>
        <w:tc>
          <w:tcPr>
            <w:tcW w:w="5860" w:type="dxa"/>
            <w:vAlign w:val="bottom"/>
            <w:shd w:val="clear" w:color="auto" w:fill="CFF0FC"/>
          </w:tcPr>
          <w:p>
            <w:pPr>
              <w:ind w:left="240"/>
              <w:spacing w:after="0"/>
              <w:rPr>
                <w:sz w:val="20"/>
                <w:szCs w:val="20"/>
                <w:color w:val="auto"/>
              </w:rPr>
            </w:pPr>
            <w:r>
              <w:rPr>
                <w:rFonts w:ascii="Arial" w:cs="Arial" w:eastAsia="Arial" w:hAnsi="Arial"/>
                <w:sz w:val="13"/>
                <w:szCs w:val="13"/>
                <w:color w:val="auto"/>
              </w:rPr>
              <w:t>Held to maturity</w:t>
            </w:r>
          </w:p>
        </w:tc>
        <w:tc>
          <w:tcPr>
            <w:tcW w:w="1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(495,277)</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(444,703)</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(1,425,690)</w:t>
            </w:r>
          </w:p>
        </w:tc>
        <w:tc>
          <w:tcPr>
            <w:tcW w:w="0" w:type="dxa"/>
            <w:vAlign w:val="bottom"/>
          </w:tcPr>
          <w:p>
            <w:pPr>
              <w:spacing w:after="0"/>
              <w:rPr>
                <w:sz w:val="1"/>
                <w:szCs w:val="1"/>
                <w:color w:val="auto"/>
              </w:rPr>
            </w:pPr>
          </w:p>
        </w:tc>
      </w:tr>
      <w:tr>
        <w:trPr>
          <w:trHeight w:val="158"/>
        </w:trPr>
        <w:tc>
          <w:tcPr>
            <w:tcW w:w="5860" w:type="dxa"/>
            <w:vAlign w:val="bottom"/>
          </w:tcPr>
          <w:p>
            <w:pPr>
              <w:ind w:left="240"/>
              <w:spacing w:after="0"/>
              <w:rPr>
                <w:sz w:val="20"/>
                <w:szCs w:val="20"/>
                <w:color w:val="auto"/>
              </w:rPr>
            </w:pPr>
            <w:r>
              <w:rPr>
                <w:rFonts w:ascii="Arial" w:cs="Arial" w:eastAsia="Arial" w:hAnsi="Arial"/>
                <w:sz w:val="13"/>
                <w:szCs w:val="13"/>
                <w:color w:val="auto"/>
              </w:rPr>
              <w:t>Equity and other securities</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(979,734)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(834,856)</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(132,378)</w:t>
            </w:r>
          </w:p>
        </w:tc>
        <w:tc>
          <w:tcPr>
            <w:tcW w:w="0" w:type="dxa"/>
            <w:vAlign w:val="bottom"/>
          </w:tcPr>
          <w:p>
            <w:pPr>
              <w:spacing w:after="0"/>
              <w:rPr>
                <w:sz w:val="1"/>
                <w:szCs w:val="1"/>
                <w:color w:val="auto"/>
              </w:rPr>
            </w:pPr>
          </w:p>
        </w:tc>
      </w:tr>
      <w:tr>
        <w:trPr>
          <w:trHeight w:val="158"/>
        </w:trPr>
        <w:tc>
          <w:tcPr>
            <w:tcW w:w="5860" w:type="dxa"/>
            <w:vAlign w:val="bottom"/>
            <w:shd w:val="clear" w:color="auto" w:fill="CFF0FC"/>
          </w:tcPr>
          <w:p>
            <w:pPr>
              <w:spacing w:after="0"/>
              <w:rPr>
                <w:sz w:val="20"/>
                <w:szCs w:val="20"/>
                <w:color w:val="auto"/>
              </w:rPr>
            </w:pPr>
            <w:r>
              <w:rPr>
                <w:rFonts w:ascii="Arial" w:cs="Arial" w:eastAsia="Arial" w:hAnsi="Arial"/>
                <w:sz w:val="13"/>
                <w:szCs w:val="13"/>
                <w:color w:val="auto"/>
              </w:rPr>
              <w:t>Net (increase) decrease in loans and leases</w:t>
            </w:r>
          </w:p>
        </w:tc>
        <w:tc>
          <w:tcPr>
            <w:tcW w:w="1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(2,795,263)</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(475,895)</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1,931,492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spacing w:after="0"/>
              <w:rPr>
                <w:sz w:val="20"/>
                <w:szCs w:val="20"/>
                <w:color w:val="auto"/>
              </w:rPr>
            </w:pPr>
            <w:r>
              <w:rPr>
                <w:rFonts w:ascii="Arial" w:cs="Arial" w:eastAsia="Arial" w:hAnsi="Arial"/>
                <w:sz w:val="13"/>
                <w:szCs w:val="13"/>
                <w:color w:val="auto"/>
              </w:rPr>
              <w:t>Net (increase) decrease in interest-bearing deposits at banks</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915,043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(3,026,294)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(78,265)</w:t>
            </w:r>
          </w:p>
        </w:tc>
        <w:tc>
          <w:tcPr>
            <w:tcW w:w="0" w:type="dxa"/>
            <w:vAlign w:val="bottom"/>
          </w:tcPr>
          <w:p>
            <w:pPr>
              <w:spacing w:after="0"/>
              <w:rPr>
                <w:sz w:val="1"/>
                <w:szCs w:val="1"/>
                <w:color w:val="auto"/>
              </w:rPr>
            </w:pPr>
          </w:p>
        </w:tc>
      </w:tr>
      <w:tr>
        <w:trPr>
          <w:trHeight w:val="158"/>
        </w:trPr>
        <w:tc>
          <w:tcPr>
            <w:tcW w:w="5860" w:type="dxa"/>
            <w:vAlign w:val="bottom"/>
            <w:shd w:val="clear" w:color="auto" w:fill="CFF0FC"/>
          </w:tcPr>
          <w:p>
            <w:pPr>
              <w:spacing w:after="0"/>
              <w:rPr>
                <w:sz w:val="20"/>
                <w:szCs w:val="20"/>
                <w:color w:val="auto"/>
              </w:rPr>
            </w:pPr>
            <w:r>
              <w:rPr>
                <w:rFonts w:ascii="Arial" w:cs="Arial" w:eastAsia="Arial" w:hAnsi="Arial"/>
                <w:sz w:val="13"/>
                <w:szCs w:val="13"/>
                <w:color w:val="auto"/>
              </w:rPr>
              <w:t>Capital expenditures, net</w:t>
            </w:r>
          </w:p>
        </w:tc>
        <w:tc>
          <w:tcPr>
            <w:tcW w:w="1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(178,049)</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(97,676)</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(78,966)</w:t>
            </w:r>
          </w:p>
        </w:tc>
        <w:tc>
          <w:tcPr>
            <w:tcW w:w="0" w:type="dxa"/>
            <w:vAlign w:val="bottom"/>
          </w:tcPr>
          <w:p>
            <w:pPr>
              <w:spacing w:after="0"/>
              <w:rPr>
                <w:sz w:val="1"/>
                <w:szCs w:val="1"/>
                <w:color w:val="auto"/>
              </w:rPr>
            </w:pPr>
          </w:p>
        </w:tc>
      </w:tr>
      <w:tr>
        <w:trPr>
          <w:trHeight w:val="158"/>
        </w:trPr>
        <w:tc>
          <w:tcPr>
            <w:tcW w:w="5860" w:type="dxa"/>
            <w:vAlign w:val="bottom"/>
          </w:tcPr>
          <w:p>
            <w:pPr>
              <w:spacing w:after="0"/>
              <w:rPr>
                <w:sz w:val="20"/>
                <w:szCs w:val="20"/>
                <w:color w:val="auto"/>
              </w:rPr>
            </w:pPr>
            <w:r>
              <w:rPr>
                <w:rFonts w:ascii="Arial" w:cs="Arial" w:eastAsia="Arial" w:hAnsi="Arial"/>
                <w:sz w:val="13"/>
                <w:szCs w:val="13"/>
                <w:color w:val="auto"/>
              </w:rPr>
              <w:t>Net (increase) decrease in loan servicing advances</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(470,078)</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307,252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37,761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FF0FC"/>
          </w:tcPr>
          <w:p>
            <w:pPr>
              <w:spacing w:after="0"/>
              <w:rPr>
                <w:sz w:val="20"/>
                <w:szCs w:val="20"/>
                <w:color w:val="auto"/>
              </w:rPr>
            </w:pPr>
            <w:r>
              <w:rPr>
                <w:rFonts w:ascii="Arial" w:cs="Arial" w:eastAsia="Arial" w:hAnsi="Arial"/>
                <w:sz w:val="13"/>
                <w:szCs w:val="13"/>
                <w:color w:val="auto"/>
              </w:rPr>
              <w:t>Other, net</w:t>
            </w:r>
          </w:p>
        </w:tc>
        <w:tc>
          <w:tcPr>
            <w:tcW w:w="1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(195,921)</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47,904</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19,825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ind w:left="240"/>
              <w:spacing w:after="0"/>
              <w:rPr>
                <w:sz w:val="20"/>
                <w:szCs w:val="20"/>
                <w:color w:val="auto"/>
              </w:rPr>
            </w:pPr>
            <w:r>
              <w:rPr>
                <w:rFonts w:ascii="Arial" w:cs="Arial" w:eastAsia="Arial" w:hAnsi="Arial"/>
                <w:sz w:val="13"/>
                <w:szCs w:val="13"/>
                <w:color w:val="auto"/>
              </w:rPr>
              <w:t>Net cash provided (used) by investing activities</w:t>
            </w:r>
          </w:p>
        </w:tc>
        <w:tc>
          <w:tcPr>
            <w:tcW w:w="1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860" w:type="dxa"/>
            <w:vAlign w:val="bottom"/>
            <w:vMerge w:val="continue"/>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727,007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(1,410,051)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3,394,925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6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spacing w:after="0"/>
              <w:rPr>
                <w:sz w:val="20"/>
                <w:szCs w:val="20"/>
                <w:color w:val="auto"/>
              </w:rPr>
            </w:pPr>
            <w:r>
              <w:rPr>
                <w:rFonts w:ascii="Arial" w:cs="Arial" w:eastAsia="Arial" w:hAnsi="Arial"/>
                <w:sz w:val="13"/>
                <w:szCs w:val="13"/>
                <w:color w:val="auto"/>
              </w:rPr>
              <w:t>Net increase (decrease) in deposits</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4,616,082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(2,272,505)</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(3,075,322)</w:t>
            </w:r>
          </w:p>
        </w:tc>
        <w:tc>
          <w:tcPr>
            <w:tcW w:w="0" w:type="dxa"/>
            <w:vAlign w:val="bottom"/>
          </w:tcPr>
          <w:p>
            <w:pPr>
              <w:spacing w:after="0"/>
              <w:rPr>
                <w:sz w:val="1"/>
                <w:szCs w:val="1"/>
                <w:color w:val="auto"/>
              </w:rPr>
            </w:pPr>
          </w:p>
        </w:tc>
      </w:tr>
      <w:tr>
        <w:trPr>
          <w:trHeight w:val="158"/>
        </w:trPr>
        <w:tc>
          <w:tcPr>
            <w:tcW w:w="5860" w:type="dxa"/>
            <w:vAlign w:val="bottom"/>
            <w:shd w:val="clear" w:color="auto" w:fill="CFF0FC"/>
          </w:tcPr>
          <w:p>
            <w:pPr>
              <w:spacing w:after="0"/>
              <w:rPr>
                <w:sz w:val="20"/>
                <w:szCs w:val="20"/>
                <w:color w:val="auto"/>
              </w:rPr>
            </w:pPr>
            <w:r>
              <w:rPr>
                <w:rFonts w:ascii="Arial" w:cs="Arial" w:eastAsia="Arial" w:hAnsi="Arial"/>
                <w:sz w:val="13"/>
                <w:szCs w:val="13"/>
                <w:color w:val="auto"/>
              </w:rPr>
              <w:t>Net increase (decrease) in short-term borrowings</w:t>
            </w:r>
          </w:p>
        </w:tc>
        <w:tc>
          <w:tcPr>
            <w:tcW w:w="1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(4,336,015)</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4,223,279</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11,657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spacing w:after="0"/>
              <w:rPr>
                <w:sz w:val="20"/>
                <w:szCs w:val="20"/>
                <w:color w:val="auto"/>
              </w:rPr>
            </w:pPr>
            <w:r>
              <w:rPr>
                <w:rFonts w:ascii="Arial" w:cs="Arial" w:eastAsia="Arial" w:hAnsi="Arial"/>
                <w:sz w:val="13"/>
                <w:szCs w:val="13"/>
                <w:color w:val="auto"/>
              </w:rPr>
              <w:t>Proceeds from long-term borrowings</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1,773,189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2,145,950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FF0FC"/>
          </w:tcPr>
          <w:p>
            <w:pPr>
              <w:spacing w:after="0"/>
              <w:rPr>
                <w:sz w:val="20"/>
                <w:szCs w:val="20"/>
                <w:color w:val="auto"/>
              </w:rPr>
            </w:pPr>
            <w:r>
              <w:rPr>
                <w:rFonts w:ascii="Arial" w:cs="Arial" w:eastAsia="Arial" w:hAnsi="Arial"/>
                <w:sz w:val="13"/>
                <w:szCs w:val="13"/>
                <w:color w:val="auto"/>
              </w:rPr>
              <w:t>Payments on long-term borrowings</w:t>
            </w:r>
          </w:p>
        </w:tc>
        <w:tc>
          <w:tcPr>
            <w:tcW w:w="1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(1,553,493)</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(1,459,081)</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(3,433,440)</w:t>
            </w:r>
          </w:p>
        </w:tc>
        <w:tc>
          <w:tcPr>
            <w:tcW w:w="0" w:type="dxa"/>
            <w:vAlign w:val="bottom"/>
          </w:tcPr>
          <w:p>
            <w:pPr>
              <w:spacing w:after="0"/>
              <w:rPr>
                <w:sz w:val="1"/>
                <w:szCs w:val="1"/>
                <w:color w:val="auto"/>
              </w:rPr>
            </w:pPr>
          </w:p>
        </w:tc>
      </w:tr>
      <w:tr>
        <w:trPr>
          <w:trHeight w:val="158"/>
        </w:trPr>
        <w:tc>
          <w:tcPr>
            <w:tcW w:w="5860" w:type="dxa"/>
            <w:vAlign w:val="bottom"/>
          </w:tcPr>
          <w:p>
            <w:pPr>
              <w:spacing w:after="0"/>
              <w:rPr>
                <w:sz w:val="20"/>
                <w:szCs w:val="20"/>
                <w:color w:val="auto"/>
              </w:rPr>
            </w:pPr>
            <w:r>
              <w:rPr>
                <w:rFonts w:ascii="Arial" w:cs="Arial" w:eastAsia="Arial" w:hAnsi="Arial"/>
                <w:sz w:val="13"/>
                <w:szCs w:val="13"/>
                <w:color w:val="auto"/>
              </w:rPr>
              <w:t>Purchases of treasury stock</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(1,349,785)</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(2,194,396)</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(1,205,905)</w:t>
            </w:r>
          </w:p>
        </w:tc>
        <w:tc>
          <w:tcPr>
            <w:tcW w:w="0" w:type="dxa"/>
            <w:vAlign w:val="bottom"/>
          </w:tcPr>
          <w:p>
            <w:pPr>
              <w:spacing w:after="0"/>
              <w:rPr>
                <w:sz w:val="1"/>
                <w:szCs w:val="1"/>
                <w:color w:val="auto"/>
              </w:rPr>
            </w:pPr>
          </w:p>
        </w:tc>
      </w:tr>
      <w:tr>
        <w:trPr>
          <w:trHeight w:val="158"/>
        </w:trPr>
        <w:tc>
          <w:tcPr>
            <w:tcW w:w="5860" w:type="dxa"/>
            <w:vAlign w:val="bottom"/>
            <w:shd w:val="clear" w:color="auto" w:fill="CFF0FC"/>
          </w:tcPr>
          <w:p>
            <w:pPr>
              <w:spacing w:after="0"/>
              <w:rPr>
                <w:sz w:val="20"/>
                <w:szCs w:val="20"/>
                <w:color w:val="auto"/>
              </w:rPr>
            </w:pPr>
            <w:r>
              <w:rPr>
                <w:rFonts w:ascii="Arial" w:cs="Arial" w:eastAsia="Arial" w:hAnsi="Arial"/>
                <w:sz w:val="13"/>
                <w:szCs w:val="13"/>
                <w:color w:val="auto"/>
              </w:rPr>
              <w:t>Dividends paid — common</w:t>
            </w:r>
          </w:p>
        </w:tc>
        <w:tc>
          <w:tcPr>
            <w:tcW w:w="1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(552,138)</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(510,382)</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(457,402)</w:t>
            </w:r>
          </w:p>
        </w:tc>
        <w:tc>
          <w:tcPr>
            <w:tcW w:w="0" w:type="dxa"/>
            <w:vAlign w:val="bottom"/>
          </w:tcPr>
          <w:p>
            <w:pPr>
              <w:spacing w:after="0"/>
              <w:rPr>
                <w:sz w:val="1"/>
                <w:szCs w:val="1"/>
                <w:color w:val="auto"/>
              </w:rPr>
            </w:pPr>
          </w:p>
        </w:tc>
      </w:tr>
      <w:tr>
        <w:trPr>
          <w:trHeight w:val="158"/>
        </w:trPr>
        <w:tc>
          <w:tcPr>
            <w:tcW w:w="5860" w:type="dxa"/>
            <w:vAlign w:val="bottom"/>
          </w:tcPr>
          <w:p>
            <w:pPr>
              <w:spacing w:after="0"/>
              <w:rPr>
                <w:sz w:val="20"/>
                <w:szCs w:val="20"/>
                <w:color w:val="auto"/>
              </w:rPr>
            </w:pPr>
            <w:r>
              <w:rPr>
                <w:rFonts w:ascii="Arial" w:cs="Arial" w:eastAsia="Arial" w:hAnsi="Arial"/>
                <w:sz w:val="13"/>
                <w:szCs w:val="13"/>
                <w:color w:val="auto"/>
              </w:rPr>
              <w:t>Dividends paid — preferred</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(67,454)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(72,521)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(72,734)</w:t>
            </w:r>
          </w:p>
        </w:tc>
        <w:tc>
          <w:tcPr>
            <w:tcW w:w="0" w:type="dxa"/>
            <w:vAlign w:val="bottom"/>
          </w:tcPr>
          <w:p>
            <w:pPr>
              <w:spacing w:after="0"/>
              <w:rPr>
                <w:sz w:val="1"/>
                <w:szCs w:val="1"/>
                <w:color w:val="auto"/>
              </w:rPr>
            </w:pPr>
          </w:p>
        </w:tc>
      </w:tr>
      <w:tr>
        <w:trPr>
          <w:trHeight w:val="158"/>
        </w:trPr>
        <w:tc>
          <w:tcPr>
            <w:tcW w:w="5860" w:type="dxa"/>
            <w:vAlign w:val="bottom"/>
            <w:shd w:val="clear" w:color="auto" w:fill="CFF0FC"/>
          </w:tcPr>
          <w:p>
            <w:pPr>
              <w:spacing w:after="0"/>
              <w:rPr>
                <w:sz w:val="20"/>
                <w:szCs w:val="20"/>
                <w:color w:val="auto"/>
              </w:rPr>
            </w:pPr>
            <w:r>
              <w:rPr>
                <w:rFonts w:ascii="Arial" w:cs="Arial" w:eastAsia="Arial" w:hAnsi="Arial"/>
                <w:sz w:val="13"/>
                <w:szCs w:val="13"/>
                <w:color w:val="auto"/>
              </w:rPr>
              <w:t>Proceeds from issuance of Series G preferred stock</w:t>
            </w:r>
          </w:p>
        </w:tc>
        <w:tc>
          <w:tcPr>
            <w:tcW w:w="1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396,000</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3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5860" w:type="dxa"/>
            <w:vAlign w:val="bottom"/>
          </w:tcPr>
          <w:p>
            <w:pPr>
              <w:spacing w:after="0"/>
              <w:rPr>
                <w:sz w:val="20"/>
                <w:szCs w:val="20"/>
                <w:color w:val="auto"/>
              </w:rPr>
            </w:pPr>
            <w:r>
              <w:rPr>
                <w:rFonts w:ascii="Arial" w:cs="Arial" w:eastAsia="Arial" w:hAnsi="Arial"/>
                <w:sz w:val="13"/>
                <w:szCs w:val="13"/>
                <w:color w:val="auto"/>
              </w:rPr>
              <w:t>Redemption of Series A and Series C preferred stock</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(381,500)</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5860" w:type="dxa"/>
            <w:vAlign w:val="bottom"/>
            <w:shd w:val="clear" w:color="auto" w:fill="CFF0FC"/>
          </w:tcPr>
          <w:p>
            <w:pPr>
              <w:spacing w:after="0"/>
              <w:rPr>
                <w:sz w:val="20"/>
                <w:szCs w:val="20"/>
                <w:color w:val="auto"/>
              </w:rPr>
            </w:pPr>
            <w:r>
              <w:rPr>
                <w:rFonts w:ascii="Arial" w:cs="Arial" w:eastAsia="Arial" w:hAnsi="Arial"/>
                <w:sz w:val="13"/>
                <w:szCs w:val="13"/>
                <w:color w:val="auto"/>
              </w:rPr>
              <w:t>Other, net</w:t>
            </w:r>
          </w:p>
        </w:tc>
        <w:tc>
          <w:tcPr>
            <w:tcW w:w="1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(25,393)</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17,167</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10,675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ind w:left="240"/>
              <w:spacing w:after="0"/>
              <w:rPr>
                <w:sz w:val="20"/>
                <w:szCs w:val="20"/>
                <w:color w:val="auto"/>
              </w:rPr>
            </w:pPr>
            <w:r>
              <w:rPr>
                <w:rFonts w:ascii="Arial" w:cs="Arial" w:eastAsia="Arial" w:hAnsi="Arial"/>
                <w:sz w:val="13"/>
                <w:szCs w:val="13"/>
                <w:color w:val="auto"/>
              </w:rPr>
              <w:t>Net cash used by financing activities</w:t>
            </w:r>
          </w:p>
        </w:tc>
        <w:tc>
          <w:tcPr>
            <w:tcW w:w="1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860" w:type="dxa"/>
            <w:vAlign w:val="bottom"/>
            <w:vMerge w:val="continue"/>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(3,253,696)</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(495,250)</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(6,076,521)</w:t>
            </w: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Net increase (decrease) in cash, cash equivalents and restricted cash</w:t>
            </w:r>
          </w:p>
        </w:tc>
        <w:tc>
          <w:tcPr>
            <w:tcW w:w="16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860" w:type="dxa"/>
            <w:vAlign w:val="bottom"/>
            <w:vMerge w:val="continue"/>
            <w:shd w:val="clear" w:color="auto" w:fill="CFF0FC"/>
          </w:tcPr>
          <w:p>
            <w:pPr>
              <w:spacing w:after="0"/>
              <w:rPr>
                <w:sz w:val="13"/>
                <w:szCs w:val="13"/>
                <w:color w:val="auto"/>
              </w:rPr>
            </w:pPr>
          </w:p>
        </w:tc>
        <w:tc>
          <w:tcPr>
            <w:tcW w:w="1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(169,134)</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184,551</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100,339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cash equivalents and restricted cash at beginning of period</w:t>
            </w:r>
          </w:p>
        </w:tc>
        <w:tc>
          <w:tcPr>
            <w:tcW w:w="16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1,605,439</w:t>
            </w: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1,420,888</w:t>
            </w: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1,320,549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860" w:type="dxa"/>
            <w:vAlign w:val="bottom"/>
            <w:shd w:val="clear" w:color="auto" w:fill="CFF0FC"/>
          </w:tcPr>
          <w:p>
            <w:pPr>
              <w:spacing w:after="0"/>
              <w:rPr>
                <w:sz w:val="20"/>
                <w:szCs w:val="20"/>
                <w:color w:val="auto"/>
              </w:rPr>
            </w:pPr>
            <w:r>
              <w:rPr>
                <w:rFonts w:ascii="Arial" w:cs="Arial" w:eastAsia="Arial" w:hAnsi="Arial"/>
                <w:sz w:val="13"/>
                <w:szCs w:val="13"/>
                <w:color w:val="auto"/>
              </w:rPr>
              <w:t>Cash, cash equivalents and restricted cash at end of period</w:t>
            </w:r>
          </w:p>
        </w:tc>
        <w:tc>
          <w:tcPr>
            <w:tcW w:w="1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1,436,305</w:t>
            </w:r>
          </w:p>
        </w:tc>
        <w:tc>
          <w:tcPr>
            <w:tcW w:w="10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1,605,439</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1,420,888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6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860" w:type="dxa"/>
            <w:vAlign w:val="bottom"/>
            <w:vMerge w:val="continue"/>
          </w:tcPr>
          <w:p>
            <w:pPr>
              <w:spacing w:after="0"/>
              <w:rPr>
                <w:sz w:val="11"/>
                <w:szCs w:val="11"/>
                <w:color w:val="auto"/>
              </w:rPr>
            </w:pPr>
          </w:p>
        </w:tc>
        <w:tc>
          <w:tcPr>
            <w:tcW w:w="1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FF0FC"/>
          </w:tcPr>
          <w:p>
            <w:pPr>
              <w:spacing w:after="0"/>
              <w:rPr>
                <w:sz w:val="20"/>
                <w:szCs w:val="20"/>
                <w:color w:val="auto"/>
              </w:rPr>
            </w:pPr>
            <w:r>
              <w:rPr>
                <w:rFonts w:ascii="Arial" w:cs="Arial" w:eastAsia="Arial" w:hAnsi="Arial"/>
                <w:sz w:val="13"/>
                <w:szCs w:val="13"/>
                <w:color w:val="auto"/>
              </w:rPr>
              <w:t>Interest received during the period</w:t>
            </w:r>
          </w:p>
        </w:tc>
        <w:tc>
          <w:tcPr>
            <w:tcW w:w="1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4,892,301</w:t>
            </w:r>
          </w:p>
        </w:tc>
        <w:tc>
          <w:tcPr>
            <w:tcW w:w="10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4,568,991</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4,155,723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spacing w:after="0"/>
              <w:rPr>
                <w:sz w:val="20"/>
                <w:szCs w:val="20"/>
                <w:color w:val="auto"/>
              </w:rPr>
            </w:pPr>
            <w:r>
              <w:rPr>
                <w:rFonts w:ascii="Arial" w:cs="Arial" w:eastAsia="Arial" w:hAnsi="Arial"/>
                <w:sz w:val="13"/>
                <w:szCs w:val="13"/>
                <w:color w:val="auto"/>
              </w:rPr>
              <w:t>Interest paid during the period</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735,787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516,230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405,290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FF0FC"/>
          </w:tcPr>
          <w:p>
            <w:pPr>
              <w:spacing w:after="0"/>
              <w:rPr>
                <w:sz w:val="20"/>
                <w:szCs w:val="20"/>
                <w:color w:val="auto"/>
              </w:rPr>
            </w:pPr>
            <w:r>
              <w:rPr>
                <w:rFonts w:ascii="Arial" w:cs="Arial" w:eastAsia="Arial" w:hAnsi="Arial"/>
                <w:sz w:val="13"/>
                <w:szCs w:val="13"/>
                <w:color w:val="auto"/>
              </w:rPr>
              <w:t>Income taxes paid during the period</w:t>
            </w:r>
          </w:p>
        </w:tc>
        <w:tc>
          <w:tcPr>
            <w:tcW w:w="1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320,513</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375,116</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494,205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spacing w:after="0"/>
              <w:rPr>
                <w:sz w:val="20"/>
                <w:szCs w:val="20"/>
                <w:color w:val="auto"/>
              </w:rPr>
            </w:pPr>
            <w:r>
              <w:rPr>
                <w:rFonts w:ascii="Arial" w:cs="Arial" w:eastAsia="Arial" w:hAnsi="Arial"/>
                <w:sz w:val="13"/>
                <w:szCs w:val="13"/>
                <w:b w:val="1"/>
                <w:bCs w:val="1"/>
                <w:color w:val="auto"/>
              </w:rPr>
              <w:t>Supplemental schedule of noncash investing and financing activities</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FF0FC"/>
          </w:tcPr>
          <w:p>
            <w:pPr>
              <w:spacing w:after="0"/>
              <w:rPr>
                <w:sz w:val="20"/>
                <w:szCs w:val="20"/>
                <w:color w:val="auto"/>
              </w:rPr>
            </w:pPr>
            <w:r>
              <w:rPr>
                <w:rFonts w:ascii="Arial" w:cs="Arial" w:eastAsia="Arial" w:hAnsi="Arial"/>
                <w:sz w:val="13"/>
                <w:szCs w:val="13"/>
                <w:color w:val="auto"/>
              </w:rPr>
              <w:t>Real estate acquired in settlement of loans</w:t>
            </w:r>
          </w:p>
        </w:tc>
        <w:tc>
          <w:tcPr>
            <w:tcW w:w="1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90,072</w:t>
            </w:r>
          </w:p>
        </w:tc>
        <w:tc>
          <w:tcPr>
            <w:tcW w:w="10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72,408</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121,292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spacing w:after="0"/>
              <w:rPr>
                <w:sz w:val="20"/>
                <w:szCs w:val="20"/>
                <w:color w:val="auto"/>
              </w:rPr>
            </w:pPr>
            <w:r>
              <w:rPr>
                <w:rFonts w:ascii="Arial" w:cs="Arial" w:eastAsia="Arial" w:hAnsi="Arial"/>
                <w:sz w:val="13"/>
                <w:szCs w:val="13"/>
                <w:color w:val="auto"/>
              </w:rPr>
              <w:t>Securitization of residential mortgage loans allocated to</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Available-for-sale investment securities</w:t>
            </w:r>
          </w:p>
        </w:tc>
        <w:tc>
          <w:tcPr>
            <w:tcW w:w="1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5,379</w:t>
            </w:r>
          </w:p>
        </w:tc>
        <w:tc>
          <w:tcPr>
            <w:tcW w:w="10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22,448</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36,747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ind w:left="240"/>
              <w:spacing w:after="0"/>
              <w:rPr>
                <w:sz w:val="20"/>
                <w:szCs w:val="20"/>
                <w:color w:val="auto"/>
              </w:rPr>
            </w:pPr>
            <w:r>
              <w:rPr>
                <w:rFonts w:ascii="Arial" w:cs="Arial" w:eastAsia="Arial" w:hAnsi="Arial"/>
                <w:sz w:val="13"/>
                <w:szCs w:val="13"/>
                <w:color w:val="auto"/>
              </w:rPr>
              <w:t>Capitalized servicing rights</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shd w:val="clear" w:color="auto" w:fill="CFF0FC"/>
          </w:tcPr>
          <w:p>
            <w:pPr>
              <w:spacing w:after="0"/>
              <w:rPr>
                <w:sz w:val="20"/>
                <w:szCs w:val="20"/>
                <w:color w:val="auto"/>
              </w:rPr>
            </w:pPr>
            <w:r>
              <w:rPr>
                <w:rFonts w:ascii="Arial" w:cs="Arial" w:eastAsia="Arial" w:hAnsi="Arial"/>
                <w:sz w:val="13"/>
                <w:szCs w:val="13"/>
                <w:color w:val="auto"/>
              </w:rPr>
              <w:t>Adoption of lease accounting standard</w:t>
            </w:r>
          </w:p>
        </w:tc>
        <w:tc>
          <w:tcPr>
            <w:tcW w:w="1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860" w:type="dxa"/>
            <w:vAlign w:val="bottom"/>
          </w:tcPr>
          <w:p>
            <w:pPr>
              <w:ind w:left="240"/>
              <w:spacing w:after="0"/>
              <w:rPr>
                <w:sz w:val="20"/>
                <w:szCs w:val="20"/>
                <w:color w:val="auto"/>
              </w:rPr>
            </w:pPr>
            <w:r>
              <w:rPr>
                <w:rFonts w:ascii="Arial" w:cs="Arial" w:eastAsia="Arial" w:hAnsi="Arial"/>
                <w:sz w:val="13"/>
                <w:szCs w:val="13"/>
                <w:color w:val="auto"/>
              </w:rPr>
              <w:t>Right-of-use assets</w:t>
            </w:r>
          </w:p>
        </w:tc>
        <w:tc>
          <w:tcPr>
            <w:tcW w:w="1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393,877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586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Other liabilities</w:t>
            </w:r>
          </w:p>
        </w:tc>
        <w:tc>
          <w:tcPr>
            <w:tcW w:w="1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398,810</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860" w:type="dxa"/>
            <w:vAlign w:val="bottom"/>
          </w:tcPr>
          <w:p>
            <w:pPr>
              <w:spacing w:after="0"/>
              <w:rPr>
                <w:sz w:val="20"/>
                <w:szCs w:val="20"/>
                <w:color w:val="auto"/>
              </w:rPr>
            </w:pPr>
            <w:r>
              <w:rPr>
                <w:rFonts w:ascii="Arial" w:cs="Arial" w:eastAsia="Arial" w:hAnsi="Arial"/>
                <w:sz w:val="13"/>
                <w:szCs w:val="13"/>
                <w:color w:val="auto"/>
              </w:rPr>
              <w:t>Additions to right-of-use assets under operating leases</w:t>
            </w:r>
          </w:p>
        </w:tc>
        <w:tc>
          <w:tcPr>
            <w:tcW w:w="1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132,219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1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Accumulated</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Common</w:t>
            </w:r>
          </w:p>
        </w:tc>
        <w:tc>
          <w:tcPr>
            <w:tcW w:w="8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4"/>
              </w:rPr>
              <w:t>Additional</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Comprehensive</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Preferred</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8"/>
              </w:rPr>
              <w:t>Common</w:t>
            </w: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Stock</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Paid-in</w:t>
            </w:r>
          </w:p>
        </w:tc>
        <w:tc>
          <w:tcPr>
            <w:tcW w:w="9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Retained</w:t>
            </w: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Income</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Treasury</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52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Dollars in thousands, except per share</w:t>
            </w:r>
          </w:p>
        </w:tc>
        <w:tc>
          <w:tcPr>
            <w:tcW w:w="860" w:type="dxa"/>
            <w:vAlign w:val="bottom"/>
            <w:gridSpan w:val="2"/>
          </w:tcPr>
          <w:p>
            <w:pPr>
              <w:jc w:val="right"/>
              <w:ind w:right="380"/>
              <w:spacing w:after="0" w:line="144" w:lineRule="exact"/>
              <w:rPr>
                <w:sz w:val="20"/>
                <w:szCs w:val="20"/>
                <w:color w:val="auto"/>
              </w:rPr>
            </w:pPr>
            <w:r>
              <w:rPr>
                <w:rFonts w:ascii="Arial" w:cs="Arial" w:eastAsia="Arial" w:hAnsi="Arial"/>
                <w:sz w:val="13"/>
                <w:szCs w:val="13"/>
                <w:b w:val="1"/>
                <w:bCs w:val="1"/>
                <w:color w:val="auto"/>
              </w:rPr>
              <w:t>Stock</w:t>
            </w:r>
          </w:p>
        </w:tc>
        <w:tc>
          <w:tcPr>
            <w:tcW w:w="740" w:type="dxa"/>
            <w:vAlign w:val="bottom"/>
            <w:gridSpan w:val="2"/>
          </w:tcPr>
          <w:p>
            <w:pPr>
              <w:jc w:val="right"/>
              <w:ind w:right="320"/>
              <w:spacing w:after="0" w:line="144" w:lineRule="exact"/>
              <w:rPr>
                <w:sz w:val="20"/>
                <w:szCs w:val="20"/>
                <w:color w:val="auto"/>
              </w:rPr>
            </w:pPr>
            <w:r>
              <w:rPr>
                <w:rFonts w:ascii="Arial" w:cs="Arial" w:eastAsia="Arial" w:hAnsi="Arial"/>
                <w:sz w:val="13"/>
                <w:szCs w:val="13"/>
                <w:b w:val="1"/>
                <w:bCs w:val="1"/>
                <w:color w:val="auto"/>
              </w:rPr>
              <w:t>Stock</w:t>
            </w:r>
          </w:p>
        </w:tc>
        <w:tc>
          <w:tcPr>
            <w:tcW w:w="7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Issuable</w:t>
            </w:r>
          </w:p>
        </w:tc>
        <w:tc>
          <w:tcPr>
            <w:tcW w:w="880" w:type="dxa"/>
            <w:vAlign w:val="bottom"/>
            <w:gridSpan w:val="2"/>
          </w:tcPr>
          <w:p>
            <w:pPr>
              <w:jc w:val="right"/>
              <w:ind w:right="360"/>
              <w:spacing w:after="0" w:line="144" w:lineRule="exact"/>
              <w:rPr>
                <w:sz w:val="20"/>
                <w:szCs w:val="20"/>
                <w:color w:val="auto"/>
              </w:rPr>
            </w:pPr>
            <w:r>
              <w:rPr>
                <w:rFonts w:ascii="Arial" w:cs="Arial" w:eastAsia="Arial" w:hAnsi="Arial"/>
                <w:sz w:val="13"/>
                <w:szCs w:val="13"/>
                <w:b w:val="1"/>
                <w:bCs w:val="1"/>
                <w:color w:val="auto"/>
              </w:rPr>
              <w:t>Capital</w:t>
            </w:r>
          </w:p>
        </w:tc>
        <w:tc>
          <w:tcPr>
            <w:tcW w:w="920" w:type="dxa"/>
            <w:vAlign w:val="bottom"/>
            <w:gridSpan w:val="2"/>
          </w:tcPr>
          <w:p>
            <w:pPr>
              <w:jc w:val="right"/>
              <w:ind w:right="320"/>
              <w:spacing w:after="0" w:line="144" w:lineRule="exact"/>
              <w:rPr>
                <w:sz w:val="20"/>
                <w:szCs w:val="20"/>
                <w:color w:val="auto"/>
              </w:rPr>
            </w:pPr>
            <w:r>
              <w:rPr>
                <w:rFonts w:ascii="Arial" w:cs="Arial" w:eastAsia="Arial" w:hAnsi="Arial"/>
                <w:sz w:val="13"/>
                <w:szCs w:val="13"/>
                <w:b w:val="1"/>
                <w:bCs w:val="1"/>
                <w:color w:val="auto"/>
              </w:rPr>
              <w:t>Earnings</w:t>
            </w:r>
          </w:p>
        </w:tc>
        <w:tc>
          <w:tcPr>
            <w:tcW w:w="10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(Loss), Net</w:t>
            </w:r>
          </w:p>
        </w:tc>
        <w:tc>
          <w:tcPr>
            <w:tcW w:w="900" w:type="dxa"/>
            <w:vAlign w:val="bottom"/>
            <w:gridSpan w:val="2"/>
          </w:tcPr>
          <w:p>
            <w:pPr>
              <w:jc w:val="right"/>
              <w:ind w:right="400"/>
              <w:spacing w:after="0" w:line="144" w:lineRule="exact"/>
              <w:rPr>
                <w:sz w:val="20"/>
                <w:szCs w:val="20"/>
                <w:color w:val="auto"/>
              </w:rPr>
            </w:pPr>
            <w:r>
              <w:rPr>
                <w:rFonts w:ascii="Arial" w:cs="Arial" w:eastAsia="Arial" w:hAnsi="Arial"/>
                <w:sz w:val="13"/>
                <w:szCs w:val="13"/>
                <w:b w:val="1"/>
                <w:bCs w:val="1"/>
                <w:color w:val="auto"/>
              </w:rPr>
              <w:t>Stock</w:t>
            </w:r>
          </w:p>
        </w:tc>
        <w:tc>
          <w:tcPr>
            <w:tcW w:w="780" w:type="dxa"/>
            <w:vAlign w:val="bottom"/>
            <w:gridSpan w:val="2"/>
          </w:tcPr>
          <w:p>
            <w:pPr>
              <w:jc w:val="right"/>
              <w:ind w:right="280"/>
              <w:spacing w:after="0" w:line="14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4"/>
        </w:trPr>
        <w:tc>
          <w:tcPr>
            <w:tcW w:w="2140" w:type="dxa"/>
            <w:vAlign w:val="bottom"/>
            <w:tcBorders>
              <w:top w:val="single" w:sz="8" w:color="auto"/>
            </w:tcBorders>
            <w:shd w:val="clear" w:color="auto" w:fill="CFF0FC"/>
          </w:tcPr>
          <w:p>
            <w:pPr>
              <w:spacing w:after="0" w:line="144" w:lineRule="exact"/>
              <w:rPr>
                <w:sz w:val="20"/>
                <w:szCs w:val="20"/>
                <w:color w:val="auto"/>
              </w:rPr>
            </w:pPr>
            <w:r>
              <w:rPr>
                <w:rFonts w:ascii="Arial" w:cs="Arial" w:eastAsia="Arial" w:hAnsi="Arial"/>
                <w:sz w:val="13"/>
                <w:szCs w:val="13"/>
                <w:b w:val="1"/>
                <w:bCs w:val="1"/>
                <w:color w:val="auto"/>
              </w:rPr>
              <w:t>2017</w:t>
            </w:r>
          </w:p>
        </w:tc>
        <w:tc>
          <w:tcPr>
            <w:tcW w:w="238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20" w:type="dxa"/>
            <w:vAlign w:val="bottom"/>
            <w:gridSpan w:val="2"/>
          </w:tcPr>
          <w:p>
            <w:pPr>
              <w:spacing w:after="0"/>
              <w:rPr>
                <w:sz w:val="20"/>
                <w:szCs w:val="20"/>
                <w:color w:val="auto"/>
              </w:rPr>
            </w:pPr>
            <w:r>
              <w:rPr>
                <w:rFonts w:ascii="Arial" w:cs="Arial" w:eastAsia="Arial" w:hAnsi="Arial"/>
                <w:sz w:val="13"/>
                <w:szCs w:val="13"/>
                <w:color w:val="auto"/>
              </w:rPr>
              <w:t>Balance — January 1, 2017</w:t>
            </w:r>
          </w:p>
        </w:tc>
        <w:tc>
          <w:tcPr>
            <w:tcW w:w="640" w:type="dxa"/>
            <w:vAlign w:val="bottom"/>
          </w:tcPr>
          <w:p>
            <w:pPr>
              <w:jc w:val="right"/>
              <w:spacing w:after="0"/>
              <w:rPr>
                <w:sz w:val="20"/>
                <w:szCs w:val="20"/>
                <w:color w:val="auto"/>
              </w:rPr>
            </w:pPr>
            <w:r>
              <w:rPr>
                <w:rFonts w:ascii="Arial" w:cs="Arial" w:eastAsia="Arial" w:hAnsi="Arial"/>
                <w:sz w:val="13"/>
                <w:szCs w:val="13"/>
                <w:color w:val="auto"/>
                <w:w w:val="90"/>
              </w:rPr>
              <w:t>$ 1,231,500</w:t>
            </w:r>
          </w:p>
        </w:tc>
        <w:tc>
          <w:tcPr>
            <w:tcW w:w="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79,973</w:t>
            </w:r>
          </w:p>
        </w:tc>
        <w:tc>
          <w:tcPr>
            <w:tcW w:w="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2,145</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6,676,948</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9,222,488</w:t>
            </w:r>
          </w:p>
        </w:tc>
        <w:tc>
          <w:tcPr>
            <w:tcW w:w="22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(294,636)</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(431,796)</w:t>
            </w:r>
          </w:p>
        </w:tc>
        <w:tc>
          <w:tcPr>
            <w:tcW w:w="720" w:type="dxa"/>
            <w:vAlign w:val="bottom"/>
          </w:tcPr>
          <w:p>
            <w:pPr>
              <w:jc w:val="right"/>
              <w:spacing w:after="0"/>
              <w:rPr>
                <w:sz w:val="20"/>
                <w:szCs w:val="20"/>
                <w:color w:val="auto"/>
              </w:rPr>
            </w:pPr>
            <w:r>
              <w:rPr>
                <w:rFonts w:ascii="Arial" w:cs="Arial" w:eastAsia="Arial" w:hAnsi="Arial"/>
                <w:sz w:val="13"/>
                <w:szCs w:val="13"/>
                <w:color w:val="auto"/>
                <w:w w:val="89"/>
              </w:rPr>
              <w:t>$ 16,486,622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Total comprehensive income</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1,408,306</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(5,149)</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1,403,157</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gridSpan w:val="2"/>
          </w:tcPr>
          <w:p>
            <w:pPr>
              <w:spacing w:after="0"/>
              <w:rPr>
                <w:sz w:val="20"/>
                <w:szCs w:val="20"/>
                <w:color w:val="auto"/>
              </w:rPr>
            </w:pPr>
            <w:r>
              <w:rPr>
                <w:rFonts w:ascii="Arial" w:cs="Arial" w:eastAsia="Arial" w:hAnsi="Arial"/>
                <w:sz w:val="13"/>
                <w:szCs w:val="13"/>
                <w:color w:val="auto"/>
              </w:rPr>
              <w:t>Reclassification of income tax effects to</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20" w:type="dxa"/>
            <w:vAlign w:val="bottom"/>
            <w:gridSpan w:val="2"/>
          </w:tcPr>
          <w:p>
            <w:pPr>
              <w:ind w:left="140"/>
              <w:spacing w:after="0"/>
              <w:rPr>
                <w:sz w:val="20"/>
                <w:szCs w:val="20"/>
                <w:color w:val="auto"/>
              </w:rPr>
            </w:pPr>
            <w:r>
              <w:rPr>
                <w:rFonts w:ascii="Arial" w:cs="Arial" w:eastAsia="Arial" w:hAnsi="Arial"/>
                <w:sz w:val="13"/>
                <w:szCs w:val="13"/>
                <w:color w:val="auto"/>
              </w:rPr>
              <w:t>retained earnings</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64,029</w:t>
            </w:r>
          </w:p>
        </w:tc>
        <w:tc>
          <w:tcPr>
            <w:tcW w:w="22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(64,029)</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5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Preferred stock cash dividends</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(72,734)</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(72,734)</w:t>
            </w:r>
          </w:p>
        </w:tc>
        <w:tc>
          <w:tcPr>
            <w:tcW w:w="0" w:type="dxa"/>
            <w:vAlign w:val="bottom"/>
          </w:tcPr>
          <w:p>
            <w:pPr>
              <w:spacing w:after="0"/>
              <w:rPr>
                <w:sz w:val="1"/>
                <w:szCs w:val="1"/>
                <w:color w:val="auto"/>
              </w:rPr>
            </w:pPr>
          </w:p>
        </w:tc>
      </w:tr>
      <w:tr>
        <w:trPr>
          <w:trHeight w:val="149"/>
        </w:trPr>
        <w:tc>
          <w:tcPr>
            <w:tcW w:w="4520" w:type="dxa"/>
            <w:vAlign w:val="bottom"/>
            <w:gridSpan w:val="2"/>
          </w:tcPr>
          <w:p>
            <w:pPr>
              <w:spacing w:after="0"/>
              <w:rPr>
                <w:sz w:val="20"/>
                <w:szCs w:val="20"/>
                <w:color w:val="auto"/>
              </w:rPr>
            </w:pPr>
            <w:r>
              <w:rPr>
                <w:rFonts w:ascii="Arial" w:cs="Arial" w:eastAsia="Arial" w:hAnsi="Arial"/>
                <w:sz w:val="13"/>
                <w:szCs w:val="13"/>
                <w:color w:val="auto"/>
              </w:rPr>
              <w:t>Exercise of 374,786 Series A stock</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20" w:type="dxa"/>
            <w:vAlign w:val="bottom"/>
            <w:gridSpan w:val="2"/>
          </w:tcPr>
          <w:p>
            <w:pPr>
              <w:ind w:left="100"/>
              <w:spacing w:after="0" w:line="145" w:lineRule="exact"/>
              <w:rPr>
                <w:sz w:val="20"/>
                <w:szCs w:val="20"/>
                <w:color w:val="auto"/>
              </w:rPr>
            </w:pPr>
            <w:r>
              <w:rPr>
                <w:rFonts w:ascii="Arial" w:cs="Arial" w:eastAsia="Arial" w:hAnsi="Arial"/>
                <w:sz w:val="13"/>
                <w:szCs w:val="13"/>
                <w:color w:val="auto"/>
              </w:rPr>
              <w:t>warrants into 204,133 shares of</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20" w:type="dxa"/>
            <w:vAlign w:val="bottom"/>
            <w:gridSpan w:val="2"/>
          </w:tcPr>
          <w:p>
            <w:pPr>
              <w:ind w:left="100"/>
              <w:spacing w:after="0"/>
              <w:rPr>
                <w:sz w:val="20"/>
                <w:szCs w:val="20"/>
                <w:color w:val="auto"/>
              </w:rPr>
            </w:pPr>
            <w:r>
              <w:rPr>
                <w:rFonts w:ascii="Arial" w:cs="Arial" w:eastAsia="Arial" w:hAnsi="Arial"/>
                <w:sz w:val="13"/>
                <w:szCs w:val="13"/>
                <w:color w:val="auto"/>
              </w:rPr>
              <w:t>common stock</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(28,746)</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28,746</w:t>
            </w:r>
          </w:p>
        </w:tc>
        <w:tc>
          <w:tcPr>
            <w:tcW w:w="20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5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Purchases of treasury stock</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(1,205,905)</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(1,205,905)</w:t>
            </w:r>
          </w:p>
        </w:tc>
        <w:tc>
          <w:tcPr>
            <w:tcW w:w="0" w:type="dxa"/>
            <w:vAlign w:val="bottom"/>
          </w:tcPr>
          <w:p>
            <w:pPr>
              <w:spacing w:after="0"/>
              <w:rPr>
                <w:sz w:val="1"/>
                <w:szCs w:val="1"/>
                <w:color w:val="auto"/>
              </w:rPr>
            </w:pPr>
          </w:p>
        </w:tc>
      </w:tr>
      <w:tr>
        <w:trPr>
          <w:trHeight w:val="158"/>
        </w:trPr>
        <w:tc>
          <w:tcPr>
            <w:tcW w:w="4520" w:type="dxa"/>
            <w:vAlign w:val="bottom"/>
            <w:gridSpan w:val="2"/>
          </w:tcPr>
          <w:p>
            <w:pPr>
              <w:spacing w:after="0"/>
              <w:rPr>
                <w:sz w:val="20"/>
                <w:szCs w:val="20"/>
                <w:color w:val="auto"/>
              </w:rPr>
            </w:pPr>
            <w:r>
              <w:rPr>
                <w:rFonts w:ascii="Arial" w:cs="Arial" w:eastAsia="Arial" w:hAnsi="Arial"/>
                <w:sz w:val="13"/>
                <w:szCs w:val="13"/>
                <w:color w:val="auto"/>
              </w:rPr>
              <w:t>Stock-based compensation transactions, net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(64)</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(298)</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(57,347)</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(85)</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154,673</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96,879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Common stock cash dividends —</w:t>
            </w: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$3.00 per share</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(457,200)</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(457,200)</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3"/>
                <w:szCs w:val="13"/>
                <w:color w:val="auto"/>
              </w:rPr>
              <w:t>Balance — December 31, 2017</w:t>
            </w: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520" w:type="dxa"/>
            <w:vAlign w:val="bottom"/>
            <w:gridSpan w:val="2"/>
            <w:vMerge w:val="continue"/>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0"/>
              </w:rPr>
              <w:t>$ 1,231,500</w:t>
            </w:r>
          </w:p>
        </w:tc>
        <w:tc>
          <w:tcPr>
            <w:tcW w:w="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79,909</w:t>
            </w:r>
          </w:p>
        </w:tc>
        <w:tc>
          <w:tcPr>
            <w:tcW w:w="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1,847</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6,590,855</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10,164,804</w:t>
            </w:r>
          </w:p>
        </w:tc>
        <w:tc>
          <w:tcPr>
            <w:tcW w:w="22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(363,814)</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(1,454,282)</w:t>
            </w:r>
          </w:p>
        </w:tc>
        <w:tc>
          <w:tcPr>
            <w:tcW w:w="720" w:type="dxa"/>
            <w:vAlign w:val="bottom"/>
          </w:tcPr>
          <w:p>
            <w:pPr>
              <w:jc w:val="right"/>
              <w:spacing w:after="0"/>
              <w:rPr>
                <w:sz w:val="20"/>
                <w:szCs w:val="20"/>
                <w:color w:val="auto"/>
              </w:rPr>
            </w:pPr>
            <w:r>
              <w:rPr>
                <w:rFonts w:ascii="Arial" w:cs="Arial" w:eastAsia="Arial" w:hAnsi="Arial"/>
                <w:sz w:val="13"/>
                <w:szCs w:val="13"/>
                <w:color w:val="auto"/>
                <w:w w:val="89"/>
              </w:rPr>
              <w:t>$ 16,250,819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2018</w:t>
            </w:r>
          </w:p>
        </w:tc>
        <w:tc>
          <w:tcPr>
            <w:tcW w:w="23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gridSpan w:val="2"/>
          </w:tcPr>
          <w:p>
            <w:pPr>
              <w:spacing w:after="0"/>
              <w:rPr>
                <w:sz w:val="20"/>
                <w:szCs w:val="20"/>
                <w:color w:val="auto"/>
              </w:rPr>
            </w:pPr>
            <w:r>
              <w:rPr>
                <w:rFonts w:ascii="Arial" w:cs="Arial" w:eastAsia="Arial" w:hAnsi="Arial"/>
                <w:sz w:val="13"/>
                <w:szCs w:val="13"/>
                <w:color w:val="auto"/>
              </w:rPr>
              <w:t>Cumulative effect of change in</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20" w:type="dxa"/>
            <w:vAlign w:val="bottom"/>
            <w:gridSpan w:val="2"/>
          </w:tcPr>
          <w:p>
            <w:pPr>
              <w:ind w:left="100"/>
              <w:spacing w:after="0" w:line="145" w:lineRule="exact"/>
              <w:rPr>
                <w:sz w:val="20"/>
                <w:szCs w:val="20"/>
                <w:color w:val="auto"/>
              </w:rPr>
            </w:pPr>
            <w:r>
              <w:rPr>
                <w:rFonts w:ascii="Arial" w:cs="Arial" w:eastAsia="Arial" w:hAnsi="Arial"/>
                <w:sz w:val="13"/>
                <w:szCs w:val="13"/>
                <w:color w:val="auto"/>
              </w:rPr>
              <w:t>accounting principle — equity</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20" w:type="dxa"/>
            <w:vAlign w:val="bottom"/>
            <w:gridSpan w:val="2"/>
          </w:tcPr>
          <w:p>
            <w:pPr>
              <w:ind w:left="100"/>
              <w:spacing w:after="0"/>
              <w:rPr>
                <w:sz w:val="20"/>
                <w:szCs w:val="20"/>
                <w:color w:val="auto"/>
              </w:rPr>
            </w:pPr>
            <w:r>
              <w:rPr>
                <w:rFonts w:ascii="Arial" w:cs="Arial" w:eastAsia="Arial" w:hAnsi="Arial"/>
                <w:sz w:val="13"/>
                <w:szCs w:val="13"/>
                <w:color w:val="auto"/>
              </w:rPr>
              <w:t>securities</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16,853</w:t>
            </w:r>
          </w:p>
        </w:tc>
        <w:tc>
          <w:tcPr>
            <w:tcW w:w="22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(16,853)</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5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Total comprehensive income</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1,918,080</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(39,414)</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1,878,666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20" w:type="dxa"/>
            <w:vAlign w:val="bottom"/>
            <w:gridSpan w:val="2"/>
          </w:tcPr>
          <w:p>
            <w:pPr>
              <w:spacing w:after="0"/>
              <w:rPr>
                <w:sz w:val="20"/>
                <w:szCs w:val="20"/>
                <w:color w:val="auto"/>
              </w:rPr>
            </w:pPr>
            <w:r>
              <w:rPr>
                <w:rFonts w:ascii="Arial" w:cs="Arial" w:eastAsia="Arial" w:hAnsi="Arial"/>
                <w:sz w:val="13"/>
                <w:szCs w:val="13"/>
                <w:color w:val="auto"/>
              </w:rPr>
              <w:t>Preferred stock cash dividends</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(72,521)</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(72,521)</w:t>
            </w: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Exercise of 257,630 Series A stock</w:t>
            </w: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20" w:type="dxa"/>
            <w:vAlign w:val="bottom"/>
            <w:gridSpan w:val="2"/>
            <w:shd w:val="clear" w:color="auto" w:fill="CFF0FC"/>
          </w:tcPr>
          <w:p>
            <w:pPr>
              <w:ind w:left="100"/>
              <w:spacing w:after="0" w:line="145" w:lineRule="exact"/>
              <w:rPr>
                <w:sz w:val="20"/>
                <w:szCs w:val="20"/>
                <w:color w:val="auto"/>
              </w:rPr>
            </w:pPr>
            <w:r>
              <w:rPr>
                <w:rFonts w:ascii="Arial" w:cs="Arial" w:eastAsia="Arial" w:hAnsi="Arial"/>
                <w:sz w:val="13"/>
                <w:szCs w:val="13"/>
                <w:color w:val="auto"/>
              </w:rPr>
              <w:t>warrants into 136,676 shares of</w:t>
            </w: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common stock</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(22,394)</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22,394</w:t>
            </w:r>
          </w:p>
        </w:tc>
        <w:tc>
          <w:tcPr>
            <w:tcW w:w="2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520" w:type="dxa"/>
            <w:vAlign w:val="bottom"/>
            <w:gridSpan w:val="2"/>
          </w:tcPr>
          <w:p>
            <w:pPr>
              <w:spacing w:after="0"/>
              <w:rPr>
                <w:sz w:val="20"/>
                <w:szCs w:val="20"/>
                <w:color w:val="auto"/>
              </w:rPr>
            </w:pPr>
            <w:r>
              <w:rPr>
                <w:rFonts w:ascii="Arial" w:cs="Arial" w:eastAsia="Arial" w:hAnsi="Arial"/>
                <w:sz w:val="13"/>
                <w:szCs w:val="13"/>
                <w:color w:val="auto"/>
              </w:rPr>
              <w:t>Purchases of treasury stock</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(2,194,396)</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(2,194,396)</w:t>
            </w:r>
          </w:p>
        </w:tc>
        <w:tc>
          <w:tcPr>
            <w:tcW w:w="0" w:type="dxa"/>
            <w:vAlign w:val="bottom"/>
          </w:tcPr>
          <w:p>
            <w:pPr>
              <w:spacing w:after="0"/>
              <w:rPr>
                <w:sz w:val="1"/>
                <w:szCs w:val="1"/>
                <w:color w:val="auto"/>
              </w:rPr>
            </w:pPr>
          </w:p>
        </w:tc>
      </w:tr>
      <w:tr>
        <w:trPr>
          <w:trHeight w:val="158"/>
        </w:trPr>
        <w:tc>
          <w:tcPr>
            <w:tcW w:w="45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Stock-based compensation transactions, net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(26)</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(121)</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10,881</w:t>
            </w: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(86)</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97,433</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108,081</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gridSpan w:val="2"/>
          </w:tcPr>
          <w:p>
            <w:pPr>
              <w:spacing w:after="0"/>
              <w:rPr>
                <w:sz w:val="20"/>
                <w:szCs w:val="20"/>
                <w:color w:val="auto"/>
              </w:rPr>
            </w:pPr>
            <w:r>
              <w:rPr>
                <w:rFonts w:ascii="Arial" w:cs="Arial" w:eastAsia="Arial" w:hAnsi="Arial"/>
                <w:sz w:val="13"/>
                <w:szCs w:val="13"/>
                <w:color w:val="auto"/>
              </w:rPr>
              <w:t>Common stock cash dividends —</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20" w:type="dxa"/>
            <w:vAlign w:val="bottom"/>
            <w:gridSpan w:val="2"/>
          </w:tcPr>
          <w:p>
            <w:pPr>
              <w:ind w:left="100"/>
              <w:spacing w:after="0"/>
              <w:rPr>
                <w:sz w:val="20"/>
                <w:szCs w:val="20"/>
                <w:color w:val="auto"/>
              </w:rPr>
            </w:pPr>
            <w:r>
              <w:rPr>
                <w:rFonts w:ascii="Arial" w:cs="Arial" w:eastAsia="Arial" w:hAnsi="Arial"/>
                <w:sz w:val="13"/>
                <w:szCs w:val="13"/>
                <w:color w:val="auto"/>
              </w:rPr>
              <w:t>$3.55 per share</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(510,458)</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(510,458)</w:t>
            </w:r>
          </w:p>
        </w:tc>
        <w:tc>
          <w:tcPr>
            <w:tcW w:w="0" w:type="dxa"/>
            <w:vAlign w:val="bottom"/>
          </w:tcPr>
          <w:p>
            <w:pPr>
              <w:spacing w:after="0"/>
              <w:rPr>
                <w:sz w:val="1"/>
                <w:szCs w:val="1"/>
                <w:color w:val="auto"/>
              </w:rPr>
            </w:pPr>
          </w:p>
        </w:tc>
      </w:tr>
      <w:tr>
        <w:trPr>
          <w:trHeight w:val="20"/>
        </w:trPr>
        <w:tc>
          <w:tcPr>
            <w:tcW w:w="452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Balance — December 31, 2018</w:t>
            </w: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520" w:type="dxa"/>
            <w:vAlign w:val="bottom"/>
            <w:gridSpan w:val="2"/>
            <w:vMerge w:val="continue"/>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0"/>
              </w:rPr>
              <w:t>$ 1,231,500</w:t>
            </w: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79,883</w:t>
            </w: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1,726</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6,579,342</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11,516,672</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(420,081)</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(3,528,851)</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$ 15,460,191</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40" w:type="dxa"/>
            <w:vAlign w:val="bottom"/>
          </w:tcPr>
          <w:p>
            <w:pPr>
              <w:spacing w:after="0"/>
              <w:rPr>
                <w:sz w:val="20"/>
                <w:szCs w:val="20"/>
                <w:color w:val="auto"/>
              </w:rPr>
            </w:pPr>
            <w:r>
              <w:rPr>
                <w:rFonts w:ascii="Arial" w:cs="Arial" w:eastAsia="Arial" w:hAnsi="Arial"/>
                <w:sz w:val="13"/>
                <w:szCs w:val="13"/>
                <w:b w:val="1"/>
                <w:bCs w:val="1"/>
                <w:color w:val="auto"/>
              </w:rPr>
              <w:t>2019</w:t>
            </w:r>
          </w:p>
        </w:tc>
        <w:tc>
          <w:tcPr>
            <w:tcW w:w="2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Total comprehensive income</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1,929,149</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213,401</w:t>
            </w: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2,142,550</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20" w:type="dxa"/>
            <w:vAlign w:val="bottom"/>
            <w:gridSpan w:val="2"/>
          </w:tcPr>
          <w:p>
            <w:pPr>
              <w:spacing w:after="0"/>
              <w:rPr>
                <w:sz w:val="20"/>
                <w:szCs w:val="20"/>
                <w:color w:val="auto"/>
              </w:rPr>
            </w:pPr>
            <w:r>
              <w:rPr>
                <w:rFonts w:ascii="Arial" w:cs="Arial" w:eastAsia="Arial" w:hAnsi="Arial"/>
                <w:sz w:val="13"/>
                <w:szCs w:val="13"/>
                <w:color w:val="auto"/>
              </w:rPr>
              <w:t>Preferred stock cash dividends</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(72,482)</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(72,482)</w:t>
            </w: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Redemption of Series A and Series C</w:t>
            </w: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preferred stock</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(381,500)</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(381,500)</w:t>
            </w:r>
          </w:p>
        </w:tc>
        <w:tc>
          <w:tcPr>
            <w:tcW w:w="0" w:type="dxa"/>
            <w:vAlign w:val="bottom"/>
          </w:tcPr>
          <w:p>
            <w:pPr>
              <w:spacing w:after="0"/>
              <w:rPr>
                <w:sz w:val="1"/>
                <w:szCs w:val="1"/>
                <w:color w:val="auto"/>
              </w:rPr>
            </w:pPr>
          </w:p>
        </w:tc>
      </w:tr>
      <w:tr>
        <w:trPr>
          <w:trHeight w:val="158"/>
        </w:trPr>
        <w:tc>
          <w:tcPr>
            <w:tcW w:w="4520" w:type="dxa"/>
            <w:vAlign w:val="bottom"/>
            <w:gridSpan w:val="2"/>
          </w:tcPr>
          <w:p>
            <w:pPr>
              <w:spacing w:after="0"/>
              <w:rPr>
                <w:sz w:val="20"/>
                <w:szCs w:val="20"/>
                <w:color w:val="auto"/>
              </w:rPr>
            </w:pPr>
            <w:r>
              <w:rPr>
                <w:rFonts w:ascii="Arial" w:cs="Arial" w:eastAsia="Arial" w:hAnsi="Arial"/>
                <w:sz w:val="13"/>
                <w:szCs w:val="13"/>
                <w:color w:val="auto"/>
              </w:rPr>
              <w:t>Issuance of Series G preferred stock</w:t>
            </w:r>
          </w:p>
        </w:tc>
        <w:tc>
          <w:tcPr>
            <w:tcW w:w="640" w:type="dxa"/>
            <w:vAlign w:val="bottom"/>
          </w:tcPr>
          <w:p>
            <w:pPr>
              <w:jc w:val="right"/>
              <w:spacing w:after="0"/>
              <w:rPr>
                <w:sz w:val="20"/>
                <w:szCs w:val="20"/>
                <w:color w:val="auto"/>
              </w:rPr>
            </w:pPr>
            <w:r>
              <w:rPr>
                <w:rFonts w:ascii="Arial" w:cs="Arial" w:eastAsia="Arial" w:hAnsi="Arial"/>
                <w:sz w:val="13"/>
                <w:szCs w:val="13"/>
                <w:color w:val="auto"/>
              </w:rPr>
              <w:t>400,000</w:t>
            </w:r>
          </w:p>
        </w:tc>
        <w:tc>
          <w:tcPr>
            <w:tcW w:w="22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(4,000)</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396,000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Purchases of treasury stock</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(1,349,785)</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(1,349,785)</w:t>
            </w:r>
          </w:p>
        </w:tc>
        <w:tc>
          <w:tcPr>
            <w:tcW w:w="0" w:type="dxa"/>
            <w:vAlign w:val="bottom"/>
          </w:tcPr>
          <w:p>
            <w:pPr>
              <w:spacing w:after="0"/>
              <w:rPr>
                <w:sz w:val="1"/>
                <w:szCs w:val="1"/>
                <w:color w:val="auto"/>
              </w:rPr>
            </w:pPr>
          </w:p>
        </w:tc>
      </w:tr>
      <w:tr>
        <w:trPr>
          <w:trHeight w:val="158"/>
        </w:trPr>
        <w:tc>
          <w:tcPr>
            <w:tcW w:w="4520" w:type="dxa"/>
            <w:vAlign w:val="bottom"/>
            <w:gridSpan w:val="2"/>
          </w:tcPr>
          <w:p>
            <w:pPr>
              <w:spacing w:after="0"/>
              <w:rPr>
                <w:sz w:val="20"/>
                <w:szCs w:val="20"/>
                <w:color w:val="auto"/>
              </w:rPr>
            </w:pPr>
            <w:r>
              <w:rPr>
                <w:rFonts w:ascii="Arial" w:cs="Arial" w:eastAsia="Arial" w:hAnsi="Arial"/>
                <w:sz w:val="13"/>
                <w:szCs w:val="13"/>
                <w:color w:val="auto"/>
              </w:rPr>
              <w:t>Stock-based compensation transactions, net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(12)</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(160)</w:t>
            </w:r>
          </w:p>
        </w:tc>
        <w:tc>
          <w:tcPr>
            <w:tcW w:w="660" w:type="dxa"/>
            <w:vAlign w:val="bottom"/>
          </w:tcPr>
          <w:p>
            <w:pPr>
              <w:jc w:val="right"/>
              <w:spacing w:after="0"/>
              <w:rPr>
                <w:sz w:val="20"/>
                <w:szCs w:val="20"/>
                <w:color w:val="auto"/>
              </w:rPr>
            </w:pPr>
            <w:r>
              <w:rPr>
                <w:rFonts w:ascii="Arial" w:cs="Arial" w:eastAsia="Arial" w:hAnsi="Arial"/>
                <w:sz w:val="13"/>
                <w:szCs w:val="13"/>
                <w:color w:val="auto"/>
              </w:rPr>
              <w:t>18,197</w:t>
            </w:r>
          </w:p>
        </w:tc>
        <w:tc>
          <w:tcPr>
            <w:tcW w:w="22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(207)</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56,073</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73,891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Common stock cash dividends —</w:t>
            </w: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$4.10 per share</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(552,216)</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(552,216)</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3"/>
                <w:szCs w:val="13"/>
                <w:color w:val="auto"/>
              </w:rPr>
              <w:t>Balance — December 31, 2019</w:t>
            </w: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520" w:type="dxa"/>
            <w:vAlign w:val="bottom"/>
            <w:gridSpan w:val="2"/>
            <w:vMerge w:val="continue"/>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0"/>
              </w:rPr>
              <w:t>$ 1,250,000</w:t>
            </w:r>
          </w:p>
        </w:tc>
        <w:tc>
          <w:tcPr>
            <w:tcW w:w="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1,566</w:t>
            </w: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6,593,539</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12,820,916</w:t>
            </w:r>
          </w:p>
        </w:tc>
        <w:tc>
          <w:tcPr>
            <w:tcW w:w="22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(206,680)</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(4,822,563)</w:t>
            </w:r>
          </w:p>
        </w:tc>
        <w:tc>
          <w:tcPr>
            <w:tcW w:w="720" w:type="dxa"/>
            <w:vAlign w:val="bottom"/>
          </w:tcPr>
          <w:p>
            <w:pPr>
              <w:jc w:val="right"/>
              <w:spacing w:after="0"/>
              <w:rPr>
                <w:sz w:val="20"/>
                <w:szCs w:val="20"/>
                <w:color w:val="auto"/>
              </w:rPr>
            </w:pPr>
            <w:r>
              <w:rPr>
                <w:rFonts w:ascii="Arial" w:cs="Arial" w:eastAsia="Arial" w:hAnsi="Arial"/>
                <w:sz w:val="13"/>
                <w:szCs w:val="13"/>
                <w:color w:val="auto"/>
                <w:w w:val="89"/>
              </w:rPr>
              <w:t>$ 15,716,649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17" w:name="page118"/>
    <w:bookmarkEnd w:id="117"/>
    <w:p>
      <w:pPr>
        <w:spacing w:after="0"/>
        <w:rPr>
          <w:sz w:val="20"/>
          <w:szCs w:val="20"/>
          <w:color w:val="auto"/>
        </w:rPr>
      </w:pPr>
      <w:r>
        <w:rPr>
          <w:rFonts w:ascii="Arial" w:cs="Arial" w:eastAsia="Arial" w:hAnsi="Arial"/>
          <w:sz w:val="20"/>
          <w:szCs w:val="20"/>
          <w:b w:val="1"/>
          <w:bCs w:val="1"/>
          <w:color w:val="auto"/>
        </w:rPr>
        <w:t>M&amp;T BANK CORPORATION AND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Financial Statements</w:t>
      </w:r>
    </w:p>
    <w:p>
      <w:pPr>
        <w:spacing w:after="0" w:line="12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7"/>
          <w:szCs w:val="17"/>
          <w:b w:val="1"/>
          <w:bCs w:val="1"/>
          <w:color w:val="auto"/>
        </w:rPr>
        <w:t>Significant accounting policies</w:t>
      </w:r>
    </w:p>
    <w:p>
      <w:pPr>
        <w:spacing w:after="0" w:line="29" w:lineRule="exact"/>
        <w:rPr>
          <w:sz w:val="20"/>
          <w:szCs w:val="20"/>
          <w:color w:val="auto"/>
        </w:rPr>
      </w:pPr>
    </w:p>
    <w:p>
      <w:pPr>
        <w:ind w:right="280"/>
        <w:spacing w:after="0" w:line="274" w:lineRule="auto"/>
        <w:rPr>
          <w:sz w:val="20"/>
          <w:szCs w:val="20"/>
          <w:color w:val="auto"/>
        </w:rPr>
      </w:pPr>
      <w:r>
        <w:rPr>
          <w:rFonts w:ascii="Arial" w:cs="Arial" w:eastAsia="Arial" w:hAnsi="Arial"/>
          <w:sz w:val="18"/>
          <w:szCs w:val="18"/>
          <w:color w:val="auto"/>
        </w:rPr>
        <w:t>M&amp;T Bank Corporation (“M&amp;T”) is a bank holding company headquartered in Buffalo, New York. Through subsidiaries, M&amp;T provides individuals, corporations and other businesses, and institutions with commercial and retail banking services, including loans and deposits, trust, mortgage banking, asset management, insurance and other financial services. Banking activities are largely focused on consumers residing in New York State, Maryland, New Jersey, Pennsylvania, Delaware, Connecticut, Virginia, West Virginia and the District of Columbia and on small and medium-size businesses based in those areas. Certain subsidiaries also conduct activities in other areas.</w:t>
      </w:r>
    </w:p>
    <w:p>
      <w:pPr>
        <w:spacing w:after="0" w:line="1" w:lineRule="exact"/>
        <w:rPr>
          <w:sz w:val="20"/>
          <w:szCs w:val="20"/>
          <w:color w:val="auto"/>
        </w:rPr>
      </w:pPr>
    </w:p>
    <w:p>
      <w:pPr>
        <w:ind w:firstLine="598"/>
        <w:spacing w:after="0" w:line="283" w:lineRule="auto"/>
        <w:rPr>
          <w:sz w:val="20"/>
          <w:szCs w:val="20"/>
          <w:color w:val="auto"/>
        </w:rPr>
      </w:pPr>
      <w:r>
        <w:rPr>
          <w:rFonts w:ascii="Arial" w:cs="Arial" w:eastAsia="Arial" w:hAnsi="Arial"/>
          <w:sz w:val="18"/>
          <w:szCs w:val="18"/>
          <w:color w:val="auto"/>
        </w:rPr>
        <w:t>The accounting and reporting policies of M&amp;T and subsidiaries (“the Company”) are in accordance with accounting principles generally accepted in the United States of America (“GAAP”) and general practices within the banking industry.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significant accounting policies are as follows: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Consolidation</w:t>
      </w:r>
    </w:p>
    <w:p>
      <w:pPr>
        <w:spacing w:after="0" w:line="25"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The consolidated financial statements include M&amp;T and all of its subsidiaries. All significant intercompany accounts and transactions of consolidated subsidiaries have been eliminated in consolidation. The financial statements of M&amp;T included in note 25 report investments in subsidiaries under the equity method. Information about some limited purpose entities that are affiliates of the Company but are not included in the consolidated financial statements appears in note 19.</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Consolidated Statement of Cash Flows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this statement, cash and due from banks and federal funds sold are considered cash and cash equivalents.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Securities purchased under agreements to resell and securities sold under agreements to repurchase</w:t>
      </w:r>
    </w:p>
    <w:p>
      <w:pPr>
        <w:spacing w:after="0" w:line="25" w:lineRule="exact"/>
        <w:rPr>
          <w:sz w:val="20"/>
          <w:szCs w:val="20"/>
          <w:color w:val="auto"/>
        </w:rPr>
      </w:pPr>
    </w:p>
    <w:p>
      <w:pPr>
        <w:jc w:val="both"/>
        <w:ind w:right="340"/>
        <w:spacing w:after="0" w:line="251" w:lineRule="auto"/>
        <w:rPr>
          <w:sz w:val="20"/>
          <w:szCs w:val="20"/>
          <w:color w:val="auto"/>
        </w:rPr>
      </w:pPr>
      <w:r>
        <w:rPr>
          <w:rFonts w:ascii="Arial" w:cs="Arial" w:eastAsia="Arial" w:hAnsi="Arial"/>
          <w:sz w:val="20"/>
          <w:szCs w:val="20"/>
          <w:color w:val="auto"/>
        </w:rPr>
        <w:t>Securities purchased under agreements to resell and securities sold under agreements to repurchase are treated as collateralized financing transactions and are recorded at amounts equal to the cash or other consideration exchanged. It is generally the Company’s policy to take possession of collateral pledged to secure agreements to resell.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Trading account</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color w:val="auto"/>
        </w:rPr>
        <w:t>Financial instruments used for trading purposes are stated at fair value. Realized gains and losses and unrealized changes in fair value of financial instruments utilized in trading activities are included in “trading account and foreign exchange gains” in the consolidated statement of income.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 securities</w:t>
      </w:r>
    </w:p>
    <w:p>
      <w:pPr>
        <w:spacing w:after="0" w:line="25" w:lineRule="exact"/>
        <w:rPr>
          <w:sz w:val="20"/>
          <w:szCs w:val="20"/>
          <w:color w:val="auto"/>
        </w:rPr>
      </w:pPr>
    </w:p>
    <w:p>
      <w:pPr>
        <w:ind w:right="180"/>
        <w:spacing w:after="0" w:line="271" w:lineRule="auto"/>
        <w:rPr>
          <w:sz w:val="20"/>
          <w:szCs w:val="20"/>
          <w:color w:val="auto"/>
        </w:rPr>
      </w:pPr>
      <w:r>
        <w:rPr>
          <w:rFonts w:ascii="Arial" w:cs="Arial" w:eastAsia="Arial" w:hAnsi="Arial"/>
          <w:sz w:val="19"/>
          <w:szCs w:val="19"/>
          <w:color w:val="auto"/>
        </w:rPr>
        <w:t>Investments in debt securities are classified as held to maturity and stated at amortized cost when management has the positive intent and ability to hold such securities to maturity. Investments in other debt securities are classified as available for sale and stated at estimated fair value with unrealized changes in fair value included in “accumulated other comprehensive income (loss), net.”</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380"/>
          </w:cols>
          <w:pgMar w:left="240" w:top="332" w:right="279" w:bottom="1440" w:gutter="0" w:footer="0" w:header="0"/>
        </w:sectPr>
      </w:pPr>
    </w:p>
    <w:bookmarkStart w:id="118" w:name="page119"/>
    <w:bookmarkEnd w:id="118"/>
    <w:p>
      <w:pPr>
        <w:ind w:right="60"/>
        <w:spacing w:after="0" w:line="249" w:lineRule="auto"/>
        <w:rPr>
          <w:sz w:val="20"/>
          <w:szCs w:val="20"/>
          <w:color w:val="auto"/>
        </w:rPr>
      </w:pPr>
      <w:r>
        <w:rPr>
          <w:rFonts w:ascii="Arial" w:cs="Arial" w:eastAsia="Arial" w:hAnsi="Arial"/>
          <w:sz w:val="20"/>
          <w:szCs w:val="20"/>
          <w:color w:val="auto"/>
        </w:rPr>
        <w:t>Investments in equity securities having readily determinable fair values are stated at fair value and, beginning in 2018, unrealized changes in fair value are included in earnings. Investments in equity securities that do not have readily determinable fair values are stated at cost minus impairment, if any, plus or minus changes resulting from observable price changes in orderly transactions for the identical or a similar investment of the same issuer. Prior to 2018, equity securities with readily determinable fair values were classified as available for sale. Amortization of premiums and accretion of discounts for investment securities available for sale and held to maturity are included in interest income.</w:t>
      </w:r>
    </w:p>
    <w:p>
      <w:pPr>
        <w:spacing w:after="0" w:line="5" w:lineRule="exact"/>
        <w:rPr>
          <w:sz w:val="20"/>
          <w:szCs w:val="20"/>
          <w:color w:val="auto"/>
        </w:rPr>
      </w:pPr>
    </w:p>
    <w:p>
      <w:pPr>
        <w:ind w:right="480" w:firstLine="598"/>
        <w:spacing w:after="0" w:line="246" w:lineRule="auto"/>
        <w:rPr>
          <w:sz w:val="20"/>
          <w:szCs w:val="20"/>
          <w:color w:val="auto"/>
        </w:rPr>
      </w:pPr>
      <w:r>
        <w:rPr>
          <w:rFonts w:ascii="Arial" w:cs="Arial" w:eastAsia="Arial" w:hAnsi="Arial"/>
          <w:sz w:val="20"/>
          <w:szCs w:val="20"/>
          <w:color w:val="auto"/>
        </w:rPr>
        <w:t>Other securities are stated at cost and include stock of the Federal Reserve Bank of New York and the Federal Home Loan Bank (“FHLB”) of New York.</w:t>
      </w:r>
    </w:p>
    <w:p>
      <w:pPr>
        <w:spacing w:after="0" w:line="2" w:lineRule="exact"/>
        <w:rPr>
          <w:sz w:val="20"/>
          <w:szCs w:val="20"/>
          <w:color w:val="auto"/>
        </w:rPr>
      </w:pPr>
    </w:p>
    <w:p>
      <w:pPr>
        <w:ind w:right="20" w:firstLine="598"/>
        <w:spacing w:after="0" w:line="261" w:lineRule="auto"/>
        <w:rPr>
          <w:sz w:val="20"/>
          <w:szCs w:val="20"/>
          <w:color w:val="auto"/>
        </w:rPr>
      </w:pPr>
      <w:r>
        <w:rPr>
          <w:rFonts w:ascii="Arial" w:cs="Arial" w:eastAsia="Arial" w:hAnsi="Arial"/>
          <w:sz w:val="19"/>
          <w:szCs w:val="19"/>
          <w:color w:val="auto"/>
        </w:rPr>
        <w:t>Individual debt securities are written down through a charge to earnings when declines in value below the cost basis of a security are considered to be other than temporary. In cases where fair value is less than amortized cost and the Company intends to sell a debt security, it is more likely than not to be required to sell a debt security before recovery of its amortized cost basis, or the Company does not expect to recover the entire amortized cost basis of a debt security, an other-than-temporary impairment is considered to have occurred. If the Company intends to sell the debt security or more likely than not will be required to sell the security before recovery of its amortized cost basis, the other-than-temporary impairment is recognized in earnings equal to the entire difference between the debt security’s amortized cost basis and its fair value. If the Company does not expect to recover the entire amortized cost basis of the security, the Company does not intend to sell the security and it is not more likely than not that the Company will be required to sell the security before recovery of its amortized cost basis, the other-than-temporary impairment is separated into (a) the amount representing the credit loss and (b) the amount related to all other factors. The amount of the other-than-temporary impairment related to the credit loss is recognized in earnings while the amount related to other factors is recognized in other comprehensive income, net of applicable taxes. Subsequently, the Company accounts for the other-than-temporarily impaired debt security as if the security had been purchased on the measurement date of the other-than-temporary impairment at an amortized cost basis equal to the previous amortized cost basis less the other-than-temporary impairment recognized in earnings. Realized gains and losses on the sales of investment securities are determined using the specific identification method.</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 and leases</w:t>
      </w:r>
    </w:p>
    <w:p>
      <w:pPr>
        <w:spacing w:after="0" w:line="25"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The Company’s accounting methods for loans depends on whether the loans were originated by the Company or were acquired in a business combination.</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Originated loans and leases</w:t>
      </w:r>
    </w:p>
    <w:p>
      <w:pPr>
        <w:spacing w:after="0" w:line="25"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Interest income on loans is accrued on a level yield method. Loans are placed on nonaccrual status and previously accrued interest thereon is charged against income when principal or interest is delinquent 90 days, unless management determines that the loan status clearly warrants other treatment. Nonaccrual commercial loans and commercial real estate loans are returned to accrual status when borrowers have demonstrated an ability to repay their loans and there are no delinquent principal and interest payments. Consumer loans not secured by residential real estate are returned to accrual status when all past due principal and interest payments have been paid by the borrower. Loans secured by residential real estate are returned to accrual status when they are deemed to have an insignificant delay in payments of 90 days or less. Loan balances are charged off when it becomes evident that such balances are not fully collectible. For commercial loans and commercial real estate loans, charge-offs are recognized after an assessment by credit personnel of the capacity and willingness of the borrower to repay, the estimated value of any collateral, and any other potential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119" w:name="page120"/>
    <w:bookmarkEnd w:id="119"/>
    <w:p>
      <w:pPr>
        <w:ind w:right="20"/>
        <w:spacing w:after="0" w:line="261" w:lineRule="auto"/>
        <w:rPr>
          <w:sz w:val="20"/>
          <w:szCs w:val="20"/>
          <w:color w:val="auto"/>
        </w:rPr>
      </w:pPr>
      <w:r>
        <w:rPr>
          <w:rFonts w:ascii="Arial" w:cs="Arial" w:eastAsia="Arial" w:hAnsi="Arial"/>
          <w:sz w:val="19"/>
          <w:szCs w:val="19"/>
          <w:color w:val="auto"/>
        </w:rPr>
        <w:t>sources of repayment. A charge-off is recognized when, after such assessment, it becomes evident that the loan balance is not fully collectible. For loans secured by residential real estate, the excess of the loan balances over the net realizable value of the property collateralizing the loan is charged-off when the loan becomes 150 days delinquent. Consumer loans are generally charged-off when the loans are 91 to 180 days past due, depending on whether the loan is collateralized and the status of repossession activities with respect to such collateral. Loan fees and certain direct loan origination costs are deferred and recognized as an interest yield adjustment over the life of the loan. Net deferred fees have been included in unearned discount as a reduction of loans outstanding. Commitments to sell real estate loans are utilized by the Company to hedge the exposure to changes in fair value of real estate loans held for sale. The carrying value of hedged real estate loans held for sale recorded in the consolidated balance sheet includes changes in estimated fair market value during the hedge period, typically from the date of close through the sale date. Valuation adjustments made on these loans and commitments are included in “mortgage banking revenues.”</w:t>
      </w:r>
    </w:p>
    <w:p>
      <w:pPr>
        <w:spacing w:after="0" w:line="7"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Except for consumer and residential mortgage loans that are considered smaller balance homogenous loans and are evaluated collectively,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 Company considers a loan to be impaired if it qualifies as a troubled debt restructuring. Impaired loans are classified as either nonaccrual or as loans renegotiated at below market rates which continue to accrue interest, provided that a credit assessment of the borrower’s financial condition results in an expectation of full repayment under the modified contractual terms. Certain loans greater than 90 days delinquent are not considered impaired if they are well-secured and in the process of collection. Loans less than 90 days delinquent are deemed to have an insignificant delay in payment and are generally not considered impaired. Impairment of a loan is measured based on the present value of expected future cash flows discounted at the loan’s effective interest rate, the loan’s observable market price, or the fair value of collateral if the loan is collateral-dependent. Interest received on impaired loans placed on nonaccrual status is generally applied to reduce the carrying value of the loan or, if principal is considered fully collectible, recognized as interest income.</w:t>
      </w:r>
    </w:p>
    <w:p>
      <w:pPr>
        <w:spacing w:after="0" w:line="9" w:lineRule="exact"/>
        <w:rPr>
          <w:sz w:val="20"/>
          <w:szCs w:val="20"/>
          <w:color w:val="auto"/>
        </w:rPr>
      </w:pPr>
    </w:p>
    <w:p>
      <w:pPr>
        <w:ind w:right="20" w:firstLine="598"/>
        <w:spacing w:after="0" w:line="251" w:lineRule="auto"/>
        <w:rPr>
          <w:sz w:val="20"/>
          <w:szCs w:val="20"/>
          <w:color w:val="auto"/>
        </w:rPr>
      </w:pPr>
      <w:r>
        <w:rPr>
          <w:rFonts w:ascii="Arial" w:cs="Arial" w:eastAsia="Arial" w:hAnsi="Arial"/>
          <w:sz w:val="20"/>
          <w:szCs w:val="20"/>
          <w:color w:val="auto"/>
        </w:rPr>
        <w:t>Residual value estimates for commercial leases are generally determined through internal or external reviews of the leased property. The Company reviews commercial lease residual values at least annually and recognizes residual value impairments deemed to be other than temporary.</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Loans and leases acquired in a business combination</w:t>
      </w:r>
    </w:p>
    <w:p>
      <w:pPr>
        <w:spacing w:after="0" w:line="25"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Loans acquired in a business combination subsequent to December 31, 2008 were initially recorded at fair value with no carry-over of an acquired entity’s previously established allowance for credit losses. Purchased impaired loans represent specifically identified loans with evidence of credit deterioration for which it was probable at acquisition that the Company would be unable to collect all contractual principal and interest payments. For purchased impaired loans and other loans acquired at a discount that was, in part, attributable to credit quality, the excess of cash flows expected at acquisition over the estimated fair value of acquired loans was recognized as interest income over the remaining lives of the loans. Subsequent decreases in the expected cash flows required the Company to evaluate the need for additions to the Company’s allowance for credit losses. Subsequent improvements in expected cash flows resulted first in the recovery of any related allowance for credit losses and then in recognition of additional interest income over the then-remaining lives of the loans.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120" w:name="page121"/>
    <w:bookmarkEnd w:id="120"/>
    <w:p>
      <w:pPr>
        <w:ind w:right="20" w:firstLine="598"/>
        <w:spacing w:after="0" w:line="332" w:lineRule="auto"/>
        <w:rPr>
          <w:sz w:val="20"/>
          <w:szCs w:val="20"/>
          <w:color w:val="auto"/>
        </w:rPr>
      </w:pPr>
      <w:r>
        <w:rPr>
          <w:rFonts w:ascii="Arial" w:cs="Arial" w:eastAsia="Arial" w:hAnsi="Arial"/>
          <w:sz w:val="18"/>
          <w:szCs w:val="18"/>
          <w:color w:val="auto"/>
        </w:rPr>
        <w:t>For all other acquired loans, the difference between the fair value and outstanding principal balance of the loans is recognized as an adjustment to interest income over the lives of those loans. Those loans are then accounted for in a manner that is similar to originated loans.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Allowance for credit losses</w:t>
      </w:r>
    </w:p>
    <w:p>
      <w:pPr>
        <w:spacing w:after="0" w:line="25"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allowance for credit losses represents, in management’s judgment, the amount of losses inherent in the loan and lease portfolio as of the balance sheet date. The allowance is determined by management’s evaluation of the loan and lease portfolio based on such factors as the differing economic risks associated with each loan category, the current financial condition of specific borrowers, the economic environment in which borrowers operate, the level of delinquent loans, the value of any collateral and, where applicable, the existence of any guarantees or indemnifications. The effects of probable decreases in expected principal cash flows on loans acquired at a discount are also considered in the establishment of the allowance for credit losses.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Assets taken in foreclosure of defaulted loans</w:t>
      </w:r>
    </w:p>
    <w:p>
      <w:pPr>
        <w:spacing w:after="0" w:line="25"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Assets taken in foreclosure of defaulted loans are primarily comprised of commercial and residential real property and are included in “other assets” in the consolidated balance sheet. An in-substance repossession or foreclosure occurs and a creditor is considered to have received physical possession of residential real estate property collateralizing a consumer mortgage loan upon either (1) the creditor obtaining legal title to the residential real estate property upon completion of a foreclosure or (2) the borrower conveying all interest in the residential real estate property to the creditor to satisfy that loan through completion of a deed in lieu of foreclosure or through a similar legal agreement. Upon acquisition of assets taken in satisfaction of a defaulted loan, the excess of the remaining loan balance over the asset’s estimated fair value less costs to sell is charged-off against the allowance for credit losses. Subsequent declines in value of the assets are recognized as “other costs of operations” in the consolidated statement of income.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Premises and equipment</w:t>
      </w:r>
    </w:p>
    <w:p>
      <w:pPr>
        <w:spacing w:after="0" w:line="25" w:lineRule="exact"/>
        <w:rPr>
          <w:sz w:val="20"/>
          <w:szCs w:val="20"/>
          <w:color w:val="auto"/>
        </w:rPr>
      </w:pPr>
    </w:p>
    <w:p>
      <w:pPr>
        <w:ind w:right="240"/>
        <w:spacing w:after="0" w:line="256" w:lineRule="auto"/>
        <w:rPr>
          <w:sz w:val="20"/>
          <w:szCs w:val="20"/>
          <w:color w:val="auto"/>
        </w:rPr>
      </w:pPr>
      <w:r>
        <w:rPr>
          <w:rFonts w:ascii="Arial" w:cs="Arial" w:eastAsia="Arial" w:hAnsi="Arial"/>
          <w:sz w:val="20"/>
          <w:szCs w:val="20"/>
          <w:color w:val="auto"/>
        </w:rPr>
        <w:t>Premises and equipment are stated at cost less accumulated depreciation. Depreciation expense is computed principally using the straight-line method over the estimated useful lives of the assets.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Capitalized servicing rights</w:t>
      </w:r>
    </w:p>
    <w:p>
      <w:pPr>
        <w:spacing w:after="0" w:line="25" w:lineRule="exact"/>
        <w:rPr>
          <w:sz w:val="20"/>
          <w:szCs w:val="20"/>
          <w:color w:val="auto"/>
        </w:rPr>
      </w:pPr>
    </w:p>
    <w:p>
      <w:pPr>
        <w:ind w:right="240"/>
        <w:spacing w:after="0" w:line="274" w:lineRule="auto"/>
        <w:rPr>
          <w:sz w:val="20"/>
          <w:szCs w:val="20"/>
          <w:color w:val="auto"/>
        </w:rPr>
      </w:pPr>
      <w:r>
        <w:rPr>
          <w:rFonts w:ascii="Arial" w:cs="Arial" w:eastAsia="Arial" w:hAnsi="Arial"/>
          <w:sz w:val="18"/>
          <w:szCs w:val="18"/>
          <w:color w:val="auto"/>
        </w:rPr>
        <w:t>Capitalized servicing assets are included in “other assets” in the consolidated balance sheet. Separately recognized servicing assets are initially measured at fair value. The Company uses the amortization method to subsequently measure servicing assets. Under that method, capitalized servicing assets are charged to expense in proportion to and over the period of estimated net servicing income.</w:t>
      </w:r>
    </w:p>
    <w:p>
      <w:pPr>
        <w:spacing w:after="0" w:line="1" w:lineRule="exact"/>
        <w:rPr>
          <w:sz w:val="20"/>
          <w:szCs w:val="20"/>
          <w:color w:val="auto"/>
        </w:rPr>
      </w:pPr>
    </w:p>
    <w:p>
      <w:pPr>
        <w:ind w:firstLine="598"/>
        <w:spacing w:after="0" w:line="248" w:lineRule="auto"/>
        <w:rPr>
          <w:sz w:val="20"/>
          <w:szCs w:val="20"/>
          <w:color w:val="auto"/>
        </w:rPr>
      </w:pPr>
      <w:r>
        <w:rPr>
          <w:rFonts w:ascii="Arial" w:cs="Arial" w:eastAsia="Arial" w:hAnsi="Arial"/>
          <w:sz w:val="20"/>
          <w:szCs w:val="20"/>
          <w:color w:val="auto"/>
        </w:rPr>
        <w:t>To estimate the fair value of servicing rights, the Company considers market prices for similar assets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exceeds estimated fair value. Impairment is recognized through a valuation allowance.</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360"/>
          </w:cols>
          <w:pgMar w:left="240" w:top="336" w:right="299" w:bottom="1440" w:gutter="0" w:footer="0" w:header="0"/>
        </w:sectPr>
      </w:pPr>
    </w:p>
    <w:bookmarkStart w:id="121" w:name="page122"/>
    <w:bookmarkEnd w:id="121"/>
    <w:p>
      <w:pPr>
        <w:spacing w:after="0"/>
        <w:rPr>
          <w:sz w:val="20"/>
          <w:szCs w:val="20"/>
          <w:color w:val="auto"/>
        </w:rPr>
      </w:pPr>
      <w:r>
        <w:rPr>
          <w:rFonts w:ascii="Arial" w:cs="Arial" w:eastAsia="Arial" w:hAnsi="Arial"/>
          <w:sz w:val="20"/>
          <w:szCs w:val="20"/>
          <w:b w:val="1"/>
          <w:bCs w:val="1"/>
          <w:i w:val="1"/>
          <w:iCs w:val="1"/>
          <w:color w:val="auto"/>
        </w:rPr>
        <w:t>Sales and securitizations of financial assets</w:t>
      </w:r>
    </w:p>
    <w:p>
      <w:pPr>
        <w:spacing w:after="0" w:line="25"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Transfers of financial assets for which the Company has surrendered control of the financial assets are accounted for as sales. Interests in a sale of financial assets that continue to be held by the Company, including servicing rights, are initially measured at fair value. The fair values of retained debt securities are generally determined through reference to independent pricing information. The fair values of retained servicing rights and any other retained interests are determined based on the present value of expected future cash flows associated with those interests and by reference to market prices for similar assets.</w:t>
      </w:r>
    </w:p>
    <w:p>
      <w:pPr>
        <w:spacing w:after="0" w:line="4" w:lineRule="exact"/>
        <w:rPr>
          <w:sz w:val="20"/>
          <w:szCs w:val="20"/>
          <w:color w:val="auto"/>
        </w:rPr>
      </w:pPr>
    </w:p>
    <w:p>
      <w:pPr>
        <w:ind w:right="40" w:firstLine="598"/>
        <w:spacing w:after="0" w:line="250" w:lineRule="auto"/>
        <w:rPr>
          <w:sz w:val="20"/>
          <w:szCs w:val="20"/>
          <w:color w:val="auto"/>
        </w:rPr>
      </w:pPr>
      <w:r>
        <w:rPr>
          <w:rFonts w:ascii="Arial" w:cs="Arial" w:eastAsia="Arial" w:hAnsi="Arial"/>
          <w:sz w:val="20"/>
          <w:szCs w:val="20"/>
          <w:color w:val="auto"/>
        </w:rPr>
        <w:t>Securitization structures typically require the use of special-purpose trusts that are considered variable interest entities. A variable interest entity is included in the consolidated financial statements if the Company has the power to direct the activities that most significantly impact the variable interest entity’s economic performance and has the obligation to absorb losses or the right to receive benefits of the variable interest entity that could potentially be significant to that entity.</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Goodwill and core deposit and other intangible assets</w:t>
      </w:r>
    </w:p>
    <w:p>
      <w:pPr>
        <w:spacing w:after="0" w:line="25" w:lineRule="exact"/>
        <w:rPr>
          <w:sz w:val="20"/>
          <w:szCs w:val="20"/>
          <w:color w:val="auto"/>
        </w:rPr>
      </w:pPr>
    </w:p>
    <w:p>
      <w:pPr>
        <w:ind w:right="100"/>
        <w:spacing w:after="0" w:line="264" w:lineRule="auto"/>
        <w:rPr>
          <w:sz w:val="20"/>
          <w:szCs w:val="20"/>
          <w:color w:val="auto"/>
        </w:rPr>
      </w:pPr>
      <w:r>
        <w:rPr>
          <w:rFonts w:ascii="Arial" w:cs="Arial" w:eastAsia="Arial" w:hAnsi="Arial"/>
          <w:sz w:val="19"/>
          <w:szCs w:val="19"/>
          <w:color w:val="auto"/>
        </w:rPr>
        <w:t>Goodwill represents the excess of the cost of an acquired entity over the fair value of the identifiable net assets acquired. Goodwill is not amortized, but rather is tested for impairment at least annually at the reporting unit level, which is either at the same level or one level below an operating segment. Other acquired intangible assets with finite lives, such as core deposit intangibles, are initially recorded at estimated fair value and are amortized over their estimated lives. Core deposit and other intangible assets are generally amortized using accelerated methods over estimated useful lives of five to ten years. The Company periodically assesses whether events or changes in circumstances indicate that the carrying amounts of core deposit and other intangible assets may be impaired.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 financial instruments</w:t>
      </w:r>
    </w:p>
    <w:p>
      <w:pPr>
        <w:spacing w:after="0" w:line="25"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The Company accounts for derivative financial instruments at fair value. If certain conditions are met, a derivative may be specifically designated as (a) a hedge of the exposure to changes in the fair value of a recognized asset or liability or an unrecognized firm commitment,</w:t>
      </w:r>
    </w:p>
    <w:p>
      <w:pPr>
        <w:ind w:right="540" w:firstLine="5"/>
        <w:spacing w:after="0" w:line="246" w:lineRule="auto"/>
        <w:tabs>
          <w:tab w:leader="none" w:pos="285" w:val="left"/>
        </w:tabs>
        <w:numPr>
          <w:ilvl w:val="0"/>
          <w:numId w:val="39"/>
        </w:numPr>
        <w:rPr>
          <w:rFonts w:ascii="Arial" w:cs="Arial" w:eastAsia="Arial" w:hAnsi="Arial"/>
          <w:sz w:val="20"/>
          <w:szCs w:val="20"/>
          <w:color w:val="auto"/>
        </w:rPr>
      </w:pPr>
      <w:r>
        <w:rPr>
          <w:rFonts w:ascii="Arial" w:cs="Arial" w:eastAsia="Arial" w:hAnsi="Arial"/>
          <w:sz w:val="20"/>
          <w:szCs w:val="20"/>
          <w:color w:val="auto"/>
        </w:rPr>
        <w:t>a hedge of the exposure to variable cash flows of a forecasted transaction or (c) a hedge of the foreign currency exposure of a net investment in a foreign operation, an unrecognized firm commitment, an available-for-sale security, or a foreign currency denominated forecasted transaction.</w:t>
      </w:r>
    </w:p>
    <w:p>
      <w:pPr>
        <w:spacing w:after="0" w:line="2" w:lineRule="exact"/>
        <w:rPr>
          <w:rFonts w:ascii="Arial" w:cs="Arial" w:eastAsia="Arial" w:hAnsi="Arial"/>
          <w:sz w:val="20"/>
          <w:szCs w:val="20"/>
          <w:color w:val="auto"/>
        </w:rPr>
      </w:pPr>
    </w:p>
    <w:p>
      <w:pPr>
        <w:ind w:firstLine="598"/>
        <w:spacing w:after="0" w:line="277" w:lineRule="auto"/>
        <w:rPr>
          <w:rFonts w:ascii="Arial" w:cs="Arial" w:eastAsia="Arial" w:hAnsi="Arial"/>
          <w:sz w:val="20"/>
          <w:szCs w:val="20"/>
          <w:color w:val="auto"/>
        </w:rPr>
      </w:pPr>
      <w:r>
        <w:rPr>
          <w:rFonts w:ascii="Arial" w:cs="Arial" w:eastAsia="Arial" w:hAnsi="Arial"/>
          <w:sz w:val="18"/>
          <w:szCs w:val="18"/>
          <w:color w:val="auto"/>
        </w:rPr>
        <w:t>The Company utilizes interest rate swap agreements as part of the management of interest rate risk to modify the repricing characteristics of certain portions of its portfolios of earning assets and interest-bearing liabilities. For such agreements, amounts receivable or payable are recognized as accrued under the terms of the agreement and the net differential is recorded as an adjustment to interest income or expense of the related asset or liability. Interest rate swap agreements may be designated as either fair value hedges or cash flow hedges. In a fair value hedge, the fair values of the interest rate swap agreements and changes in the fair values of the hedged items are recorded in the Company’s consolidated balance sheet with the corresponding gain or loss recognized in current earnings. The difference between changes in the fair values of interest rate swap agreements and the hedged items represents hedge ineffectiveness and, beginning in 2018, is recorded in the same income statement line item that is used to present the earnings effect of the hedged item in the consolidated statement of income. In a cash flow hedge, the derivative’s unrealized gain or loss is initially recorded as a component of other comprehensive income and subsequently reclassified into earnings when the forecasted transaction affects earnings. Prior to 2018, hedge ineffectiveness for fair value and cash flow hedges was recorded in “other revenues from operations” in the consolidated statement of income. In addition, for cash flow hedges, the effective portion of the derivative’s unrealized gain or loss was initially recorded as a component of other comprehensive income and subsequently reclassified into earnings when the forecasted transaction affected earnings.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22" w:name="page123"/>
    <w:bookmarkEnd w:id="122"/>
    <w:p>
      <w:pPr>
        <w:jc w:val="both"/>
        <w:ind w:right="20" w:firstLine="598"/>
        <w:spacing w:after="0" w:line="253" w:lineRule="auto"/>
        <w:rPr>
          <w:sz w:val="20"/>
          <w:szCs w:val="20"/>
          <w:color w:val="auto"/>
        </w:rPr>
      </w:pPr>
      <w:r>
        <w:rPr>
          <w:rFonts w:ascii="Arial" w:cs="Arial" w:eastAsia="Arial" w:hAnsi="Arial"/>
          <w:sz w:val="20"/>
          <w:szCs w:val="20"/>
          <w:color w:val="auto"/>
        </w:rPr>
        <w:t>The Company utilizes commitments to sell real estate loans to hedge the exposure to changes in the fair value of real estate loans held for sale. Commitments to originate real estate loans to be held for sale and commitments to sell real estate loans are generally recorded in the consolidated balance sheet at estimated fair value.</w:t>
      </w:r>
    </w:p>
    <w:p>
      <w:pPr>
        <w:ind w:right="100" w:firstLine="598"/>
        <w:spacing w:after="0" w:line="250" w:lineRule="auto"/>
        <w:rPr>
          <w:sz w:val="20"/>
          <w:szCs w:val="20"/>
          <w:color w:val="auto"/>
        </w:rPr>
      </w:pPr>
      <w:r>
        <w:rPr>
          <w:rFonts w:ascii="Arial" w:cs="Arial" w:eastAsia="Arial" w:hAnsi="Arial"/>
          <w:sz w:val="20"/>
          <w:szCs w:val="20"/>
          <w:color w:val="auto"/>
        </w:rPr>
        <w:t>Derivative instruments not related to mortgage banking activities, including financial futures commitments and interest rate swap agreements, that do not satisfy the hedge accounting requirements are recorded at fair value and are generally classified as trading account assets or liabilities with resultant changes in fair value being recognized in “trading account and foreign exchange gains” in the consolidated statement of income.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25"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Stock-based compensation expense is recognized over the vesting period of the stock-based grant based on the estimated grant date value of the stock-based compensation, except that the recognition of compensation costs is accelerated for stock-based awards granted to retirement-eligible employees and employees who will become retirement-eligible prior to full vesting of the award because the Company’s incentive compensation plan allows for vesting at the time an employee retires.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25" w:lineRule="exact"/>
        <w:rPr>
          <w:sz w:val="20"/>
          <w:szCs w:val="20"/>
          <w:color w:val="auto"/>
        </w:rPr>
      </w:pPr>
    </w:p>
    <w:p>
      <w:pPr>
        <w:jc w:val="both"/>
        <w:ind w:right="100"/>
        <w:spacing w:after="0" w:line="246" w:lineRule="auto"/>
        <w:rPr>
          <w:sz w:val="20"/>
          <w:szCs w:val="20"/>
          <w:color w:val="auto"/>
        </w:rPr>
      </w:pPr>
      <w:r>
        <w:rPr>
          <w:rFonts w:ascii="Arial" w:cs="Arial" w:eastAsia="Arial" w:hAnsi="Arial"/>
          <w:sz w:val="20"/>
          <w:szCs w:val="20"/>
          <w:color w:val="auto"/>
        </w:rPr>
        <w:t>Deferred tax assets and liabilities are recognized for the future tax effects attributable to differences between the financial statement value of existing assets and liabilities and their respective tax bases and carryforwards. Deferred tax assets and liabilities are measured using enacted tax rates and laws.</w:t>
      </w:r>
    </w:p>
    <w:p>
      <w:pPr>
        <w:spacing w:after="0" w:line="2" w:lineRule="exact"/>
        <w:rPr>
          <w:sz w:val="20"/>
          <w:szCs w:val="20"/>
          <w:color w:val="auto"/>
        </w:rPr>
      </w:pPr>
    </w:p>
    <w:p>
      <w:pPr>
        <w:ind w:right="100" w:firstLine="598"/>
        <w:spacing w:after="0" w:line="246" w:lineRule="auto"/>
        <w:rPr>
          <w:sz w:val="20"/>
          <w:szCs w:val="20"/>
          <w:color w:val="auto"/>
        </w:rPr>
      </w:pPr>
      <w:r>
        <w:rPr>
          <w:rFonts w:ascii="Arial" w:cs="Arial" w:eastAsia="Arial" w:hAnsi="Arial"/>
          <w:sz w:val="20"/>
          <w:szCs w:val="20"/>
          <w:color w:val="auto"/>
        </w:rPr>
        <w:t>The Company evaluates uncertain tax positions using the two-step process required by GAAP. The first step requires a determination of whether it is more likely than not that a tax position will be sustained upon examination, including resolution of any related appeals or litigation processes, based on the technical merits of the position. Under the second step, a tax position that meets the more-likely-than-not recognition threshold is measured at the largest amount of benefit that is greater than fifty percent likely of being realized upon ultimate settlement.</w:t>
      </w:r>
    </w:p>
    <w:p>
      <w:pPr>
        <w:spacing w:after="0" w:line="4" w:lineRule="exact"/>
        <w:rPr>
          <w:sz w:val="20"/>
          <w:szCs w:val="20"/>
          <w:color w:val="auto"/>
        </w:rPr>
      </w:pPr>
    </w:p>
    <w:p>
      <w:pPr>
        <w:ind w:firstLine="598"/>
        <w:spacing w:after="0" w:line="271" w:lineRule="auto"/>
        <w:rPr>
          <w:sz w:val="20"/>
          <w:szCs w:val="20"/>
          <w:color w:val="auto"/>
        </w:rPr>
      </w:pPr>
      <w:r>
        <w:rPr>
          <w:rFonts w:ascii="Arial" w:cs="Arial" w:eastAsia="Arial" w:hAnsi="Arial"/>
          <w:sz w:val="19"/>
          <w:szCs w:val="19"/>
          <w:color w:val="auto"/>
        </w:rPr>
        <w:t>The Company accounts for its investments in qualified affordable housing projects using the proportional amortization method. Under that method, the Company amortizes the initial cost of the investment in proportion to the tax credits and other tax benefits received and recognizes the net investment performance in the income statement as a component of income tax expense.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 per common share</w:t>
      </w:r>
    </w:p>
    <w:p>
      <w:pPr>
        <w:spacing w:after="0" w:line="2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Basic earnings per common share exclude dilution and are computed by dividing income available to common shareholders by the weighted-average number of common shares outstanding (exclusive of shares represented by the unvested portion of restricted stock and restricted stock unit grants) and common shares issuable under deferred compensation arrangements during the period. Diluted earnings per common share reflect shares represented by the unvested portion of restricted stock and restricted stock unit grants and the potential dilution that could occur if securities or other contracts to issue common stock were exercised or converted into common stock or resulted in the issuance of common stock that then shared in earnings. Proceeds assumed to have been received on such exercise or conversion are assumed to be used to purchase shares of M&amp;T common stock at the average market price during the period, as required by the “treasury stock method” of accounting.</w:t>
      </w:r>
    </w:p>
    <w:p>
      <w:pPr>
        <w:spacing w:after="0" w:line="6" w:lineRule="exact"/>
        <w:rPr>
          <w:sz w:val="20"/>
          <w:szCs w:val="20"/>
          <w:color w:val="auto"/>
        </w:rPr>
      </w:pPr>
    </w:p>
    <w:p>
      <w:pPr>
        <w:ind w:right="140" w:firstLine="598"/>
        <w:spacing w:after="0" w:line="286" w:lineRule="auto"/>
        <w:rPr>
          <w:sz w:val="20"/>
          <w:szCs w:val="20"/>
          <w:color w:val="auto"/>
        </w:rPr>
      </w:pPr>
      <w:r>
        <w:rPr>
          <w:rFonts w:ascii="Arial" w:cs="Arial" w:eastAsia="Arial" w:hAnsi="Arial"/>
          <w:sz w:val="18"/>
          <w:szCs w:val="18"/>
          <w:color w:val="auto"/>
        </w:rPr>
        <w:t>GAAP requires that unvested share-based payment awards that contain nonforfeitable rights to dividends or dividend equivalents (whether paid or unpaid) shall be considered participating securities and shall be included in the computation of earnings per common share pursuant to the two-class method. The Company has issued stock-based compensation awards in the form of restricted stock and restricted stock units that contain such rights and, accordingly, the Company’s earnings per common share are calculated using the two-class method.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23" w:name="page124"/>
    <w:bookmarkEnd w:id="123"/>
    <w:p>
      <w:pPr>
        <w:spacing w:after="0"/>
        <w:rPr>
          <w:sz w:val="20"/>
          <w:szCs w:val="20"/>
          <w:color w:val="auto"/>
        </w:rPr>
      </w:pPr>
      <w:r>
        <w:rPr>
          <w:rFonts w:ascii="Arial" w:cs="Arial" w:eastAsia="Arial" w:hAnsi="Arial"/>
          <w:sz w:val="20"/>
          <w:szCs w:val="20"/>
          <w:b w:val="1"/>
          <w:bCs w:val="1"/>
          <w:i w:val="1"/>
          <w:iCs w:val="1"/>
          <w:color w:val="auto"/>
        </w:rPr>
        <w:t>Treasury stock</w:t>
      </w:r>
    </w:p>
    <w:p>
      <w:pPr>
        <w:spacing w:after="0" w:line="25" w:lineRule="exact"/>
        <w:rPr>
          <w:sz w:val="20"/>
          <w:szCs w:val="20"/>
          <w:color w:val="auto"/>
        </w:rPr>
      </w:pPr>
    </w:p>
    <w:p>
      <w:pPr>
        <w:ind w:right="240"/>
        <w:spacing w:after="0" w:line="256" w:lineRule="auto"/>
        <w:rPr>
          <w:sz w:val="20"/>
          <w:szCs w:val="20"/>
          <w:color w:val="auto"/>
        </w:rPr>
      </w:pPr>
      <w:r>
        <w:rPr>
          <w:rFonts w:ascii="Arial" w:cs="Arial" w:eastAsia="Arial" w:hAnsi="Arial"/>
          <w:sz w:val="20"/>
          <w:szCs w:val="20"/>
          <w:color w:val="auto"/>
        </w:rPr>
        <w:t>Repurchases of shares of M&amp;T common stock are recorded at cost as a reduction of shareholders’ equity. Reissuances of shares of treasury stock are recorded at average cost.</w:t>
      </w:r>
    </w:p>
    <w:p>
      <w:pPr>
        <w:spacing w:after="0" w:line="15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7"/>
          <w:szCs w:val="17"/>
          <w:b w:val="1"/>
          <w:bCs w:val="1"/>
          <w:color w:val="auto"/>
        </w:rPr>
        <w:t>Investment securities</w:t>
      </w:r>
    </w:p>
    <w:p>
      <w:pPr>
        <w:spacing w:after="0" w:line="29" w:lineRule="exact"/>
        <w:rPr>
          <w:sz w:val="20"/>
          <w:szCs w:val="20"/>
          <w:color w:val="auto"/>
        </w:rPr>
      </w:pPr>
    </w:p>
    <w:p>
      <w:pPr>
        <w:ind w:right="160"/>
        <w:spacing w:after="0" w:line="248" w:lineRule="auto"/>
        <w:rPr>
          <w:sz w:val="20"/>
          <w:szCs w:val="20"/>
          <w:color w:val="auto"/>
        </w:rPr>
      </w:pPr>
      <w:r>
        <w:rPr>
          <w:rFonts w:ascii="Arial" w:cs="Arial" w:eastAsia="Arial" w:hAnsi="Arial"/>
          <w:sz w:val="20"/>
          <w:szCs w:val="20"/>
          <w:color w:val="auto"/>
        </w:rPr>
        <w:t>On January 1, 2018, the Company adopted amended guidance requiring equity investments with readily determinable fair values to be measured at fair value with changes in fair value recognized in the consolidated statement of income. This amended guidance excludes equity method investments, investments in consolidated subsidiaries, exchange membership ownership interests, and Federal Home Loan Bank of New York and Federal Reserve Bank of New York capital stock. Upon adoption the Company reclassified $17 million, after-tax effect, from accumulated other comprehensive income to retained earnings, representing the difference between fair value and the cost basis of equity investments with readily determinable fair values at January 1, 2018. The amortized cost and estimated fair value of investment securities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9"/>
              </w:rPr>
              <w:t>Amortized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5"/>
              <w:spacing w:after="0"/>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5"/>
        </w:trPr>
        <w:tc>
          <w:tcPr>
            <w:tcW w:w="44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76"/>
              <w:spacing w:after="0" w:line="145"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5"/>
              <w:spacing w:after="0" w:line="145"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54"/>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87"/>
              </w:rPr>
              <w:t>Gains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5"/>
              <w:spacing w:after="0"/>
              <w:rPr>
                <w:sz w:val="20"/>
                <w:szCs w:val="20"/>
                <w:color w:val="auto"/>
              </w:rPr>
            </w:pPr>
            <w:r>
              <w:rPr>
                <w:rFonts w:ascii="Arial" w:cs="Arial" w:eastAsia="Arial" w:hAnsi="Arial"/>
                <w:sz w:val="14"/>
                <w:szCs w:val="14"/>
                <w:b w:val="1"/>
                <w:bCs w:val="1"/>
                <w:color w:val="auto"/>
                <w:w w:val="78"/>
              </w:rPr>
              <w:t>Losses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1"/>
        </w:trPr>
        <w:tc>
          <w:tcPr>
            <w:tcW w:w="44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180" w:type="dxa"/>
            <w:vAlign w:val="bottom"/>
            <w:tcBorders>
              <w:top w:val="single" w:sz="8" w:color="auto"/>
            </w:tcBorders>
            <w:gridSpan w:val="4"/>
          </w:tcPr>
          <w:p>
            <w:pPr>
              <w:jc w:val="right"/>
              <w:ind w:right="675"/>
              <w:spacing w:after="0" w:line="151"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9,742</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9,767</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6,113,913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88,634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21,607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6,180,940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debt securities</w:t>
            </w:r>
          </w:p>
        </w:tc>
        <w:tc>
          <w:tcPr>
            <w:tcW w:w="18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133,829</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8,597</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127,278</w:t>
            </w:r>
          </w:p>
        </w:tc>
        <w:tc>
          <w:tcPr>
            <w:tcW w:w="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6,258,276</w:t>
            </w:r>
          </w:p>
        </w:tc>
        <w:tc>
          <w:tcPr>
            <w:tcW w:w="3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90,723</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30,223</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6,318,776</w:t>
            </w: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249,862</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250,148</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4,156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2,306,180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50,381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2,354,569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93,496</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87,094</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debt securities</w:t>
            </w:r>
          </w:p>
        </w:tc>
        <w:tc>
          <w:tcPr>
            <w:tcW w:w="18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2,656,917</w:t>
            </w:r>
          </w:p>
        </w:tc>
        <w:tc>
          <w:tcPr>
            <w:tcW w:w="3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62,462</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20,173</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2,699,206</w:t>
            </w: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440" w:type="dxa"/>
            <w:vAlign w:val="bottom"/>
          </w:tcPr>
          <w:p>
            <w:pPr>
              <w:spacing w:after="0"/>
              <w:rPr>
                <w:sz w:val="20"/>
                <w:szCs w:val="20"/>
                <w:color w:val="auto"/>
              </w:rPr>
            </w:pPr>
            <w:r>
              <w:rPr>
                <w:rFonts w:ascii="Arial" w:cs="Arial" w:eastAsia="Arial" w:hAnsi="Arial"/>
                <w:sz w:val="18"/>
                <w:szCs w:val="18"/>
                <w:color w:val="auto"/>
              </w:rPr>
              <w:t>Total debt securities</w:t>
            </w:r>
          </w:p>
        </w:tc>
        <w:tc>
          <w:tcPr>
            <w:tcW w:w="1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8,915,193</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153,185</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50,396</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9,017,982</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44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Equity and other securities:</w:t>
            </w:r>
          </w:p>
        </w:tc>
        <w:tc>
          <w:tcPr>
            <w:tcW w:w="18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40"/>
              <w:spacing w:after="0"/>
              <w:rPr>
                <w:sz w:val="20"/>
                <w:szCs w:val="20"/>
                <w:color w:val="auto"/>
              </w:rPr>
            </w:pPr>
            <w:r>
              <w:rPr>
                <w:rFonts w:ascii="Arial" w:cs="Arial" w:eastAsia="Arial" w:hAnsi="Arial"/>
                <w:sz w:val="18"/>
                <w:szCs w:val="18"/>
                <w:color w:val="auto"/>
              </w:rPr>
              <w:t>Readily marketable equity — at fair value</w:t>
            </w:r>
          </w:p>
        </w:tc>
        <w:tc>
          <w:tcPr>
            <w:tcW w:w="1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105,524</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34,786</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269</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140,041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 at cost</w:t>
            </w:r>
          </w:p>
        </w:tc>
        <w:tc>
          <w:tcPr>
            <w:tcW w:w="18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381,517</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381,517</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Total equity and other securities</w:t>
            </w:r>
          </w:p>
        </w:tc>
        <w:tc>
          <w:tcPr>
            <w:tcW w:w="1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487,041</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34,786</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269</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521,558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800" w:type="dxa"/>
            <w:vAlign w:val="bottom"/>
            <w:vMerge w:val="restart"/>
          </w:tcPr>
          <w:p>
            <w:pPr>
              <w:jc w:val="right"/>
              <w:ind w:right="312"/>
              <w:spacing w:after="0"/>
              <w:rPr>
                <w:sz w:val="20"/>
                <w:szCs w:val="20"/>
                <w:color w:val="auto"/>
              </w:rPr>
            </w:pPr>
            <w:r>
              <w:rPr>
                <w:rFonts w:ascii="Arial" w:cs="Arial" w:eastAsia="Arial" w:hAnsi="Arial"/>
                <w:sz w:val="18"/>
                <w:szCs w:val="18"/>
                <w:color w:val="auto"/>
              </w:rPr>
              <w:t>124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444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44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546" w:right="19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4"/>
                <w:szCs w:val="14"/>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5"/>
        </w:trPr>
        <w:tc>
          <w:tcPr>
            <w:tcW w:w="6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76"/>
              <w:spacing w:after="0" w:line="145"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78"/>
              </w:rPr>
              <w:t>Losses</w:t>
            </w:r>
          </w:p>
        </w:tc>
        <w:tc>
          <w:tcPr>
            <w:tcW w:w="20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1"/>
        </w:trPr>
        <w:tc>
          <w:tcPr>
            <w:tcW w:w="6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gridSpan w:val="5"/>
          </w:tcPr>
          <w:p>
            <w:pPr>
              <w:ind w:left="540"/>
              <w:spacing w:after="0" w:line="151" w:lineRule="exact"/>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1,346,782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1,336,931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7,383,340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15,754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182,103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7,216,991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debt securities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137,617</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126,906</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8,869,423</w:t>
            </w:r>
          </w:p>
        </w:tc>
        <w:tc>
          <w:tcPr>
            <w:tcW w:w="2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16,528</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203,442</w:t>
            </w: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8,682,509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446,542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446,303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7,494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2,745,776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4,165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55,111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2,694,830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113,160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103,178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Other debt securities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3,668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3,316,640</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16,532</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77,689</w:t>
            </w: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3,255,483</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120" w:type="dxa"/>
            <w:vAlign w:val="bottom"/>
          </w:tcPr>
          <w:p>
            <w:pPr>
              <w:spacing w:after="0"/>
              <w:rPr>
                <w:sz w:val="20"/>
                <w:szCs w:val="20"/>
                <w:color w:val="auto"/>
              </w:rPr>
            </w:pPr>
            <w:r>
              <w:rPr>
                <w:rFonts w:ascii="Arial" w:cs="Arial" w:eastAsia="Arial" w:hAnsi="Arial"/>
                <w:sz w:val="18"/>
                <w:szCs w:val="18"/>
                <w:color w:val="auto"/>
              </w:rPr>
              <w:t>Total debt securities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12,186,063</w:t>
            </w:r>
          </w:p>
        </w:tc>
        <w:tc>
          <w:tcPr>
            <w:tcW w:w="2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33,060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281,131</w:t>
            </w:r>
          </w:p>
        </w:tc>
        <w:tc>
          <w:tcPr>
            <w:tcW w:w="220" w:type="dxa"/>
            <w:vAlign w:val="bottom"/>
          </w:tcPr>
          <w:p>
            <w:pPr>
              <w:spacing w:after="0"/>
              <w:rPr>
                <w:sz w:val="22"/>
                <w:szCs w:val="22"/>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11,937,992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12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Equity and other securities:</w:t>
            </w:r>
          </w:p>
        </w:tc>
        <w:tc>
          <w:tcPr>
            <w:tcW w:w="2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120" w:type="dxa"/>
            <w:vAlign w:val="bottom"/>
          </w:tcPr>
          <w:p>
            <w:pPr>
              <w:ind w:left="240"/>
              <w:spacing w:after="0"/>
              <w:rPr>
                <w:sz w:val="20"/>
                <w:szCs w:val="20"/>
                <w:color w:val="auto"/>
              </w:rPr>
            </w:pPr>
            <w:r>
              <w:rPr>
                <w:rFonts w:ascii="Arial" w:cs="Arial" w:eastAsia="Arial" w:hAnsi="Arial"/>
                <w:sz w:val="18"/>
                <w:szCs w:val="18"/>
                <w:color w:val="auto"/>
              </w:rPr>
              <w:t>Readily marketable equity — at fair value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77,440</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17,295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818</w:t>
            </w:r>
          </w:p>
        </w:tc>
        <w:tc>
          <w:tcPr>
            <w:tcW w:w="22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93,917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 at cost</w:t>
            </w: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599,747</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599,747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Total equity and other securities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677,187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17,295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818</w:t>
            </w:r>
          </w:p>
        </w:tc>
        <w:tc>
          <w:tcPr>
            <w:tcW w:w="2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693,664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right="440" w:firstLine="598"/>
        <w:spacing w:after="0" w:line="256" w:lineRule="auto"/>
        <w:rPr>
          <w:sz w:val="20"/>
          <w:szCs w:val="20"/>
          <w:color w:val="auto"/>
        </w:rPr>
      </w:pPr>
      <w:r>
        <w:rPr>
          <w:rFonts w:ascii="Arial" w:cs="Arial" w:eastAsia="Arial" w:hAnsi="Arial"/>
          <w:sz w:val="20"/>
          <w:szCs w:val="20"/>
          <w:color w:val="auto"/>
        </w:rPr>
        <w:t>No investment in securities of a single non-U.S. Government, government agency or government guaranteed issuer exceeded ten percent of shareholders’ equity at December 31, 2019.</w:t>
      </w:r>
    </w:p>
    <w:p>
      <w:pPr>
        <w:ind w:firstLine="598"/>
        <w:spacing w:after="0" w:line="256" w:lineRule="auto"/>
        <w:rPr>
          <w:sz w:val="20"/>
          <w:szCs w:val="20"/>
          <w:color w:val="auto"/>
        </w:rPr>
      </w:pPr>
      <w:r>
        <w:rPr>
          <w:rFonts w:ascii="Arial" w:cs="Arial" w:eastAsia="Arial" w:hAnsi="Arial"/>
          <w:sz w:val="20"/>
          <w:szCs w:val="20"/>
          <w:color w:val="auto"/>
        </w:rPr>
        <w:t>As of December 31, 2019, the latest available investment ratings of all obligations of states and political subdivisions, privately issued mortgage-backed securities and other debt securities were: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40" w:type="dxa"/>
            <w:vAlign w:val="bottom"/>
          </w:tcPr>
          <w:p>
            <w:pPr>
              <w:spacing w:after="0"/>
              <w:rPr>
                <w:sz w:val="14"/>
                <w:szCs w:val="14"/>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Estimated</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w w:val="92"/>
              </w:rPr>
              <w:t>Average Credit Rating of Fair Value Amount</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44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38"/>
              <w:spacing w:after="0" w:line="129" w:lineRule="exact"/>
              <w:rPr>
                <w:sz w:val="20"/>
                <w:szCs w:val="20"/>
                <w:color w:val="auto"/>
              </w:rPr>
            </w:pPr>
            <w:r>
              <w:rPr>
                <w:rFonts w:ascii="Arial" w:cs="Arial" w:eastAsia="Arial" w:hAnsi="Arial"/>
                <w:sz w:val="14"/>
                <w:szCs w:val="14"/>
                <w:b w:val="1"/>
                <w:bCs w:val="1"/>
                <w:color w:val="auto"/>
              </w:rPr>
              <w:t>A or</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BBB</w:t>
            </w:r>
          </w:p>
        </w:tc>
        <w:tc>
          <w:tcPr>
            <w:tcW w:w="140" w:type="dxa"/>
            <w:vAlign w:val="bottom"/>
          </w:tcPr>
          <w:p>
            <w:pPr>
              <w:spacing w:after="0"/>
              <w:rPr>
                <w:sz w:val="11"/>
                <w:szCs w:val="11"/>
                <w:color w:val="auto"/>
              </w:rPr>
            </w:pPr>
          </w:p>
        </w:tc>
        <w:tc>
          <w:tcPr>
            <w:tcW w:w="8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8"/>
              </w:rPr>
              <w:t>BB</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 or Less</w:t>
            </w:r>
          </w:p>
        </w:tc>
        <w:tc>
          <w:tcPr>
            <w:tcW w:w="120" w:type="dxa"/>
            <w:vAlign w:val="bottom"/>
          </w:tcPr>
          <w:p>
            <w:pPr>
              <w:spacing w:after="0"/>
              <w:rPr>
                <w:sz w:val="11"/>
                <w:szCs w:val="11"/>
                <w:color w:val="auto"/>
              </w:rPr>
            </w:pPr>
          </w:p>
        </w:tc>
        <w:tc>
          <w:tcPr>
            <w:tcW w:w="600" w:type="dxa"/>
            <w:vAlign w:val="bottom"/>
          </w:tcPr>
          <w:p>
            <w:pPr>
              <w:jc w:val="center"/>
              <w:ind w:right="58"/>
              <w:spacing w:after="0" w:line="129" w:lineRule="exact"/>
              <w:rPr>
                <w:sz w:val="20"/>
                <w:szCs w:val="20"/>
                <w:color w:val="auto"/>
              </w:rPr>
            </w:pPr>
            <w:r>
              <w:rPr>
                <w:rFonts w:ascii="Arial" w:cs="Arial" w:eastAsia="Arial" w:hAnsi="Arial"/>
                <w:sz w:val="14"/>
                <w:szCs w:val="14"/>
                <w:b w:val="1"/>
                <w:bCs w:val="1"/>
                <w:color w:val="auto"/>
                <w:w w:val="94"/>
              </w:rPr>
              <w:t>Not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Cost</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8"/>
              <w:spacing w:after="0"/>
              <w:rPr>
                <w:sz w:val="20"/>
                <w:szCs w:val="20"/>
                <w:color w:val="auto"/>
              </w:rPr>
            </w:pPr>
            <w:r>
              <w:rPr>
                <w:rFonts w:ascii="Arial" w:cs="Arial" w:eastAsia="Arial" w:hAnsi="Arial"/>
                <w:sz w:val="14"/>
                <w:szCs w:val="14"/>
                <w:b w:val="1"/>
                <w:bCs w:val="1"/>
                <w:color w:val="auto"/>
                <w:w w:val="98"/>
              </w:rPr>
              <w:t>Better</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Rated</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4440" w:type="dxa"/>
            <w:vAlign w:val="bottom"/>
          </w:tcPr>
          <w:p>
            <w:pPr>
              <w:spacing w:after="0"/>
              <w:rPr>
                <w:sz w:val="20"/>
                <w:szCs w:val="20"/>
                <w:color w:val="auto"/>
              </w:rPr>
            </w:pPr>
            <w:r>
              <w:rPr>
                <w:rFonts w:ascii="Arial" w:cs="Arial" w:eastAsia="Arial" w:hAnsi="Arial"/>
                <w:sz w:val="18"/>
                <w:szCs w:val="18"/>
                <w:color w:val="auto"/>
              </w:rPr>
              <w:t>Obligations of states and political</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40" w:type="dxa"/>
            <w:vAlign w:val="bottom"/>
          </w:tcPr>
          <w:p>
            <w:pPr>
              <w:ind w:left="140"/>
              <w:spacing w:after="0"/>
              <w:rPr>
                <w:sz w:val="20"/>
                <w:szCs w:val="20"/>
                <w:color w:val="auto"/>
              </w:rPr>
            </w:pPr>
            <w:r>
              <w:rPr>
                <w:rFonts w:ascii="Arial" w:cs="Arial" w:eastAsia="Arial" w:hAnsi="Arial"/>
                <w:sz w:val="18"/>
                <w:szCs w:val="18"/>
                <w:color w:val="auto"/>
              </w:rPr>
              <w:t>subdivisions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4,916</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4,931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4,809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Privately issued mortgage-backed</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93,512</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87,110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8,015</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8,768</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20,671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debt securities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137,068</w:t>
            </w:r>
          </w:p>
        </w:tc>
        <w:tc>
          <w:tcPr>
            <w:tcW w:w="3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130,517</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4,740</w:t>
            </w: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74,770</w:t>
            </w: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19,106</w:t>
            </w: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235,496</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222,558</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17,564</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83,660</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19,106</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20,671</w:t>
            </w: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right="320" w:firstLine="598"/>
        <w:spacing w:after="0" w:line="275" w:lineRule="auto"/>
        <w:rPr>
          <w:sz w:val="20"/>
          <w:szCs w:val="20"/>
          <w:color w:val="auto"/>
        </w:rPr>
      </w:pPr>
      <w:r>
        <w:rPr>
          <w:rFonts w:ascii="Arial" w:cs="Arial" w:eastAsia="Arial" w:hAnsi="Arial"/>
          <w:sz w:val="20"/>
          <w:szCs w:val="20"/>
          <w:color w:val="auto"/>
        </w:rPr>
        <w:t>The amortized cost and estimated fair value of collateralized mortgage obligations included in mortgage-backed securities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left="398"/>
              <w:spacing w:after="0"/>
              <w:rPr>
                <w:sz w:val="20"/>
                <w:szCs w:val="20"/>
                <w:color w:val="auto"/>
              </w:rPr>
            </w:pPr>
            <w:r>
              <w:rPr>
                <w:rFonts w:ascii="Arial" w:cs="Arial" w:eastAsia="Arial" w:hAnsi="Arial"/>
                <w:sz w:val="14"/>
                <w:szCs w:val="14"/>
                <w:b w:val="1"/>
                <w:bCs w:val="1"/>
                <w:color w:val="auto"/>
                <w:w w:val="89"/>
              </w:rPr>
              <w:t>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426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8"/>
              <w:spacing w:after="0" w:line="151"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0"/>
              <w:spacing w:after="0" w:line="151"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3"/>
                <w:szCs w:val="13"/>
                <w:color w:val="auto"/>
              </w:rPr>
            </w:pPr>
          </w:p>
        </w:tc>
      </w:tr>
      <w:tr>
        <w:trPr>
          <w:trHeight w:val="151"/>
        </w:trPr>
        <w:tc>
          <w:tcPr>
            <w:tcW w:w="426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left="378"/>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50"/>
        </w:trPr>
        <w:tc>
          <w:tcPr>
            <w:tcW w:w="4260" w:type="dxa"/>
            <w:vAlign w:val="bottom"/>
            <w:shd w:val="clear" w:color="auto" w:fill="CFF0FC"/>
          </w:tcPr>
          <w:p>
            <w:pPr>
              <w:spacing w:after="0"/>
              <w:rPr>
                <w:sz w:val="20"/>
                <w:szCs w:val="20"/>
                <w:color w:val="auto"/>
              </w:rPr>
            </w:pPr>
            <w:r>
              <w:rPr>
                <w:rFonts w:ascii="Arial" w:cs="Arial" w:eastAsia="Arial" w:hAnsi="Arial"/>
                <w:sz w:val="20"/>
                <w:szCs w:val="20"/>
                <w:color w:val="auto"/>
              </w:rPr>
              <w:t>Collateralized mortgage obligations:</w:t>
            </w:r>
          </w:p>
        </w:tc>
        <w:tc>
          <w:tcPr>
            <w:tcW w:w="4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4260" w:type="dxa"/>
            <w:vAlign w:val="bottom"/>
          </w:tcPr>
          <w:p>
            <w:pPr>
              <w:ind w:left="240"/>
              <w:spacing w:after="0"/>
              <w:rPr>
                <w:sz w:val="20"/>
                <w:szCs w:val="20"/>
                <w:color w:val="auto"/>
              </w:rPr>
            </w:pPr>
            <w:r>
              <w:rPr>
                <w:rFonts w:ascii="Arial" w:cs="Arial" w:eastAsia="Arial" w:hAnsi="Arial"/>
                <w:sz w:val="20"/>
                <w:szCs w:val="20"/>
                <w:color w:val="auto"/>
              </w:rPr>
              <w:t>Amortized cost</w:t>
            </w:r>
          </w:p>
        </w:tc>
        <w:tc>
          <w:tcPr>
            <w:tcW w:w="49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58"/>
              <w:spacing w:after="0"/>
              <w:rPr>
                <w:sz w:val="20"/>
                <w:szCs w:val="20"/>
                <w:color w:val="auto"/>
              </w:rPr>
            </w:pPr>
            <w:r>
              <w:rPr>
                <w:rFonts w:ascii="Arial" w:cs="Arial" w:eastAsia="Arial" w:hAnsi="Arial"/>
                <w:sz w:val="20"/>
                <w:szCs w:val="20"/>
                <w:color w:val="auto"/>
              </w:rPr>
              <w:t>94,817</w:t>
            </w:r>
          </w:p>
        </w:tc>
        <w:tc>
          <w:tcPr>
            <w:tcW w:w="460" w:type="dxa"/>
            <w:vAlign w:val="bottom"/>
          </w:tcPr>
          <w:p>
            <w:pPr>
              <w:jc w:val="right"/>
              <w:ind w:right="119"/>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w w:val="91"/>
              </w:rPr>
              <w:t>115,171</w:t>
            </w:r>
          </w:p>
        </w:tc>
        <w:tc>
          <w:tcPr>
            <w:tcW w:w="100" w:type="dxa"/>
            <w:vAlign w:val="bottom"/>
          </w:tcPr>
          <w:p>
            <w:pPr>
              <w:spacing w:after="0"/>
              <w:rPr>
                <w:sz w:val="21"/>
                <w:szCs w:val="21"/>
                <w:color w:val="auto"/>
              </w:rPr>
            </w:pPr>
          </w:p>
        </w:tc>
      </w:tr>
      <w:tr>
        <w:trPr>
          <w:trHeight w:val="250"/>
        </w:trPr>
        <w:tc>
          <w:tcPr>
            <w:tcW w:w="42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Estimated fair value</w:t>
            </w:r>
          </w:p>
        </w:tc>
        <w:tc>
          <w:tcPr>
            <w:tcW w:w="4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8"/>
              <w:spacing w:after="0"/>
              <w:rPr>
                <w:sz w:val="20"/>
                <w:szCs w:val="20"/>
                <w:color w:val="auto"/>
              </w:rPr>
            </w:pPr>
            <w:r>
              <w:rPr>
                <w:rFonts w:ascii="Arial" w:cs="Arial" w:eastAsia="Arial" w:hAnsi="Arial"/>
                <w:sz w:val="20"/>
                <w:szCs w:val="20"/>
                <w:color w:val="auto"/>
              </w:rPr>
              <w:t>88,410</w:t>
            </w:r>
          </w:p>
        </w:tc>
        <w:tc>
          <w:tcPr>
            <w:tcW w:w="4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1"/>
              </w:rPr>
              <w:t>105,155</w:t>
            </w:r>
          </w:p>
        </w:tc>
        <w:tc>
          <w:tcPr>
            <w:tcW w:w="100" w:type="dxa"/>
            <w:vAlign w:val="bottom"/>
            <w:shd w:val="clear" w:color="auto" w:fill="CFF0FC"/>
          </w:tcPr>
          <w:p>
            <w:pPr>
              <w:spacing w:after="0"/>
              <w:rPr>
                <w:sz w:val="21"/>
                <w:szCs w:val="21"/>
                <w:color w:val="auto"/>
              </w:rPr>
            </w:pPr>
          </w:p>
        </w:tc>
      </w:tr>
      <w:tr>
        <w:trPr>
          <w:trHeight w:val="420"/>
        </w:trPr>
        <w:tc>
          <w:tcPr>
            <w:tcW w:w="4260" w:type="dxa"/>
            <w:vAlign w:val="bottom"/>
          </w:tcPr>
          <w:p>
            <w:pPr>
              <w:spacing w:after="0"/>
              <w:rPr>
                <w:sz w:val="24"/>
                <w:szCs w:val="24"/>
                <w:color w:val="auto"/>
              </w:rPr>
            </w:pPr>
          </w:p>
        </w:tc>
        <w:tc>
          <w:tcPr>
            <w:tcW w:w="4760" w:type="dxa"/>
            <w:vAlign w:val="bottom"/>
          </w:tcPr>
          <w:p>
            <w:pPr>
              <w:jc w:val="right"/>
              <w:ind w:right="3086"/>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2"/>
        </w:trPr>
        <w:tc>
          <w:tcPr>
            <w:tcW w:w="4260" w:type="dxa"/>
            <w:vAlign w:val="bottom"/>
            <w:tcBorders>
              <w:bottom w:val="single" w:sz="8" w:color="9A9A9A"/>
            </w:tcBorders>
          </w:tcPr>
          <w:p>
            <w:pPr>
              <w:spacing w:after="0"/>
              <w:rPr>
                <w:sz w:val="9"/>
                <w:szCs w:val="9"/>
                <w:color w:val="auto"/>
              </w:rPr>
            </w:pPr>
          </w:p>
        </w:tc>
        <w:tc>
          <w:tcPr>
            <w:tcW w:w="47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25" w:name="page126"/>
    <w:bookmarkEnd w:id="125"/>
    <w:p>
      <w:pPr>
        <w:ind w:right="100" w:firstLine="598"/>
        <w:spacing w:after="0" w:line="251" w:lineRule="auto"/>
        <w:rPr>
          <w:sz w:val="20"/>
          <w:szCs w:val="20"/>
          <w:color w:val="auto"/>
        </w:rPr>
      </w:pPr>
      <w:r>
        <w:rPr>
          <w:rFonts w:ascii="Arial" w:cs="Arial" w:eastAsia="Arial" w:hAnsi="Arial"/>
          <w:sz w:val="20"/>
          <w:szCs w:val="20"/>
          <w:color w:val="auto"/>
        </w:rPr>
        <w:t>Gross realized gains on investment securities were $23 million in 2017. During 2017, the Company sold a portion of its Fannie Mae and Freddie Mac preferred stock holdings held in the available-for-sale investment securities portfolio for a gain of $18 million. There were no significant gross realized gains or losses from sales of investment securities in 2019 or 2018. There were no significant gross realized losses from sales of investment securities in 2017.</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19"/>
          <w:szCs w:val="19"/>
          <w:color w:val="auto"/>
        </w:rPr>
        <w:t>At December 31, 2019, the amortized cost and estimated fair value of debt securities by contractual maturity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0"/>
              </w:rPr>
              <w:t>Amortized</w:t>
            </w: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7"/>
        </w:trPr>
        <w:tc>
          <w:tcPr>
            <w:tcW w:w="4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83"/>
              </w:rPr>
              <w:t>Cost</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1"/>
        </w:trPr>
        <w:tc>
          <w:tcPr>
            <w:tcW w:w="43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ind w:left="800"/>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available for sale:</w:t>
            </w:r>
          </w:p>
        </w:tc>
        <w:tc>
          <w:tcPr>
            <w:tcW w:w="4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4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4,418</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4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10,717</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4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99,212</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Due after ten years</w:t>
            </w:r>
          </w:p>
        </w:tc>
        <w:tc>
          <w:tcPr>
            <w:tcW w:w="40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4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144,347</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 available for sale</w:t>
            </w:r>
          </w:p>
        </w:tc>
        <w:tc>
          <w:tcPr>
            <w:tcW w:w="40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6,113,929</w:t>
            </w:r>
          </w:p>
        </w:tc>
        <w:tc>
          <w:tcPr>
            <w:tcW w:w="4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6,180,956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2"/>
                <w:szCs w:val="22"/>
                <w:color w:val="auto"/>
              </w:rPr>
            </w:pPr>
          </w:p>
        </w:tc>
        <w:tc>
          <w:tcPr>
            <w:tcW w:w="4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6,258,276</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6,318,776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38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Debt securities held to maturity:</w:t>
            </w:r>
          </w:p>
        </w:tc>
        <w:tc>
          <w:tcPr>
            <w:tcW w:w="40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4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251,457</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251,749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4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2,545</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after ten years</w:t>
            </w:r>
          </w:p>
        </w:tc>
        <w:tc>
          <w:tcPr>
            <w:tcW w:w="40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4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FF0FC"/>
          </w:tcPr>
          <w:p>
            <w:pPr>
              <w:spacing w:after="0"/>
              <w:rPr>
                <w:sz w:val="18"/>
                <w:szCs w:val="18"/>
                <w:color w:val="auto"/>
              </w:rPr>
            </w:pPr>
          </w:p>
        </w:tc>
        <w:tc>
          <w:tcPr>
            <w:tcW w:w="4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257,241</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257,543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Mortgage-backed securities held to maturity</w:t>
            </w:r>
          </w:p>
        </w:tc>
        <w:tc>
          <w:tcPr>
            <w:tcW w:w="40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2,399,676</w:t>
            </w:r>
          </w:p>
        </w:tc>
        <w:tc>
          <w:tcPr>
            <w:tcW w:w="4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2,441,663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FF0FC"/>
          </w:tcPr>
          <w:p>
            <w:pPr>
              <w:spacing w:after="0"/>
              <w:rPr>
                <w:sz w:val="18"/>
                <w:szCs w:val="18"/>
                <w:color w:val="auto"/>
              </w:rPr>
            </w:pPr>
          </w:p>
        </w:tc>
        <w:tc>
          <w:tcPr>
            <w:tcW w:w="4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2,656,917</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2,699,206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4080" w:type="dxa"/>
            <w:vAlign w:val="bottom"/>
            <w:tcBorders>
              <w:top w:val="single" w:sz="8" w:color="CFF0FC"/>
              <w:bottom w:val="single" w:sz="8" w:color="CFF0FC"/>
            </w:tcBorders>
            <w:vMerge w:val="restart"/>
          </w:tcPr>
          <w:p>
            <w:pPr>
              <w:jc w:val="right"/>
              <w:ind w:right="2532"/>
              <w:spacing w:after="0"/>
              <w:rPr>
                <w:sz w:val="20"/>
                <w:szCs w:val="20"/>
                <w:color w:val="auto"/>
              </w:rPr>
            </w:pPr>
            <w:r>
              <w:rPr>
                <w:rFonts w:ascii="Arial" w:cs="Arial" w:eastAsia="Arial" w:hAnsi="Arial"/>
                <w:sz w:val="18"/>
                <w:szCs w:val="18"/>
                <w:color w:val="auto"/>
              </w:rPr>
              <w:t>126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438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38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26" w:name="page127"/>
    <w:bookmarkEnd w:id="126"/>
    <w:p>
      <w:pPr>
        <w:ind w:right="80" w:firstLine="598"/>
        <w:spacing w:after="0" w:line="302" w:lineRule="auto"/>
        <w:rPr>
          <w:sz w:val="20"/>
          <w:szCs w:val="20"/>
          <w:color w:val="auto"/>
        </w:rPr>
      </w:pPr>
      <w:r>
        <w:rPr>
          <w:rFonts w:ascii="Arial" w:cs="Arial" w:eastAsia="Arial" w:hAnsi="Arial"/>
          <w:sz w:val="19"/>
          <w:szCs w:val="19"/>
          <w:color w:val="auto"/>
        </w:rPr>
        <w:t>A summary of investment securities that as of December 31, 2019 and 2018 had been in a continuous unrealized loss position for less than twelve months and those that had been in a continuous unrealized loss position for twelve months or longer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60" w:type="dxa"/>
            <w:vAlign w:val="bottom"/>
            <w:gridSpan w:val="5"/>
          </w:tcPr>
          <w:p>
            <w:pPr>
              <w:ind w:left="380"/>
              <w:spacing w:after="0"/>
              <w:rPr>
                <w:sz w:val="20"/>
                <w:szCs w:val="20"/>
                <w:color w:val="auto"/>
              </w:rPr>
            </w:pPr>
            <w:r>
              <w:rPr>
                <w:rFonts w:ascii="Arial" w:cs="Arial" w:eastAsia="Arial" w:hAnsi="Arial"/>
                <w:sz w:val="14"/>
                <w:szCs w:val="14"/>
                <w:b w:val="1"/>
                <w:bCs w:val="1"/>
                <w:color w:val="auto"/>
              </w:rPr>
              <w:t>Less Than 12 Months</w:t>
            </w:r>
          </w:p>
        </w:tc>
        <w:tc>
          <w:tcPr>
            <w:tcW w:w="23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12 Months or More</w:t>
            </w:r>
          </w:p>
        </w:tc>
        <w:tc>
          <w:tcPr>
            <w:tcW w:w="0" w:type="dxa"/>
            <w:vAlign w:val="bottom"/>
          </w:tcPr>
          <w:p>
            <w:pPr>
              <w:spacing w:after="0"/>
              <w:rPr>
                <w:sz w:val="1"/>
                <w:szCs w:val="1"/>
                <w:color w:val="auto"/>
              </w:rPr>
            </w:pPr>
          </w:p>
        </w:tc>
      </w:tr>
      <w:tr>
        <w:trPr>
          <w:trHeight w:val="128"/>
        </w:trPr>
        <w:tc>
          <w:tcPr>
            <w:tcW w:w="59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rPr>
              <w:t>Fair</w:t>
            </w:r>
          </w:p>
        </w:tc>
        <w:tc>
          <w:tcPr>
            <w:tcW w:w="10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Unrealized</w:t>
            </w:r>
          </w:p>
        </w:tc>
        <w:tc>
          <w:tcPr>
            <w:tcW w:w="3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rPr>
              <w:t>Fair</w:t>
            </w:r>
          </w:p>
        </w:tc>
        <w:tc>
          <w:tcPr>
            <w:tcW w:w="106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Value</w:t>
            </w:r>
          </w:p>
        </w:tc>
        <w:tc>
          <w:tcPr>
            <w:tcW w:w="17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78"/>
              </w:rPr>
              <w:t>Losses</w:t>
            </w:r>
          </w:p>
        </w:tc>
        <w:tc>
          <w:tcPr>
            <w:tcW w:w="11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Value</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51"/>
        </w:trPr>
        <w:tc>
          <w:tcPr>
            <w:tcW w:w="59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3"/>
          </w:tcPr>
          <w:p>
            <w:pPr>
              <w:ind w:left="800"/>
              <w:spacing w:after="0" w:line="151" w:lineRule="exact"/>
              <w:rPr>
                <w:sz w:val="20"/>
                <w:szCs w:val="20"/>
                <w:color w:val="auto"/>
              </w:rPr>
            </w:pPr>
            <w:r>
              <w:rPr>
                <w:rFonts w:ascii="Arial" w:cs="Arial" w:eastAsia="Arial" w:hAnsi="Arial"/>
                <w:sz w:val="14"/>
                <w:szCs w:val="14"/>
                <w:b w:val="1"/>
                <w:bCs w:val="1"/>
                <w:color w:val="auto"/>
                <w:w w:val="93"/>
              </w:rPr>
              <w:t>(In thousands)</w:t>
            </w:r>
          </w:p>
        </w:tc>
        <w:tc>
          <w:tcPr>
            <w:tcW w:w="8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3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w:t>
            </w:r>
          </w:p>
        </w:tc>
        <w:tc>
          <w:tcPr>
            <w:tcW w:w="3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4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277</w:t>
            </w:r>
          </w:p>
        </w:tc>
        <w:tc>
          <w:tcPr>
            <w:tcW w:w="3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4"/>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117,299</w:t>
            </w:r>
          </w:p>
        </w:tc>
        <w:tc>
          <w:tcPr>
            <w:tcW w:w="36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2,002,364</w:t>
            </w:r>
          </w:p>
        </w:tc>
        <w:tc>
          <w:tcPr>
            <w:tcW w:w="3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(21,385)</w:t>
            </w:r>
          </w:p>
        </w:tc>
        <w:tc>
          <w:tcPr>
            <w:tcW w:w="0" w:type="dxa"/>
            <w:vAlign w:val="bottom"/>
          </w:tcPr>
          <w:p>
            <w:pPr>
              <w:spacing w:after="0"/>
              <w:rPr>
                <w:sz w:val="1"/>
                <w:szCs w:val="1"/>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Other debt securities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6,600</w:t>
            </w:r>
          </w:p>
        </w:tc>
        <w:tc>
          <w:tcPr>
            <w:tcW w:w="3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(354)</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56,313</w:t>
            </w:r>
          </w:p>
        </w:tc>
        <w:tc>
          <w:tcPr>
            <w:tcW w:w="3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(8,243)</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125,305</w:t>
            </w:r>
          </w:p>
        </w:tc>
        <w:tc>
          <w:tcPr>
            <w:tcW w:w="3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(583)</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2,061,847</w:t>
            </w:r>
          </w:p>
        </w:tc>
        <w:tc>
          <w:tcPr>
            <w:tcW w:w="3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(29,640)</w:t>
            </w:r>
          </w:p>
        </w:tc>
        <w:tc>
          <w:tcPr>
            <w:tcW w:w="0" w:type="dxa"/>
            <w:vAlign w:val="bottom"/>
          </w:tcPr>
          <w:p>
            <w:pPr>
              <w:spacing w:after="0"/>
              <w:rPr>
                <w:sz w:val="1"/>
                <w:szCs w:val="1"/>
                <w:color w:val="auto"/>
              </w:rPr>
            </w:pPr>
          </w:p>
        </w:tc>
      </w:tr>
      <w:tr>
        <w:trPr>
          <w:trHeight w:val="217"/>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securities held to maturity:</w:t>
            </w: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issued or guaranteed</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2,727</w:t>
            </w:r>
          </w:p>
        </w:tc>
        <w:tc>
          <w:tcPr>
            <w:tcW w:w="3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145,235</w:t>
            </w:r>
          </w:p>
        </w:tc>
        <w:tc>
          <w:tcPr>
            <w:tcW w:w="3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23"/>
        </w:trPr>
        <w:tc>
          <w:tcPr>
            <w:tcW w:w="5940" w:type="dxa"/>
            <w:vAlign w:val="bottom"/>
          </w:tcPr>
          <w:p>
            <w:pPr>
              <w:ind w:left="240"/>
              <w:spacing w:after="0"/>
              <w:rPr>
                <w:sz w:val="20"/>
                <w:szCs w:val="20"/>
                <w:color w:val="auto"/>
              </w:rPr>
            </w:pPr>
            <w:r>
              <w:rPr>
                <w:rFonts w:ascii="Arial" w:cs="Arial" w:eastAsia="Arial" w:hAnsi="Arial"/>
                <w:sz w:val="18"/>
                <w:szCs w:val="18"/>
                <w:color w:val="auto"/>
              </w:rPr>
              <w:t>Privately issued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49,656</w:t>
            </w:r>
          </w:p>
        </w:tc>
        <w:tc>
          <w:tcPr>
            <w:tcW w:w="3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(18,181)</w:t>
            </w: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2,727</w:t>
            </w: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194,891</w:t>
            </w:r>
          </w:p>
        </w:tc>
        <w:tc>
          <w:tcPr>
            <w:tcW w:w="3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(20,168)</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940" w:type="dxa"/>
            <w:vAlign w:val="bottom"/>
            <w:vMerge w:val="continue"/>
          </w:tcPr>
          <w:p>
            <w:pPr>
              <w:spacing w:after="0"/>
              <w:rPr>
                <w:sz w:val="22"/>
                <w:szCs w:val="22"/>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128,032</w:t>
            </w:r>
          </w:p>
        </w:tc>
        <w:tc>
          <w:tcPr>
            <w:tcW w:w="360" w:type="dxa"/>
            <w:vAlign w:val="bottom"/>
          </w:tcPr>
          <w:p>
            <w:pPr>
              <w:spacing w:after="0"/>
              <w:rPr>
                <w:sz w:val="22"/>
                <w:szCs w:val="22"/>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(588)</w:t>
            </w: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2,256,738</w:t>
            </w:r>
          </w:p>
        </w:tc>
        <w:tc>
          <w:tcPr>
            <w:tcW w:w="360" w:type="dxa"/>
            <w:vAlign w:val="bottom"/>
          </w:tcPr>
          <w:p>
            <w:pPr>
              <w:spacing w:after="0"/>
              <w:rPr>
                <w:sz w:val="22"/>
                <w:szCs w:val="22"/>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(49,808)</w:t>
            </w:r>
          </w:p>
        </w:tc>
        <w:tc>
          <w:tcPr>
            <w:tcW w:w="0" w:type="dxa"/>
            <w:vAlign w:val="bottom"/>
          </w:tcPr>
          <w:p>
            <w:pPr>
              <w:spacing w:after="0"/>
              <w:rPr>
                <w:sz w:val="1"/>
                <w:szCs w:val="1"/>
                <w:color w:val="auto"/>
              </w:rPr>
            </w:pPr>
          </w:p>
        </w:tc>
      </w:tr>
      <w:tr>
        <w:trPr>
          <w:trHeight w:val="203"/>
        </w:trPr>
        <w:tc>
          <w:tcPr>
            <w:tcW w:w="59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40" w:type="dxa"/>
            <w:vAlign w:val="bottom"/>
          </w:tcPr>
          <w:p>
            <w:pPr>
              <w:spacing w:after="0"/>
              <w:rPr>
                <w:sz w:val="20"/>
                <w:szCs w:val="20"/>
                <w:color w:val="auto"/>
              </w:rPr>
            </w:pPr>
            <w:r>
              <w:rPr>
                <w:rFonts w:ascii="Arial" w:cs="Arial" w:eastAsia="Arial" w:hAnsi="Arial"/>
                <w:sz w:val="18"/>
                <w:szCs w:val="18"/>
                <w:color w:val="auto"/>
              </w:rPr>
              <w:t>December 31, 2018</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4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273</w:t>
            </w:r>
          </w:p>
        </w:tc>
        <w:tc>
          <w:tcPr>
            <w:tcW w:w="36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1,335,559</w:t>
            </w:r>
          </w:p>
        </w:tc>
        <w:tc>
          <w:tcPr>
            <w:tcW w:w="3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(9,849)</w:t>
            </w:r>
          </w:p>
        </w:tc>
        <w:tc>
          <w:tcPr>
            <w:tcW w:w="0" w:type="dxa"/>
            <w:vAlign w:val="bottom"/>
          </w:tcPr>
          <w:p>
            <w:pPr>
              <w:spacing w:after="0"/>
              <w:rPr>
                <w:sz w:val="1"/>
                <w:szCs w:val="1"/>
                <w:color w:val="auto"/>
              </w:rPr>
            </w:pPr>
          </w:p>
        </w:tc>
      </w:tr>
      <w:tr>
        <w:trPr>
          <w:trHeight w:val="237"/>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3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9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issued or guaranteed</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405,558</w:t>
            </w:r>
          </w:p>
        </w:tc>
        <w:tc>
          <w:tcPr>
            <w:tcW w:w="3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(2,892)</w:t>
            </w: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5,646,773</w:t>
            </w:r>
          </w:p>
        </w:tc>
        <w:tc>
          <w:tcPr>
            <w:tcW w:w="3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(179,211)</w:t>
            </w:r>
          </w:p>
        </w:tc>
        <w:tc>
          <w:tcPr>
            <w:tcW w:w="0" w:type="dxa"/>
            <w:vAlign w:val="bottom"/>
          </w:tcPr>
          <w:p>
            <w:pPr>
              <w:spacing w:after="0"/>
              <w:rPr>
                <w:sz w:val="1"/>
                <w:szCs w:val="1"/>
                <w:color w:val="auto"/>
              </w:rPr>
            </w:pPr>
          </w:p>
        </w:tc>
      </w:tr>
      <w:tr>
        <w:trPr>
          <w:trHeight w:val="236"/>
        </w:trPr>
        <w:tc>
          <w:tcPr>
            <w:tcW w:w="5940" w:type="dxa"/>
            <w:vAlign w:val="bottom"/>
          </w:tcPr>
          <w:p>
            <w:pPr>
              <w:ind w:left="240"/>
              <w:spacing w:after="0"/>
              <w:rPr>
                <w:sz w:val="20"/>
                <w:szCs w:val="20"/>
                <w:color w:val="auto"/>
              </w:rPr>
            </w:pPr>
            <w:r>
              <w:rPr>
                <w:rFonts w:ascii="Arial" w:cs="Arial" w:eastAsia="Arial" w:hAnsi="Arial"/>
                <w:sz w:val="18"/>
                <w:szCs w:val="18"/>
                <w:color w:val="auto"/>
              </w:rPr>
              <w:t>Privately issued</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Other debt securities</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53,478</w:t>
            </w:r>
          </w:p>
        </w:tc>
        <w:tc>
          <w:tcPr>
            <w:tcW w:w="3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(2,187)</w:t>
            </w: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66,014</w:t>
            </w:r>
          </w:p>
        </w:tc>
        <w:tc>
          <w:tcPr>
            <w:tcW w:w="3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(9,294)</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459,960</w:t>
            </w:r>
          </w:p>
        </w:tc>
        <w:tc>
          <w:tcPr>
            <w:tcW w:w="36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(5,088)</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7,048,346</w:t>
            </w:r>
          </w:p>
        </w:tc>
        <w:tc>
          <w:tcPr>
            <w:tcW w:w="3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(198,354)</w:t>
            </w:r>
          </w:p>
        </w:tc>
        <w:tc>
          <w:tcPr>
            <w:tcW w:w="0" w:type="dxa"/>
            <w:vAlign w:val="bottom"/>
          </w:tcPr>
          <w:p>
            <w:pPr>
              <w:spacing w:after="0"/>
              <w:rPr>
                <w:sz w:val="1"/>
                <w:szCs w:val="1"/>
                <w:color w:val="auto"/>
              </w:rPr>
            </w:pPr>
          </w:p>
        </w:tc>
      </w:tr>
      <w:tr>
        <w:trPr>
          <w:trHeight w:val="230"/>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securities held to maturity:</w:t>
            </w: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94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446,303</w:t>
            </w:r>
          </w:p>
        </w:tc>
        <w:tc>
          <w:tcPr>
            <w:tcW w:w="36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(239)</w:t>
            </w:r>
          </w:p>
        </w:tc>
        <w:tc>
          <w:tcPr>
            <w:tcW w:w="3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2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FF0FC"/>
          </w:tcPr>
          <w:p>
            <w:pPr>
              <w:jc w:val="right"/>
              <w:ind w:right="6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3,126</w:t>
            </w:r>
          </w:p>
        </w:tc>
        <w:tc>
          <w:tcPr>
            <w:tcW w:w="3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6"/>
        </w:trPr>
        <w:tc>
          <w:tcPr>
            <w:tcW w:w="59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issued or guaranteed</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179,354</w:t>
            </w:r>
          </w:p>
        </w:tc>
        <w:tc>
          <w:tcPr>
            <w:tcW w:w="3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(989)</w:t>
            </w: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2,082,723</w:t>
            </w:r>
          </w:p>
        </w:tc>
        <w:tc>
          <w:tcPr>
            <w:tcW w:w="3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(54,122)</w:t>
            </w:r>
          </w:p>
        </w:tc>
        <w:tc>
          <w:tcPr>
            <w:tcW w:w="0" w:type="dxa"/>
            <w:vAlign w:val="bottom"/>
          </w:tcPr>
          <w:p>
            <w:pPr>
              <w:spacing w:after="0"/>
              <w:rPr>
                <w:sz w:val="1"/>
                <w:szCs w:val="1"/>
                <w:color w:val="auto"/>
              </w:rPr>
            </w:pPr>
          </w:p>
        </w:tc>
      </w:tr>
      <w:tr>
        <w:trPr>
          <w:trHeight w:val="236"/>
        </w:trPr>
        <w:tc>
          <w:tcPr>
            <w:tcW w:w="5940" w:type="dxa"/>
            <w:vAlign w:val="bottom"/>
          </w:tcPr>
          <w:p>
            <w:pPr>
              <w:ind w:left="240"/>
              <w:spacing w:after="0"/>
              <w:rPr>
                <w:sz w:val="20"/>
                <w:szCs w:val="20"/>
                <w:color w:val="auto"/>
              </w:rPr>
            </w:pPr>
            <w:r>
              <w:rPr>
                <w:rFonts w:ascii="Arial" w:cs="Arial" w:eastAsia="Arial" w:hAnsi="Arial"/>
                <w:sz w:val="18"/>
                <w:szCs w:val="18"/>
                <w:color w:val="auto"/>
              </w:rPr>
              <w:t>Privately issued</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51,943</w:t>
            </w:r>
          </w:p>
        </w:tc>
        <w:tc>
          <w:tcPr>
            <w:tcW w:w="3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(22,327)</w:t>
            </w: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625,657</w:t>
            </w:r>
          </w:p>
        </w:tc>
        <w:tc>
          <w:tcPr>
            <w:tcW w:w="3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(1,228)</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2,137,792</w:t>
            </w:r>
          </w:p>
        </w:tc>
        <w:tc>
          <w:tcPr>
            <w:tcW w:w="3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(76,461)</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1,085,617</w:t>
            </w:r>
          </w:p>
        </w:tc>
        <w:tc>
          <w:tcPr>
            <w:tcW w:w="36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(6,316)</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9,186,138</w:t>
            </w:r>
          </w:p>
        </w:tc>
        <w:tc>
          <w:tcPr>
            <w:tcW w:w="3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(274,815)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right="100" w:firstLine="598"/>
        <w:spacing w:after="0" w:line="252" w:lineRule="auto"/>
        <w:rPr>
          <w:sz w:val="20"/>
          <w:szCs w:val="20"/>
          <w:color w:val="auto"/>
        </w:rPr>
      </w:pPr>
      <w:r>
        <w:rPr>
          <w:rFonts w:ascii="Arial" w:cs="Arial" w:eastAsia="Arial" w:hAnsi="Arial"/>
          <w:sz w:val="20"/>
          <w:szCs w:val="20"/>
          <w:color w:val="auto"/>
        </w:rPr>
        <w:t>The Company owned 641 individual investment securities with aggregate gross unrealized losses of $50 million at December 31, 2019. Based on a review of each of the securities in the investment securities portfolio at December 31, 2019, the Company concluded that it expected to recover the amortized cost basis of its investment. As of December 31, 2019, the Company does not intend to sell nor is it anticipated that it would be required to sell any of its impaired investment securities at a loss. At December 31, 2019, the Company has not identified events or changes in circumstances which may have a significant adverse effect on the fair value of the $382 million of cost method investment securities.</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60"/>
          </w:cols>
          <w:pgMar w:left="240" w:top="376" w:right="199" w:bottom="1440" w:gutter="0" w:footer="0" w:header="0"/>
        </w:sectPr>
      </w:pPr>
    </w:p>
    <w:bookmarkStart w:id="127" w:name="page128"/>
    <w:bookmarkEnd w:id="127"/>
    <w:p>
      <w:pPr>
        <w:ind w:right="20" w:firstLine="598"/>
        <w:spacing w:after="0" w:line="253" w:lineRule="auto"/>
        <w:rPr>
          <w:sz w:val="20"/>
          <w:szCs w:val="20"/>
          <w:color w:val="auto"/>
        </w:rPr>
      </w:pPr>
      <w:r>
        <w:rPr>
          <w:rFonts w:ascii="Arial" w:cs="Arial" w:eastAsia="Arial" w:hAnsi="Arial"/>
          <w:sz w:val="20"/>
          <w:szCs w:val="20"/>
          <w:color w:val="auto"/>
        </w:rPr>
        <w:t>At December 31, 2019, investment securities with a carrying value of $1.9 billion, including $1.5 billion of investment securities available for sale, were pledged to secure borrowings from various FHLBs, repurchase agreements, governmental deposits, interest rate swap agreements and available lines of credit as described in note 8.</w:t>
      </w:r>
    </w:p>
    <w:p>
      <w:pPr>
        <w:ind w:right="140" w:firstLine="598"/>
        <w:spacing w:after="0" w:line="251" w:lineRule="auto"/>
        <w:rPr>
          <w:sz w:val="20"/>
          <w:szCs w:val="20"/>
          <w:color w:val="auto"/>
        </w:rPr>
      </w:pPr>
      <w:r>
        <w:rPr>
          <w:rFonts w:ascii="Arial" w:cs="Arial" w:eastAsia="Arial" w:hAnsi="Arial"/>
          <w:sz w:val="20"/>
          <w:szCs w:val="20"/>
          <w:color w:val="auto"/>
        </w:rPr>
        <w:t>Investment securities pledged by the Company to secure obligations whereby the secured party is permitted by contract or custom to sell or repledge such collateral totaled $200 million at December 31, 2019. The pledged securities included securities of the U.S. Treasury and federal agencies and mortgage-backed securities.</w:t>
      </w:r>
    </w:p>
    <w:p>
      <w:pPr>
        <w:spacing w:after="0" w:line="36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7"/>
          <w:szCs w:val="17"/>
          <w:b w:val="1"/>
          <w:bCs w:val="1"/>
          <w:color w:val="auto"/>
        </w:rPr>
        <w:t>Loans and leases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Total loans and leases outstanding were comprised of the following:</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1"/>
        </w:trPr>
        <w:tc>
          <w:tcPr>
            <w:tcW w:w="8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6"/>
              <w:spacing w:after="0" w:line="151"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2"/>
              <w:spacing w:after="0" w:line="151"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51"/>
        </w:trPr>
        <w:tc>
          <w:tcPr>
            <w:tcW w:w="8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3"/>
          </w:tcPr>
          <w:p>
            <w:pPr>
              <w:jc w:val="right"/>
              <w:spacing w:after="0" w:line="151"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0"/>
        </w:trPr>
        <w:tc>
          <w:tcPr>
            <w:tcW w:w="8240" w:type="dxa"/>
            <w:vAlign w:val="bottom"/>
            <w:shd w:val="clear" w:color="auto" w:fill="CFF0FC"/>
          </w:tcPr>
          <w:p>
            <w:pPr>
              <w:spacing w:after="0"/>
              <w:rPr>
                <w:sz w:val="20"/>
                <w:szCs w:val="20"/>
                <w:color w:val="auto"/>
              </w:rPr>
            </w:pPr>
            <w:r>
              <w:rPr>
                <w:rFonts w:ascii="Arial" w:cs="Arial" w:eastAsia="Arial" w:hAnsi="Arial"/>
                <w:sz w:val="20"/>
                <w:szCs w:val="20"/>
                <w:color w:val="auto"/>
              </w:rPr>
              <w:t>Loans</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8240" w:type="dxa"/>
            <w:vAlign w:val="bottom"/>
          </w:tcPr>
          <w:p>
            <w:pPr>
              <w:spacing w:after="0"/>
              <w:rPr>
                <w:sz w:val="20"/>
                <w:szCs w:val="20"/>
                <w:color w:val="auto"/>
              </w:rPr>
            </w:pPr>
            <w:r>
              <w:rPr>
                <w:rFonts w:ascii="Arial" w:cs="Arial" w:eastAsia="Arial" w:hAnsi="Arial"/>
                <w:sz w:val="20"/>
                <w:szCs w:val="20"/>
                <w:color w:val="auto"/>
              </w:rPr>
              <w:t>Commercial, financial, etc.</w:t>
            </w:r>
          </w:p>
        </w:tc>
        <w:tc>
          <w:tcPr>
            <w:tcW w:w="280" w:type="dxa"/>
            <w:vAlign w:val="bottom"/>
          </w:tcPr>
          <w:p>
            <w:pPr>
              <w:jc w:val="right"/>
              <w:ind w:right="79"/>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22,575,700</w:t>
            </w:r>
          </w:p>
        </w:tc>
        <w:tc>
          <w:tcPr>
            <w:tcW w:w="32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w w:val="97"/>
              </w:rPr>
              <w:t>21,730,012</w:t>
            </w:r>
          </w:p>
        </w:tc>
        <w:tc>
          <w:tcPr>
            <w:tcW w:w="120" w:type="dxa"/>
            <w:vAlign w:val="bottom"/>
          </w:tcPr>
          <w:p>
            <w:pPr>
              <w:spacing w:after="0"/>
              <w:rPr>
                <w:sz w:val="21"/>
                <w:szCs w:val="21"/>
                <w:color w:val="auto"/>
              </w:rPr>
            </w:pPr>
          </w:p>
        </w:tc>
      </w:tr>
      <w:tr>
        <w:trPr>
          <w:trHeight w:val="250"/>
        </w:trPr>
        <w:tc>
          <w:tcPr>
            <w:tcW w:w="8240" w:type="dxa"/>
            <w:vAlign w:val="bottom"/>
            <w:shd w:val="clear" w:color="auto" w:fill="CFF0FC"/>
          </w:tcPr>
          <w:p>
            <w:pPr>
              <w:spacing w:after="0"/>
              <w:rPr>
                <w:sz w:val="20"/>
                <w:szCs w:val="20"/>
                <w:color w:val="auto"/>
              </w:rPr>
            </w:pPr>
            <w:r>
              <w:rPr>
                <w:rFonts w:ascii="Arial" w:cs="Arial" w:eastAsia="Arial" w:hAnsi="Arial"/>
                <w:sz w:val="20"/>
                <w:szCs w:val="20"/>
                <w:color w:val="auto"/>
              </w:rPr>
              <w:t>Real estate:</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8240" w:type="dxa"/>
            <w:vAlign w:val="bottom"/>
          </w:tcPr>
          <w:p>
            <w:pPr>
              <w:ind w:left="240"/>
              <w:spacing w:after="0"/>
              <w:rPr>
                <w:sz w:val="20"/>
                <w:szCs w:val="20"/>
                <w:color w:val="auto"/>
              </w:rPr>
            </w:pPr>
            <w:r>
              <w:rPr>
                <w:rFonts w:ascii="Arial" w:cs="Arial" w:eastAsia="Arial" w:hAnsi="Arial"/>
                <w:sz w:val="20"/>
                <w:szCs w:val="20"/>
                <w:color w:val="auto"/>
              </w:rPr>
              <w:t>Residential</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16,098,125</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w w:val="97"/>
              </w:rPr>
              <w:t>17,150,658</w:t>
            </w:r>
          </w:p>
        </w:tc>
        <w:tc>
          <w:tcPr>
            <w:tcW w:w="120" w:type="dxa"/>
            <w:vAlign w:val="bottom"/>
          </w:tcPr>
          <w:p>
            <w:pPr>
              <w:spacing w:after="0"/>
              <w:rPr>
                <w:sz w:val="21"/>
                <w:szCs w:val="21"/>
                <w:color w:val="auto"/>
              </w:rPr>
            </w:pPr>
          </w:p>
        </w:tc>
      </w:tr>
      <w:tr>
        <w:trPr>
          <w:trHeight w:val="250"/>
        </w:trPr>
        <w:tc>
          <w:tcPr>
            <w:tcW w:w="82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Commercial</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26,718,325</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7"/>
              </w:rPr>
              <w:t>25,666,200</w:t>
            </w:r>
          </w:p>
        </w:tc>
        <w:tc>
          <w:tcPr>
            <w:tcW w:w="120" w:type="dxa"/>
            <w:vAlign w:val="bottom"/>
            <w:shd w:val="clear" w:color="auto" w:fill="CFF0FC"/>
          </w:tcPr>
          <w:p>
            <w:pPr>
              <w:spacing w:after="0"/>
              <w:rPr>
                <w:sz w:val="21"/>
                <w:szCs w:val="21"/>
                <w:color w:val="auto"/>
              </w:rPr>
            </w:pPr>
          </w:p>
        </w:tc>
      </w:tr>
      <w:tr>
        <w:trPr>
          <w:trHeight w:val="250"/>
        </w:trPr>
        <w:tc>
          <w:tcPr>
            <w:tcW w:w="8240" w:type="dxa"/>
            <w:vAlign w:val="bottom"/>
          </w:tcPr>
          <w:p>
            <w:pPr>
              <w:ind w:left="240"/>
              <w:spacing w:after="0"/>
              <w:rPr>
                <w:sz w:val="20"/>
                <w:szCs w:val="20"/>
                <w:color w:val="auto"/>
              </w:rPr>
            </w:pPr>
            <w:r>
              <w:rPr>
                <w:rFonts w:ascii="Arial" w:cs="Arial" w:eastAsia="Arial" w:hAnsi="Arial"/>
                <w:sz w:val="20"/>
                <w:szCs w:val="20"/>
                <w:color w:val="auto"/>
              </w:rPr>
              <w:t>Construction</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9,010,297</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8,823,635</w:t>
            </w:r>
          </w:p>
        </w:tc>
        <w:tc>
          <w:tcPr>
            <w:tcW w:w="120" w:type="dxa"/>
            <w:vAlign w:val="bottom"/>
          </w:tcPr>
          <w:p>
            <w:pPr>
              <w:spacing w:after="0"/>
              <w:rPr>
                <w:sz w:val="21"/>
                <w:szCs w:val="21"/>
                <w:color w:val="auto"/>
              </w:rPr>
            </w:pPr>
          </w:p>
        </w:tc>
      </w:tr>
      <w:tr>
        <w:trPr>
          <w:trHeight w:val="250"/>
        </w:trPr>
        <w:tc>
          <w:tcPr>
            <w:tcW w:w="8240" w:type="dxa"/>
            <w:vAlign w:val="bottom"/>
            <w:shd w:val="clear" w:color="auto" w:fill="CFF0FC"/>
          </w:tcPr>
          <w:p>
            <w:pPr>
              <w:spacing w:after="0"/>
              <w:rPr>
                <w:sz w:val="20"/>
                <w:szCs w:val="20"/>
                <w:color w:val="auto"/>
              </w:rPr>
            </w:pPr>
            <w:r>
              <w:rPr>
                <w:rFonts w:ascii="Arial" w:cs="Arial" w:eastAsia="Arial" w:hAnsi="Arial"/>
                <w:sz w:val="20"/>
                <w:szCs w:val="20"/>
                <w:color w:val="auto"/>
              </w:rPr>
              <w:t>Consumer</w:t>
            </w: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15,373,881</w:t>
            </w:r>
          </w:p>
        </w:tc>
        <w:tc>
          <w:tcPr>
            <w:tcW w:w="32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7"/>
              </w:rPr>
              <w:t>13,956,086</w:t>
            </w:r>
          </w:p>
        </w:tc>
        <w:tc>
          <w:tcPr>
            <w:tcW w:w="120" w:type="dxa"/>
            <w:vAlign w:val="bottom"/>
            <w:shd w:val="clear" w:color="auto" w:fill="CFF0FC"/>
          </w:tcPr>
          <w:p>
            <w:pPr>
              <w:spacing w:after="0"/>
              <w:rPr>
                <w:sz w:val="21"/>
                <w:szCs w:val="21"/>
                <w:color w:val="auto"/>
              </w:rPr>
            </w:pPr>
          </w:p>
        </w:tc>
      </w:tr>
      <w:tr>
        <w:trPr>
          <w:trHeight w:val="243"/>
        </w:trPr>
        <w:tc>
          <w:tcPr>
            <w:tcW w:w="8240" w:type="dxa"/>
            <w:vAlign w:val="bottom"/>
          </w:tcPr>
          <w:p>
            <w:pPr>
              <w:ind w:left="240"/>
              <w:spacing w:after="0"/>
              <w:rPr>
                <w:sz w:val="20"/>
                <w:szCs w:val="20"/>
                <w:color w:val="auto"/>
              </w:rPr>
            </w:pPr>
            <w:r>
              <w:rPr>
                <w:rFonts w:ascii="Arial" w:cs="Arial" w:eastAsia="Arial" w:hAnsi="Arial"/>
                <w:sz w:val="20"/>
                <w:szCs w:val="20"/>
                <w:color w:val="auto"/>
              </w:rPr>
              <w:t>Total loans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89,776,328</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w w:val="97"/>
              </w:rPr>
              <w:t>87,326,591</w:t>
            </w:r>
          </w:p>
        </w:tc>
        <w:tc>
          <w:tcPr>
            <w:tcW w:w="120" w:type="dxa"/>
            <w:vAlign w:val="bottom"/>
          </w:tcPr>
          <w:p>
            <w:pPr>
              <w:spacing w:after="0"/>
              <w:rPr>
                <w:sz w:val="21"/>
                <w:szCs w:val="21"/>
                <w:color w:val="auto"/>
              </w:rPr>
            </w:pPr>
          </w:p>
        </w:tc>
      </w:tr>
      <w:tr>
        <w:trPr>
          <w:trHeight w:val="250"/>
        </w:trPr>
        <w:tc>
          <w:tcPr>
            <w:tcW w:w="8240" w:type="dxa"/>
            <w:vAlign w:val="bottom"/>
            <w:shd w:val="clear" w:color="auto" w:fill="CFF0FC"/>
          </w:tcPr>
          <w:p>
            <w:pPr>
              <w:spacing w:after="0"/>
              <w:rPr>
                <w:sz w:val="20"/>
                <w:szCs w:val="20"/>
                <w:color w:val="auto"/>
              </w:rPr>
            </w:pPr>
            <w:r>
              <w:rPr>
                <w:rFonts w:ascii="Arial" w:cs="Arial" w:eastAsia="Arial" w:hAnsi="Arial"/>
                <w:sz w:val="20"/>
                <w:szCs w:val="20"/>
                <w:color w:val="auto"/>
              </w:rPr>
              <w:t>Leases</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824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Commercial</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1,412,197</w:t>
            </w:r>
          </w:p>
        </w:tc>
        <w:tc>
          <w:tcPr>
            <w:tcW w:w="32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1,406,901</w:t>
            </w:r>
          </w:p>
        </w:tc>
        <w:tc>
          <w:tcPr>
            <w:tcW w:w="120" w:type="dxa"/>
            <w:vAlign w:val="bottom"/>
            <w:tcBorders>
              <w:bottom w:val="single" w:sz="8" w:color="CFF0FC"/>
            </w:tcBorders>
          </w:tcPr>
          <w:p>
            <w:pPr>
              <w:spacing w:after="0"/>
              <w:rPr>
                <w:sz w:val="21"/>
                <w:szCs w:val="21"/>
                <w:color w:val="auto"/>
              </w:rPr>
            </w:pPr>
          </w:p>
        </w:tc>
      </w:tr>
      <w:tr>
        <w:trPr>
          <w:trHeight w:val="243"/>
        </w:trPr>
        <w:tc>
          <w:tcPr>
            <w:tcW w:w="8240" w:type="dxa"/>
            <w:vAlign w:val="bottom"/>
            <w:shd w:val="clear" w:color="auto" w:fill="CFF0FC"/>
          </w:tcPr>
          <w:p>
            <w:pPr>
              <w:spacing w:after="0"/>
              <w:rPr>
                <w:sz w:val="20"/>
                <w:szCs w:val="20"/>
                <w:color w:val="auto"/>
              </w:rPr>
            </w:pPr>
            <w:r>
              <w:rPr>
                <w:rFonts w:ascii="Arial" w:cs="Arial" w:eastAsia="Arial" w:hAnsi="Arial"/>
                <w:sz w:val="20"/>
                <w:szCs w:val="20"/>
                <w:color w:val="auto"/>
              </w:rPr>
              <w:t>Total loans and leases</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91,188,525</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7"/>
              </w:rPr>
              <w:t>88,733,492</w:t>
            </w:r>
          </w:p>
        </w:tc>
        <w:tc>
          <w:tcPr>
            <w:tcW w:w="120" w:type="dxa"/>
            <w:vAlign w:val="bottom"/>
            <w:shd w:val="clear" w:color="auto" w:fill="CFF0FC"/>
          </w:tcPr>
          <w:p>
            <w:pPr>
              <w:spacing w:after="0"/>
              <w:rPr>
                <w:sz w:val="21"/>
                <w:szCs w:val="21"/>
                <w:color w:val="auto"/>
              </w:rPr>
            </w:pPr>
          </w:p>
        </w:tc>
      </w:tr>
      <w:tr>
        <w:trPr>
          <w:trHeight w:val="250"/>
        </w:trPr>
        <w:tc>
          <w:tcPr>
            <w:tcW w:w="8240" w:type="dxa"/>
            <w:vAlign w:val="bottom"/>
          </w:tcPr>
          <w:p>
            <w:pPr>
              <w:spacing w:after="0"/>
              <w:rPr>
                <w:sz w:val="20"/>
                <w:szCs w:val="20"/>
                <w:color w:val="auto"/>
              </w:rPr>
            </w:pPr>
            <w:r>
              <w:rPr>
                <w:rFonts w:ascii="Arial" w:cs="Arial" w:eastAsia="Arial" w:hAnsi="Arial"/>
                <w:sz w:val="20"/>
                <w:szCs w:val="20"/>
                <w:color w:val="auto"/>
              </w:rPr>
              <w:t>Less: unearned discount</w:t>
            </w:r>
          </w:p>
        </w:tc>
        <w:tc>
          <w:tcPr>
            <w:tcW w:w="28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20"/>
                <w:szCs w:val="20"/>
                <w:color w:val="auto"/>
              </w:rPr>
              <w:t>(265,656)</w:t>
            </w:r>
          </w:p>
        </w:tc>
        <w:tc>
          <w:tcPr>
            <w:tcW w:w="38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20"/>
                <w:szCs w:val="20"/>
                <w:color w:val="auto"/>
              </w:rPr>
              <w:t>(267,015)</w:t>
            </w:r>
          </w:p>
        </w:tc>
      </w:tr>
      <w:tr>
        <w:trPr>
          <w:trHeight w:val="243"/>
        </w:trPr>
        <w:tc>
          <w:tcPr>
            <w:tcW w:w="8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loans and leases, net of unearned discount</w:t>
            </w:r>
          </w:p>
        </w:tc>
        <w:tc>
          <w:tcPr>
            <w:tcW w:w="28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90,922,869</w:t>
            </w:r>
          </w:p>
        </w:tc>
        <w:tc>
          <w:tcPr>
            <w:tcW w:w="320" w:type="dxa"/>
            <w:vAlign w:val="bottom"/>
            <w:tcBorders>
              <w:top w:val="single" w:sz="8" w:color="CFF0FC"/>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7"/>
              </w:rPr>
              <w:t>88,466,477</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6" w:lineRule="exact"/>
        <w:rPr>
          <w:sz w:val="20"/>
          <w:szCs w:val="20"/>
          <w:color w:val="auto"/>
        </w:rPr>
      </w:pPr>
    </w:p>
    <w:p>
      <w:pPr>
        <w:ind w:right="300" w:firstLine="598"/>
        <w:spacing w:after="0" w:line="253" w:lineRule="auto"/>
        <w:rPr>
          <w:sz w:val="20"/>
          <w:szCs w:val="20"/>
          <w:color w:val="auto"/>
        </w:rPr>
      </w:pPr>
      <w:r>
        <w:rPr>
          <w:rFonts w:ascii="Arial" w:cs="Arial" w:eastAsia="Arial" w:hAnsi="Arial"/>
          <w:sz w:val="20"/>
          <w:szCs w:val="20"/>
          <w:color w:val="auto"/>
        </w:rPr>
        <w:t>One-to-four family residential mortgage loans held for sale were $414 million at December 31, 2019 and $205 million at December 31, 2018. Commercial real estate loans held for sale were $28 million at December 31, 2019 and $347 million at December 31, 2018.</w:t>
      </w:r>
    </w:p>
    <w:p>
      <w:pPr>
        <w:ind w:right="160" w:firstLine="598"/>
        <w:spacing w:after="0" w:line="274" w:lineRule="auto"/>
        <w:rPr>
          <w:sz w:val="20"/>
          <w:szCs w:val="20"/>
          <w:color w:val="auto"/>
        </w:rPr>
      </w:pPr>
      <w:r>
        <w:rPr>
          <w:rFonts w:ascii="Arial" w:cs="Arial" w:eastAsia="Arial" w:hAnsi="Arial"/>
          <w:sz w:val="18"/>
          <w:szCs w:val="18"/>
          <w:color w:val="auto"/>
        </w:rPr>
        <w:t>As of December 31, 2019, approximately $3.9 billion of commercial real estate loan balances serviced for others had been sold with recourse in conjunction with the Company’s participation in the Fannie Mae Delegated Underwriting and Servicing (“DUS”) program. At December 31, 2019, the Company estimated that the recourse obligations described above were not material to the Company’s consolidated financial position. There have been no material losses incurred as a result of those credit recourse arrangements.</w:t>
      </w:r>
    </w:p>
    <w:p>
      <w:pPr>
        <w:spacing w:after="0" w:line="1" w:lineRule="exact"/>
        <w:rPr>
          <w:sz w:val="20"/>
          <w:szCs w:val="20"/>
          <w:color w:val="auto"/>
        </w:rPr>
      </w:pPr>
    </w:p>
    <w:p>
      <w:pPr>
        <w:ind w:right="60" w:firstLine="598"/>
        <w:spacing w:after="0" w:line="250" w:lineRule="auto"/>
        <w:rPr>
          <w:sz w:val="20"/>
          <w:szCs w:val="20"/>
          <w:color w:val="auto"/>
        </w:rPr>
      </w:pPr>
      <w:r>
        <w:rPr>
          <w:rFonts w:ascii="Arial" w:cs="Arial" w:eastAsia="Arial" w:hAnsi="Arial"/>
          <w:sz w:val="20"/>
          <w:szCs w:val="20"/>
          <w:color w:val="auto"/>
        </w:rPr>
        <w:t>In addition to recourse obligations, as described in note 21, 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Charges incurred for such obligation were not material in 2019, 2018 or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28" w:name="page129"/>
    <w:bookmarkEnd w:id="128"/>
    <w:p>
      <w:pPr>
        <w:ind w:left="600"/>
        <w:spacing w:after="0"/>
        <w:rPr>
          <w:sz w:val="20"/>
          <w:szCs w:val="20"/>
          <w:color w:val="auto"/>
        </w:rPr>
      </w:pPr>
      <w:r>
        <w:rPr>
          <w:rFonts w:ascii="Arial" w:cs="Arial" w:eastAsia="Arial" w:hAnsi="Arial"/>
          <w:sz w:val="20"/>
          <w:szCs w:val="20"/>
          <w:color w:val="auto"/>
        </w:rPr>
        <w:t>A summary of current, past due and nonaccrual loans as of December 31, 2019 and 2018 follows:</w:t>
      </w:r>
    </w:p>
    <w:tbl>
      <w:tblPr>
        <w:tblLayout w:type="fixed"/>
        <w:tblInd w:w="0" w:type="dxa"/>
        <w:tblCellMar>
          <w:top w:w="0" w:type="dxa"/>
          <w:left w:w="0" w:type="dxa"/>
          <w:bottom w:w="0" w:type="dxa"/>
          <w:right w:w="0" w:type="dxa"/>
        </w:tblCellMar>
      </w:tblPr>
      <w:tr>
        <w:trPr>
          <w:trHeight w:val="155"/>
        </w:trPr>
        <w:tc>
          <w:tcPr>
            <w:tcW w:w="2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2"/>
              </w:rPr>
              <w:t>Accruing</w:t>
            </w: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Accruing</w:t>
            </w: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7"/>
              </w:rPr>
              <w:t>Loans</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3"/>
              </w:rPr>
              <w:t>Acquired at</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Loans Past</w:t>
            </w: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9"/>
              </w:rPr>
              <w:t>a Discount</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30-89 Days</w:t>
            </w:r>
          </w:p>
        </w:tc>
        <w:tc>
          <w:tcPr>
            <w:tcW w:w="8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Due 90</w:t>
            </w: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6"/>
              </w:rPr>
              <w:t>Past Due</w:t>
            </w: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Purchased</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Current</w:t>
            </w:r>
          </w:p>
        </w:tc>
        <w:tc>
          <w:tcPr>
            <w:tcW w:w="1120" w:type="dxa"/>
            <w:vAlign w:val="bottom"/>
            <w:gridSpan w:val="2"/>
            <w:vMerge w:val="continue"/>
          </w:tcPr>
          <w:p>
            <w:pPr>
              <w:spacing w:after="0"/>
              <w:rPr>
                <w:sz w:val="12"/>
                <w:szCs w:val="12"/>
                <w:color w:val="auto"/>
              </w:rPr>
            </w:pPr>
          </w:p>
        </w:tc>
        <w:tc>
          <w:tcPr>
            <w:tcW w:w="8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Days or</w:t>
            </w: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5"/>
              </w:rPr>
              <w:t>90 days</w:t>
            </w:r>
          </w:p>
        </w:tc>
        <w:tc>
          <w:tcPr>
            <w:tcW w:w="1100" w:type="dxa"/>
            <w:vAlign w:val="bottom"/>
            <w:gridSpan w:val="2"/>
            <w:vMerge w:val="continue"/>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Nonaccrual</w:t>
            </w:r>
          </w:p>
        </w:tc>
        <w:tc>
          <w:tcPr>
            <w:tcW w:w="300" w:type="dxa"/>
            <w:vAlign w:val="bottom"/>
          </w:tcPr>
          <w:p>
            <w:pPr>
              <w:spacing w:after="0"/>
              <w:rPr>
                <w:sz w:val="12"/>
                <w:szCs w:val="12"/>
                <w:color w:val="auto"/>
              </w:rPr>
            </w:pPr>
          </w:p>
        </w:tc>
        <w:tc>
          <w:tcPr>
            <w:tcW w:w="10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Past Due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More (a)</w:t>
            </w:r>
          </w:p>
        </w:tc>
        <w:tc>
          <w:tcPr>
            <w:tcW w:w="3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or More (b)</w:t>
            </w: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Impaired (c)</w:t>
            </w:r>
          </w:p>
        </w:tc>
        <w:tc>
          <w:tcPr>
            <w:tcW w:w="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8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600" w:type="dxa"/>
            <w:vAlign w:val="bottom"/>
            <w:gridSpan w:val="2"/>
          </w:tcPr>
          <w:p>
            <w:pPr>
              <w:spacing w:after="0"/>
              <w:rPr>
                <w:sz w:val="20"/>
                <w:szCs w:val="20"/>
                <w:color w:val="auto"/>
              </w:rPr>
            </w:pPr>
            <w:r>
              <w:rPr>
                <w:rFonts w:ascii="Arial" w:cs="Arial" w:eastAsia="Arial" w:hAnsi="Arial"/>
                <w:sz w:val="18"/>
                <w:szCs w:val="18"/>
                <w:color w:val="auto"/>
              </w:rPr>
              <w:t>Commercial, financial, leasing,</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0" w:type="dxa"/>
            <w:vAlign w:val="bottom"/>
            <w:gridSpan w:val="2"/>
          </w:tcPr>
          <w:p>
            <w:pPr>
              <w:ind w:left="140"/>
              <w:spacing w:after="0"/>
              <w:rPr>
                <w:sz w:val="20"/>
                <w:szCs w:val="20"/>
                <w:color w:val="auto"/>
              </w:rPr>
            </w:pPr>
            <w:r>
              <w:rPr>
                <w:rFonts w:ascii="Arial" w:cs="Arial" w:eastAsia="Arial" w:hAnsi="Arial"/>
                <w:sz w:val="18"/>
                <w:szCs w:val="18"/>
                <w:color w:val="auto"/>
              </w:rPr>
              <w:t>etc.</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$23,290,797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184,011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16,776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346,557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$ 23,838,168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gridSpan w:val="2"/>
          </w:tcPr>
          <w:p>
            <w:pPr>
              <w:ind w:left="240"/>
              <w:spacing w:after="0"/>
              <w:rPr>
                <w:sz w:val="20"/>
                <w:szCs w:val="20"/>
                <w:color w:val="auto"/>
              </w:rPr>
            </w:pPr>
            <w:r>
              <w:rPr>
                <w:rFonts w:ascii="Arial" w:cs="Arial" w:eastAsia="Arial" w:hAnsi="Arial"/>
                <w:sz w:val="18"/>
                <w:szCs w:val="18"/>
                <w:color w:val="auto"/>
              </w:rPr>
              <w:t>Commercial</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26,311,414</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165,579</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6,740</w:t>
            </w:r>
          </w:p>
        </w:tc>
        <w:tc>
          <w:tcPr>
            <w:tcW w:w="3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15,601</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158,474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26,657,808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 builder and</w:t>
            </w: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developer</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1,521,315</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21,195</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3,982</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1,547,245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600" w:type="dxa"/>
            <w:vAlign w:val="bottom"/>
            <w:gridSpan w:val="2"/>
          </w:tcPr>
          <w:p>
            <w:pPr>
              <w:ind w:left="240"/>
              <w:spacing w:after="0"/>
              <w:rPr>
                <w:sz w:val="20"/>
                <w:szCs w:val="20"/>
                <w:color w:val="auto"/>
              </w:rPr>
            </w:pPr>
            <w:r>
              <w:rPr>
                <w:rFonts w:ascii="Arial" w:cs="Arial" w:eastAsia="Arial" w:hAnsi="Arial"/>
                <w:sz w:val="18"/>
                <w:szCs w:val="18"/>
                <w:color w:val="auto"/>
              </w:rPr>
              <w:t>Other commercial</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0" w:type="dxa"/>
            <w:vAlign w:val="bottom"/>
            <w:gridSpan w:val="2"/>
          </w:tcPr>
          <w:p>
            <w:pPr>
              <w:ind w:left="380"/>
              <w:spacing w:after="0"/>
              <w:rPr>
                <w:sz w:val="20"/>
                <w:szCs w:val="20"/>
                <w:color w:val="auto"/>
              </w:rPr>
            </w:pPr>
            <w:r>
              <w:rPr>
                <w:rFonts w:ascii="Arial" w:cs="Arial" w:eastAsia="Arial" w:hAnsi="Arial"/>
                <w:sz w:val="18"/>
                <w:szCs w:val="18"/>
                <w:color w:val="auto"/>
              </w:rPr>
              <w:t>construction</w:t>
            </w:r>
          </w:p>
        </w:tc>
        <w:tc>
          <w:tcPr>
            <w:tcW w:w="920" w:type="dxa"/>
            <w:vAlign w:val="bottom"/>
          </w:tcPr>
          <w:p>
            <w:pPr>
              <w:jc w:val="right"/>
              <w:spacing w:after="0"/>
              <w:rPr>
                <w:sz w:val="20"/>
                <w:szCs w:val="20"/>
                <w:color w:val="auto"/>
              </w:rPr>
            </w:pPr>
            <w:r>
              <w:rPr>
                <w:rFonts w:ascii="Arial" w:cs="Arial" w:eastAsia="Arial" w:hAnsi="Arial"/>
                <w:sz w:val="18"/>
                <w:szCs w:val="18"/>
                <w:color w:val="auto"/>
              </w:rPr>
              <w:t>7,204,148</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95,346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3,360</w:t>
            </w:r>
          </w:p>
        </w:tc>
        <w:tc>
          <w:tcPr>
            <w:tcW w:w="3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1,237</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32,770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7,336,861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12,760,040</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451,274</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486,515</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5,788</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143,145</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235,663</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14,082,425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600" w:type="dxa"/>
            <w:vAlign w:val="bottom"/>
            <w:gridSpan w:val="2"/>
          </w:tcPr>
          <w:p>
            <w:pPr>
              <w:ind w:left="240"/>
              <w:spacing w:after="0"/>
              <w:rPr>
                <w:sz w:val="20"/>
                <w:szCs w:val="20"/>
                <w:color w:val="auto"/>
              </w:rPr>
            </w:pPr>
            <w:r>
              <w:rPr>
                <w:rFonts w:ascii="Arial" w:cs="Arial" w:eastAsia="Arial" w:hAnsi="Arial"/>
                <w:sz w:val="18"/>
                <w:szCs w:val="18"/>
                <w:color w:val="auto"/>
              </w:rPr>
              <w:t>Residential — limited</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0" w:type="dxa"/>
            <w:vAlign w:val="bottom"/>
            <w:gridSpan w:val="2"/>
          </w:tcPr>
          <w:p>
            <w:pPr>
              <w:ind w:left="380"/>
              <w:spacing w:after="0"/>
              <w:rPr>
                <w:sz w:val="20"/>
                <w:szCs w:val="20"/>
                <w:color w:val="auto"/>
              </w:rPr>
            </w:pPr>
            <w:r>
              <w:rPr>
                <w:rFonts w:ascii="Arial" w:cs="Arial" w:eastAsia="Arial" w:hAnsi="Arial"/>
                <w:sz w:val="18"/>
                <w:szCs w:val="18"/>
                <w:color w:val="auto"/>
              </w:rPr>
              <w:t>documentation</w:t>
            </w:r>
          </w:p>
        </w:tc>
        <w:tc>
          <w:tcPr>
            <w:tcW w:w="920" w:type="dxa"/>
            <w:vAlign w:val="bottom"/>
          </w:tcPr>
          <w:p>
            <w:pPr>
              <w:jc w:val="right"/>
              <w:spacing w:after="0"/>
              <w:rPr>
                <w:sz w:val="20"/>
                <w:szCs w:val="20"/>
                <w:color w:val="auto"/>
              </w:rPr>
            </w:pPr>
            <w:r>
              <w:rPr>
                <w:rFonts w:ascii="Arial" w:cs="Arial" w:eastAsia="Arial" w:hAnsi="Arial"/>
                <w:sz w:val="18"/>
                <w:szCs w:val="18"/>
                <w:color w:val="auto"/>
              </w:rPr>
              <w:t>1,858,037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65,215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w:t>
            </w:r>
          </w:p>
        </w:tc>
        <w:tc>
          <w:tcPr>
            <w:tcW w:w="3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66,809</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83,427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2,073,669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gridSpan w:val="2"/>
          </w:tcPr>
          <w:p>
            <w:pPr>
              <w:ind w:left="240"/>
              <w:spacing w:after="0"/>
              <w:rPr>
                <w:sz w:val="20"/>
                <w:szCs w:val="20"/>
                <w:color w:val="auto"/>
              </w:rPr>
            </w:pPr>
            <w:r>
              <w:rPr>
                <w:rFonts w:ascii="Arial" w:cs="Arial" w:eastAsia="Arial" w:hAnsi="Arial"/>
                <w:sz w:val="18"/>
                <w:szCs w:val="18"/>
                <w:color w:val="auto"/>
              </w:rPr>
              <w:t>Home equity lines and loans</w:t>
            </w:r>
          </w:p>
        </w:tc>
        <w:tc>
          <w:tcPr>
            <w:tcW w:w="920" w:type="dxa"/>
            <w:vAlign w:val="bottom"/>
          </w:tcPr>
          <w:p>
            <w:pPr>
              <w:jc w:val="right"/>
              <w:spacing w:after="0"/>
              <w:rPr>
                <w:sz w:val="20"/>
                <w:szCs w:val="20"/>
                <w:color w:val="auto"/>
              </w:rPr>
            </w:pPr>
            <w:r>
              <w:rPr>
                <w:rFonts w:ascii="Arial" w:cs="Arial" w:eastAsia="Arial" w:hAnsi="Arial"/>
                <w:sz w:val="18"/>
                <w:szCs w:val="18"/>
                <w:color w:val="auto"/>
              </w:rPr>
              <w:t>4,386,511</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30,229</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1,662</w:t>
            </w:r>
          </w:p>
        </w:tc>
        <w:tc>
          <w:tcPr>
            <w:tcW w:w="3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63,215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4,481,617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Recreational finance</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5,484,997</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36,827</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14,219</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5,536,142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gridSpan w:val="2"/>
          </w:tcPr>
          <w:p>
            <w:pPr>
              <w:ind w:left="240"/>
              <w:spacing w:after="0"/>
              <w:rPr>
                <w:sz w:val="20"/>
                <w:szCs w:val="20"/>
                <w:color w:val="auto"/>
              </w:rPr>
            </w:pPr>
            <w:r>
              <w:rPr>
                <w:rFonts w:ascii="Arial" w:cs="Arial" w:eastAsia="Arial" w:hAnsi="Arial"/>
                <w:sz w:val="18"/>
                <w:szCs w:val="18"/>
                <w:color w:val="auto"/>
              </w:rPr>
              <w:t>Automobile</w:t>
            </w:r>
          </w:p>
        </w:tc>
        <w:tc>
          <w:tcPr>
            <w:tcW w:w="920" w:type="dxa"/>
            <w:vAlign w:val="bottom"/>
          </w:tcPr>
          <w:p>
            <w:pPr>
              <w:jc w:val="right"/>
              <w:spacing w:after="0"/>
              <w:rPr>
                <w:sz w:val="20"/>
                <w:szCs w:val="20"/>
                <w:color w:val="auto"/>
              </w:rPr>
            </w:pPr>
            <w:r>
              <w:rPr>
                <w:rFonts w:ascii="Arial" w:cs="Arial" w:eastAsia="Arial" w:hAnsi="Arial"/>
                <w:sz w:val="18"/>
                <w:szCs w:val="18"/>
                <w:color w:val="auto"/>
              </w:rPr>
              <w:t>3,787,221</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78,478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21,293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3,886,992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1,395,240</w:t>
            </w:r>
          </w:p>
        </w:tc>
        <w:tc>
          <w:tcPr>
            <w:tcW w:w="2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45,978</w:t>
            </w:r>
          </w:p>
        </w:tc>
        <w:tc>
          <w:tcPr>
            <w:tcW w:w="3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5,156</w:t>
            </w:r>
          </w:p>
        </w:tc>
        <w:tc>
          <w:tcPr>
            <w:tcW w:w="3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32,056</w:t>
            </w:r>
          </w:p>
        </w:tc>
        <w:tc>
          <w:tcPr>
            <w:tcW w:w="3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3,512</w:t>
            </w:r>
          </w:p>
        </w:tc>
        <w:tc>
          <w:tcPr>
            <w:tcW w:w="3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1,481,942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87,999,720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1,174,132</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518,728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39,632</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227,545</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963,112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$ 90,922,869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rPr>
                <w:sz w:val="20"/>
                <w:szCs w:val="20"/>
                <w:color w:val="auto"/>
              </w:rPr>
            </w:pPr>
            <w:r>
              <w:rPr>
                <w:rFonts w:ascii="Arial" w:cs="Arial" w:eastAsia="Arial" w:hAnsi="Arial"/>
                <w:sz w:val="18"/>
                <w:szCs w:val="18"/>
                <w:color w:val="auto"/>
              </w:rPr>
              <w:t>December 31, 2018</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360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financial, leasing,</w:t>
            </w: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etc.</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$22,701,020</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39,798</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2,567</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234,423</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$ 22,977,976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25,250,983</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134,474</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11,457</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9,769</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203,672</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25,610,365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600" w:type="dxa"/>
            <w:vAlign w:val="bottom"/>
            <w:gridSpan w:val="2"/>
          </w:tcPr>
          <w:p>
            <w:pPr>
              <w:ind w:left="240"/>
              <w:spacing w:after="0"/>
              <w:rPr>
                <w:sz w:val="20"/>
                <w:szCs w:val="20"/>
                <w:color w:val="auto"/>
              </w:rPr>
            </w:pPr>
            <w:r>
              <w:rPr>
                <w:rFonts w:ascii="Arial" w:cs="Arial" w:eastAsia="Arial" w:hAnsi="Arial"/>
                <w:sz w:val="18"/>
                <w:szCs w:val="18"/>
                <w:color w:val="auto"/>
              </w:rPr>
              <w:t>Residential builder and</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0" w:type="dxa"/>
            <w:vAlign w:val="bottom"/>
            <w:gridSpan w:val="2"/>
          </w:tcPr>
          <w:p>
            <w:pPr>
              <w:ind w:left="380"/>
              <w:spacing w:after="0"/>
              <w:rPr>
                <w:sz w:val="20"/>
                <w:szCs w:val="20"/>
                <w:color w:val="auto"/>
              </w:rPr>
            </w:pPr>
            <w:r>
              <w:rPr>
                <w:rFonts w:ascii="Arial" w:cs="Arial" w:eastAsia="Arial" w:hAnsi="Arial"/>
                <w:sz w:val="18"/>
                <w:szCs w:val="18"/>
                <w:color w:val="auto"/>
              </w:rPr>
              <w:t>developer</w:t>
            </w:r>
          </w:p>
        </w:tc>
        <w:tc>
          <w:tcPr>
            <w:tcW w:w="920" w:type="dxa"/>
            <w:vAlign w:val="bottom"/>
          </w:tcPr>
          <w:p>
            <w:pPr>
              <w:jc w:val="right"/>
              <w:spacing w:after="0"/>
              <w:rPr>
                <w:sz w:val="20"/>
                <w:szCs w:val="20"/>
                <w:color w:val="auto"/>
              </w:rPr>
            </w:pPr>
            <w:r>
              <w:rPr>
                <w:rFonts w:ascii="Arial" w:cs="Arial" w:eastAsia="Arial" w:hAnsi="Arial"/>
                <w:sz w:val="18"/>
                <w:szCs w:val="18"/>
                <w:color w:val="auto"/>
              </w:rPr>
              <w:t>1,665,178</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20,333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4,798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1,690,309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commercial</w:t>
            </w: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construction</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6,982,077</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43,615</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14,344</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22,205</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7,062,882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gridSpan w:val="2"/>
          </w:tcPr>
          <w:p>
            <w:pPr>
              <w:ind w:left="240"/>
              <w:spacing w:after="0"/>
              <w:rPr>
                <w:sz w:val="20"/>
                <w:szCs w:val="20"/>
                <w:color w:val="auto"/>
              </w:rPr>
            </w:pPr>
            <w:r>
              <w:rPr>
                <w:rFonts w:ascii="Arial" w:cs="Arial" w:eastAsia="Arial" w:hAnsi="Arial"/>
                <w:sz w:val="18"/>
                <w:szCs w:val="18"/>
                <w:color w:val="auto"/>
              </w:rPr>
              <w:t>Residential</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13,591,790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404,808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189,682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6,650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203,044</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233,352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14,629,326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 — limited</w:t>
            </w: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documentation</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2,278,040</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72,544</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89,851</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84,685</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2,525,120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Home equity lines and loans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4,758,513</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25,416</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5,033</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71,292</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4,860,254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gridSpan w:val="2"/>
          </w:tcPr>
          <w:p>
            <w:pPr>
              <w:ind w:left="240"/>
              <w:spacing w:after="0"/>
              <w:rPr>
                <w:sz w:val="20"/>
                <w:szCs w:val="20"/>
                <w:color w:val="auto"/>
              </w:rPr>
            </w:pPr>
            <w:r>
              <w:rPr>
                <w:rFonts w:ascii="Arial" w:cs="Arial" w:eastAsia="Arial" w:hAnsi="Arial"/>
                <w:sz w:val="18"/>
                <w:szCs w:val="18"/>
                <w:color w:val="auto"/>
              </w:rPr>
              <w:t>Recreational finance</w:t>
            </w:r>
          </w:p>
        </w:tc>
        <w:tc>
          <w:tcPr>
            <w:tcW w:w="920" w:type="dxa"/>
            <w:vAlign w:val="bottom"/>
          </w:tcPr>
          <w:p>
            <w:pPr>
              <w:jc w:val="right"/>
              <w:spacing w:after="0"/>
              <w:rPr>
                <w:sz w:val="20"/>
                <w:szCs w:val="20"/>
                <w:color w:val="auto"/>
              </w:rPr>
            </w:pPr>
            <w:r>
              <w:rPr>
                <w:rFonts w:ascii="Arial" w:cs="Arial" w:eastAsia="Arial" w:hAnsi="Arial"/>
                <w:sz w:val="18"/>
                <w:szCs w:val="18"/>
                <w:color w:val="auto"/>
              </w:rPr>
              <w:t>4,085,781</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29,947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3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11,199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4,127,162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Automobile</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3,555,757</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79,804</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23,359</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3,658,920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1,271,811</w:t>
            </w:r>
          </w:p>
        </w:tc>
        <w:tc>
          <w:tcPr>
            <w:tcW w:w="2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15,598</w:t>
            </w:r>
          </w:p>
        </w:tc>
        <w:tc>
          <w:tcPr>
            <w:tcW w:w="3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w:t>
            </w:r>
          </w:p>
        </w:tc>
        <w:tc>
          <w:tcPr>
            <w:tcW w:w="3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27,654</w:t>
            </w:r>
          </w:p>
        </w:tc>
        <w:tc>
          <w:tcPr>
            <w:tcW w:w="3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4,623</w:t>
            </w:r>
          </w:p>
        </w:tc>
        <w:tc>
          <w:tcPr>
            <w:tcW w:w="3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1,324,163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86,140,950</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866,337</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222,527</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39,750</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303,305</w:t>
            </w: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893,608</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$ 88,466,477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2140" w:type="dxa"/>
            <w:vAlign w:val="bottom"/>
            <w:tcBorders>
              <w:bottom w:val="single" w:sz="8" w:color="auto"/>
            </w:tcBorders>
          </w:tcPr>
          <w:p>
            <w:pPr>
              <w:spacing w:after="0"/>
              <w:rPr>
                <w:sz w:val="3"/>
                <w:szCs w:val="3"/>
                <w:color w:val="auto"/>
              </w:rPr>
            </w:pPr>
          </w:p>
        </w:tc>
        <w:tc>
          <w:tcPr>
            <w:tcW w:w="1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600" w:hanging="595"/>
        <w:spacing w:after="0"/>
        <w:tabs>
          <w:tab w:leader="none" w:pos="60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Excludes loans acquired at a discount.</w:t>
      </w:r>
    </w:p>
    <w:p>
      <w:pPr>
        <w:spacing w:after="0" w:line="16" w:lineRule="exact"/>
        <w:rPr>
          <w:rFonts w:ascii="Arial" w:cs="Arial" w:eastAsia="Arial" w:hAnsi="Arial"/>
          <w:sz w:val="18"/>
          <w:szCs w:val="18"/>
          <w:i w:val="1"/>
          <w:iCs w:val="1"/>
          <w:color w:val="auto"/>
        </w:rPr>
      </w:pPr>
    </w:p>
    <w:p>
      <w:pPr>
        <w:ind w:left="600" w:right="500" w:hanging="595"/>
        <w:spacing w:after="0" w:line="250" w:lineRule="auto"/>
        <w:tabs>
          <w:tab w:leader="none" w:pos="60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Loans acquired at a discount that were recorded at fair value at acquisition date. This category does not include purchased impaired loans that are presented separately.</w:t>
      </w:r>
    </w:p>
    <w:p>
      <w:pPr>
        <w:spacing w:after="0" w:line="1" w:lineRule="exact"/>
        <w:rPr>
          <w:rFonts w:ascii="Arial" w:cs="Arial" w:eastAsia="Arial" w:hAnsi="Arial"/>
          <w:sz w:val="18"/>
          <w:szCs w:val="18"/>
          <w:i w:val="1"/>
          <w:iCs w:val="1"/>
          <w:color w:val="auto"/>
        </w:rPr>
      </w:pPr>
    </w:p>
    <w:p>
      <w:pPr>
        <w:ind w:left="600" w:hanging="595"/>
        <w:spacing w:after="0"/>
        <w:tabs>
          <w:tab w:leader="none" w:pos="60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acquired at a discount that were impaired at acquisition date and recorded at fair value.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29" w:name="page130"/>
    <w:bookmarkEnd w:id="129"/>
    <w:p>
      <w:pPr>
        <w:ind w:right="180" w:firstLine="598"/>
        <w:spacing w:after="0" w:line="253" w:lineRule="auto"/>
        <w:rPr>
          <w:sz w:val="20"/>
          <w:szCs w:val="20"/>
          <w:color w:val="auto"/>
        </w:rPr>
      </w:pPr>
      <w:r>
        <w:rPr>
          <w:rFonts w:ascii="Arial" w:cs="Arial" w:eastAsia="Arial" w:hAnsi="Arial"/>
          <w:sz w:val="20"/>
          <w:szCs w:val="20"/>
          <w:color w:val="auto"/>
        </w:rPr>
        <w:t>If nonaccrual and renegotiated loans had been accruing interest at their originally contracted terms, interest income on such loans would have amounted to $68 million in 2019, $69 million in 2018 and $64 million in 2017. The actual amounts included in interest income on such loans were $33 million in each of 2019 and 2018 and $31 million in 2017.</w:t>
      </w:r>
    </w:p>
    <w:p>
      <w:pPr>
        <w:ind w:right="520" w:firstLine="598"/>
        <w:spacing w:after="0" w:line="256" w:lineRule="auto"/>
        <w:rPr>
          <w:sz w:val="20"/>
          <w:szCs w:val="20"/>
          <w:color w:val="auto"/>
        </w:rPr>
      </w:pPr>
      <w:r>
        <w:rPr>
          <w:rFonts w:ascii="Arial" w:cs="Arial" w:eastAsia="Arial" w:hAnsi="Arial"/>
          <w:sz w:val="20"/>
          <w:szCs w:val="20"/>
          <w:color w:val="auto"/>
        </w:rPr>
        <w:t>The outstanding principal balance and the carrying amount of loans acquired at a discount that were recorded at fair value at the acquisition date and included in the consolidated balance sheet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51"/>
        </w:trPr>
        <w:tc>
          <w:tcPr>
            <w:tcW w:w="84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8"/>
              <w:spacing w:after="0" w:line="151"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5"/>
              <w:spacing w:after="0" w:line="151"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76"/>
        </w:trPr>
        <w:tc>
          <w:tcPr>
            <w:tcW w:w="8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8"/>
        </w:trPr>
        <w:tc>
          <w:tcPr>
            <w:tcW w:w="8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Outstanding principal balance</w:t>
            </w:r>
          </w:p>
        </w:tc>
        <w:tc>
          <w:tcPr>
            <w:tcW w:w="2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769,414</w:t>
            </w: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1,016,785</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Carrying amount: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8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financial, leasing, etc.</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21,114</w:t>
            </w: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27,073</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94,890</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135,047</w:t>
            </w:r>
          </w:p>
        </w:tc>
        <w:tc>
          <w:tcPr>
            <w:tcW w:w="100" w:type="dxa"/>
            <w:vAlign w:val="bottom"/>
          </w:tcPr>
          <w:p>
            <w:pPr>
              <w:spacing w:after="0"/>
              <w:rPr>
                <w:sz w:val="19"/>
                <w:szCs w:val="19"/>
                <w:color w:val="auto"/>
              </w:rPr>
            </w:pPr>
          </w:p>
        </w:tc>
      </w:tr>
      <w:tr>
        <w:trPr>
          <w:trHeight w:val="224"/>
        </w:trPr>
        <w:tc>
          <w:tcPr>
            <w:tcW w:w="8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 real estate</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341,807</w:t>
            </w: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473,511</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77,785</w:t>
            </w:r>
          </w:p>
        </w:tc>
        <w:tc>
          <w:tcPr>
            <w:tcW w:w="4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91,860</w:t>
            </w:r>
          </w:p>
        </w:tc>
        <w:tc>
          <w:tcPr>
            <w:tcW w:w="100" w:type="dxa"/>
            <w:vAlign w:val="bottom"/>
            <w:tcBorders>
              <w:bottom w:val="single" w:sz="8" w:color="CFF0FC"/>
            </w:tcBorders>
          </w:tcPr>
          <w:p>
            <w:pPr>
              <w:spacing w:after="0"/>
              <w:rPr>
                <w:sz w:val="19"/>
                <w:szCs w:val="19"/>
                <w:color w:val="auto"/>
              </w:rPr>
            </w:pPr>
          </w:p>
        </w:tc>
      </w:tr>
      <w:tr>
        <w:trPr>
          <w:trHeight w:val="217"/>
        </w:trPr>
        <w:tc>
          <w:tcPr>
            <w:tcW w:w="84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535,596</w:t>
            </w:r>
          </w:p>
        </w:tc>
        <w:tc>
          <w:tcPr>
            <w:tcW w:w="4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727,491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8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right="120" w:firstLine="598"/>
        <w:spacing w:after="0" w:line="261" w:lineRule="auto"/>
        <w:rPr>
          <w:sz w:val="20"/>
          <w:szCs w:val="20"/>
          <w:color w:val="auto"/>
        </w:rPr>
      </w:pPr>
      <w:r>
        <w:rPr>
          <w:rFonts w:ascii="Arial" w:cs="Arial" w:eastAsia="Arial" w:hAnsi="Arial"/>
          <w:sz w:val="20"/>
          <w:szCs w:val="20"/>
          <w:color w:val="auto"/>
        </w:rPr>
        <w:t>Purchased impaired loans included in the table above totaled $228 million at December 31, 2019 and $303 million at December 31, 2018, representing less than 1% of the Company’s assets as of each date. A summary of changes in the accretable yield for loans acquired at a discount for the years ended December 31, 2019, 2018 and 2017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For the Year Ended December 31,</w:t>
            </w:r>
          </w:p>
        </w:tc>
        <w:tc>
          <w:tcPr>
            <w:tcW w:w="120" w:type="dxa"/>
            <w:vAlign w:val="bottom"/>
          </w:tcPr>
          <w:p>
            <w:pPr>
              <w:spacing w:after="0"/>
              <w:rPr>
                <w:sz w:val="14"/>
                <w:szCs w:val="14"/>
                <w:color w:val="auto"/>
              </w:rPr>
            </w:pPr>
          </w:p>
        </w:tc>
        <w:tc>
          <w:tcPr>
            <w:tcW w:w="110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2019</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2018</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2017</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5"/>
        </w:trPr>
        <w:tc>
          <w:tcPr>
            <w:tcW w:w="2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w w:val="89"/>
              </w:rPr>
              <w:t>Purchased</w:t>
            </w: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177"/>
              <w:spacing w:after="0" w:line="13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w w:val="89"/>
              </w:rPr>
              <w:t>Purchased</w:t>
            </w: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97"/>
              <w:spacing w:after="0" w:line="13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w w:val="89"/>
              </w:rPr>
              <w:t>Purchased</w:t>
            </w: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17"/>
              <w:spacing w:after="0" w:line="135"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1"/>
                <w:szCs w:val="11"/>
                <w:color w:val="auto"/>
              </w:rPr>
            </w:pPr>
          </w:p>
        </w:tc>
      </w:tr>
      <w:tr>
        <w:trPr>
          <w:trHeight w:val="167"/>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Impaired</w:t>
            </w:r>
          </w:p>
        </w:tc>
        <w:tc>
          <w:tcPr>
            <w:tcW w:w="1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Acquired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Impaired</w:t>
            </w:r>
          </w:p>
        </w:tc>
        <w:tc>
          <w:tcPr>
            <w:tcW w:w="14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Acquired</w:t>
            </w:r>
          </w:p>
        </w:tc>
        <w:tc>
          <w:tcPr>
            <w:tcW w:w="1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Impaired</w:t>
            </w:r>
          </w:p>
        </w:tc>
        <w:tc>
          <w:tcPr>
            <w:tcW w:w="14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Acquired</w:t>
            </w:r>
          </w:p>
        </w:tc>
      </w:tr>
      <w:tr>
        <w:trPr>
          <w:trHeight w:val="245"/>
        </w:trPr>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444"/>
        </w:trPr>
        <w:tc>
          <w:tcPr>
            <w:tcW w:w="4980" w:type="dxa"/>
            <w:vAlign w:val="bottom"/>
            <w:gridSpan w:val="3"/>
          </w:tcPr>
          <w:p>
            <w:pPr>
              <w:spacing w:after="0"/>
              <w:rPr>
                <w:sz w:val="20"/>
                <w:szCs w:val="20"/>
                <w:color w:val="auto"/>
              </w:rPr>
            </w:pPr>
            <w:r>
              <w:rPr>
                <w:rFonts w:ascii="Arial" w:cs="Arial" w:eastAsia="Arial" w:hAnsi="Arial"/>
                <w:sz w:val="18"/>
                <w:szCs w:val="18"/>
                <w:color w:val="auto"/>
              </w:rPr>
              <w:t>Balance at beginning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147,210</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96,907</w:t>
            </w:r>
          </w:p>
        </w:tc>
        <w:tc>
          <w:tcPr>
            <w:tcW w:w="1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157,918</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133,162</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154,233</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201,153</w:t>
            </w:r>
          </w:p>
        </w:tc>
        <w:tc>
          <w:tcPr>
            <w:tcW w:w="80" w:type="dxa"/>
            <w:vAlign w:val="bottom"/>
          </w:tcPr>
          <w:p>
            <w:pPr>
              <w:spacing w:after="0"/>
              <w:rPr>
                <w:sz w:val="24"/>
                <w:szCs w:val="24"/>
                <w:color w:val="auto"/>
              </w:rPr>
            </w:pPr>
          </w:p>
        </w:tc>
      </w:tr>
      <w:tr>
        <w:trPr>
          <w:trHeight w:val="224"/>
        </w:trPr>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(49,017)</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(36,452)</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(37,819)</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(63,856)</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(47,452)</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(82,605)</w:t>
            </w:r>
          </w:p>
        </w:tc>
      </w:tr>
      <w:tr>
        <w:trPr>
          <w:trHeight w:val="211"/>
        </w:trPr>
        <w:tc>
          <w:tcPr>
            <w:tcW w:w="4980" w:type="dxa"/>
            <w:vAlign w:val="bottom"/>
            <w:gridSpan w:val="3"/>
          </w:tcPr>
          <w:p>
            <w:pPr>
              <w:spacing w:after="0"/>
              <w:rPr>
                <w:sz w:val="20"/>
                <w:szCs w:val="20"/>
                <w:color w:val="auto"/>
              </w:rPr>
            </w:pPr>
            <w:r>
              <w:rPr>
                <w:rFonts w:ascii="Arial" w:cs="Arial" w:eastAsia="Arial" w:hAnsi="Arial"/>
                <w:sz w:val="18"/>
                <w:szCs w:val="18"/>
                <w:color w:val="auto"/>
              </w:rPr>
              <w:t>Reclassifications from</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4980" w:type="dxa"/>
            <w:vAlign w:val="bottom"/>
            <w:gridSpan w:val="3"/>
          </w:tcPr>
          <w:p>
            <w:pPr>
              <w:ind w:left="140"/>
              <w:spacing w:after="0"/>
              <w:rPr>
                <w:sz w:val="20"/>
                <w:szCs w:val="20"/>
                <w:color w:val="auto"/>
              </w:rPr>
            </w:pPr>
            <w:r>
              <w:rPr>
                <w:rFonts w:ascii="Arial" w:cs="Arial" w:eastAsia="Arial" w:hAnsi="Arial"/>
                <w:sz w:val="18"/>
                <w:szCs w:val="18"/>
                <w:color w:val="auto"/>
              </w:rPr>
              <w:t>nonaccretable balance</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36,718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15,534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51,137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16,437</w:t>
            </w:r>
          </w:p>
        </w:tc>
        <w:tc>
          <w:tcPr>
            <w:tcW w:w="80" w:type="dxa"/>
            <w:vAlign w:val="bottom"/>
          </w:tcPr>
          <w:p>
            <w:pPr>
              <w:spacing w:after="0"/>
              <w:rPr>
                <w:sz w:val="19"/>
                <w:szCs w:val="19"/>
                <w:color w:val="auto"/>
              </w:rPr>
            </w:pPr>
          </w:p>
        </w:tc>
      </w:tr>
      <w:tr>
        <w:trPr>
          <w:trHeight w:val="224"/>
        </w:trPr>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(a)</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(3,909)</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(1,823)</w:t>
            </w:r>
          </w:p>
        </w:tc>
      </w:tr>
      <w:tr>
        <w:trPr>
          <w:trHeight w:val="216"/>
        </w:trPr>
        <w:tc>
          <w:tcPr>
            <w:tcW w:w="4980" w:type="dxa"/>
            <w:vAlign w:val="bottom"/>
            <w:gridSpan w:val="3"/>
          </w:tcPr>
          <w:p>
            <w:pPr>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134,911</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72,080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147,210</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96,907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157,918</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133,162</w:t>
            </w:r>
          </w:p>
        </w:tc>
        <w:tc>
          <w:tcPr>
            <w:tcW w:w="80" w:type="dxa"/>
            <w:vAlign w:val="bottom"/>
          </w:tcPr>
          <w:p>
            <w:pPr>
              <w:spacing w:after="0"/>
              <w:rPr>
                <w:sz w:val="18"/>
                <w:szCs w:val="18"/>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1"/>
        </w:trPr>
        <w:tc>
          <w:tcPr>
            <w:tcW w:w="2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r>
    </w:tbl>
    <w:p>
      <w:pPr>
        <w:spacing w:after="0" w:line="26" w:lineRule="exact"/>
        <w:rPr>
          <w:sz w:val="20"/>
          <w:szCs w:val="20"/>
          <w:color w:val="auto"/>
        </w:rPr>
      </w:pPr>
    </w:p>
    <w:p>
      <w:pPr>
        <w:ind w:left="600" w:hanging="595"/>
        <w:spacing w:after="0"/>
        <w:tabs>
          <w:tab w:leader="none" w:pos="600" w:val="left"/>
        </w:tabs>
        <w:numPr>
          <w:ilvl w:val="0"/>
          <w:numId w:val="41"/>
        </w:numPr>
        <w:rPr>
          <w:rFonts w:ascii="Arial" w:cs="Arial" w:eastAsia="Arial" w:hAnsi="Arial"/>
          <w:sz w:val="18"/>
          <w:szCs w:val="18"/>
          <w:i w:val="1"/>
          <w:iCs w:val="1"/>
          <w:color w:val="auto"/>
        </w:rPr>
      </w:pPr>
      <w:r>
        <w:rPr>
          <w:rFonts w:ascii="Arial" w:cs="Arial" w:eastAsia="Arial" w:hAnsi="Arial"/>
          <w:sz w:val="20"/>
          <w:szCs w:val="20"/>
          <w:i w:val="1"/>
          <w:iCs w:val="1"/>
          <w:color w:val="auto"/>
        </w:rPr>
        <w:t>Other changes in expected cash flows including changes in interest rates and prepayment assumptions.</w:t>
      </w:r>
    </w:p>
    <w:p>
      <w:pPr>
        <w:spacing w:after="0" w:line="243" w:lineRule="exact"/>
        <w:rPr>
          <w:sz w:val="20"/>
          <w:szCs w:val="20"/>
          <w:color w:val="auto"/>
        </w:rPr>
      </w:pPr>
    </w:p>
    <w:p>
      <w:pPr>
        <w:ind w:right="240" w:firstLine="598"/>
        <w:spacing w:after="0" w:line="274" w:lineRule="auto"/>
        <w:rPr>
          <w:sz w:val="20"/>
          <w:szCs w:val="20"/>
          <w:color w:val="auto"/>
        </w:rPr>
      </w:pPr>
      <w:r>
        <w:rPr>
          <w:rFonts w:ascii="Arial" w:cs="Arial" w:eastAsia="Arial" w:hAnsi="Arial"/>
          <w:sz w:val="19"/>
          <w:szCs w:val="19"/>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30" w:name="page131"/>
    <w:bookmarkEnd w:id="130"/>
    <w:p>
      <w:pPr>
        <w:ind w:right="20" w:firstLine="598"/>
        <w:spacing w:after="0" w:line="275" w:lineRule="auto"/>
        <w:rPr>
          <w:sz w:val="20"/>
          <w:szCs w:val="20"/>
          <w:color w:val="auto"/>
        </w:rPr>
      </w:pPr>
      <w:r>
        <w:rPr>
          <w:rFonts w:ascii="Arial" w:cs="Arial" w:eastAsia="Arial" w:hAnsi="Arial"/>
          <w:sz w:val="20"/>
          <w:szCs w:val="20"/>
          <w:color w:val="auto"/>
        </w:rPr>
        <w:t>The tables that follow summarize the Company’s loan modification activities that were considered troubled debt restructurings for the years ended December 31, 2019, 2018 and 2017:</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Pre-</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Post-modification (a)</w:t>
            </w: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8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1"/>
              </w:rPr>
              <w:t>modification</w:t>
            </w:r>
          </w:p>
        </w:tc>
        <w:tc>
          <w:tcPr>
            <w:tcW w:w="100" w:type="dxa"/>
            <w:vAlign w:val="bottom"/>
          </w:tcPr>
          <w:p>
            <w:pPr>
              <w:spacing w:after="0"/>
              <w:rPr>
                <w:sz w:val="12"/>
                <w:szCs w:val="12"/>
                <w:color w:val="auto"/>
              </w:rPr>
            </w:pPr>
          </w:p>
        </w:tc>
        <w:tc>
          <w:tcPr>
            <w:tcW w:w="7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1"/>
              </w:rPr>
              <w:t>Principal</w:t>
            </w:r>
          </w:p>
        </w:tc>
        <w:tc>
          <w:tcPr>
            <w:tcW w:w="14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Interest Rate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Combination of</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2019</w:t>
            </w: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0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6"/>
              </w:rPr>
              <w:t>Recorded</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40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3"/>
                <w:szCs w:val="13"/>
                <w:color w:val="auto"/>
              </w:rPr>
            </w:pPr>
          </w:p>
        </w:tc>
        <w:tc>
          <w:tcPr>
            <w:tcW w:w="700" w:type="dxa"/>
            <w:vAlign w:val="bottom"/>
          </w:tcPr>
          <w:p>
            <w:pPr>
              <w:jc w:val="right"/>
              <w:ind w:right="74"/>
              <w:spacing w:after="0" w:line="154" w:lineRule="exact"/>
              <w:rPr>
                <w:sz w:val="20"/>
                <w:szCs w:val="20"/>
                <w:color w:val="auto"/>
              </w:rPr>
            </w:pPr>
            <w:r>
              <w:rPr>
                <w:rFonts w:ascii="Arial" w:cs="Arial" w:eastAsia="Arial" w:hAnsi="Arial"/>
                <w:sz w:val="14"/>
                <w:szCs w:val="14"/>
                <w:b w:val="1"/>
                <w:bCs w:val="1"/>
                <w:color w:val="auto"/>
                <w:w w:val="98"/>
              </w:rPr>
              <w:t>Deferral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33"/>
              <w:spacing w:after="0" w:line="154" w:lineRule="exact"/>
              <w:rPr>
                <w:sz w:val="20"/>
                <w:szCs w:val="20"/>
                <w:color w:val="auto"/>
              </w:rPr>
            </w:pPr>
            <w:r>
              <w:rPr>
                <w:rFonts w:ascii="Arial" w:cs="Arial" w:eastAsia="Arial" w:hAnsi="Arial"/>
                <w:sz w:val="14"/>
                <w:szCs w:val="14"/>
                <w:b w:val="1"/>
                <w:bCs w:val="1"/>
                <w:color w:val="auto"/>
                <w:w w:val="90"/>
              </w:rPr>
              <w:t>Reduction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80" w:type="dxa"/>
            <w:vAlign w:val="bottom"/>
            <w:gridSpan w:val="2"/>
          </w:tcPr>
          <w:p>
            <w:pPr>
              <w:spacing w:after="0" w:line="154" w:lineRule="exact"/>
              <w:rPr>
                <w:sz w:val="20"/>
                <w:szCs w:val="20"/>
                <w:color w:val="auto"/>
              </w:rPr>
            </w:pPr>
            <w:r>
              <w:rPr>
                <w:rFonts w:ascii="Arial" w:cs="Arial" w:eastAsia="Arial" w:hAnsi="Arial"/>
                <w:sz w:val="14"/>
                <w:szCs w:val="14"/>
                <w:b w:val="1"/>
                <w:bCs w:val="1"/>
                <w:color w:val="auto"/>
                <w:w w:val="85"/>
              </w:rPr>
              <w:t>Concession Types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880" w:type="dxa"/>
            <w:vAlign w:val="bottom"/>
            <w:tcBorders>
              <w:top w:val="single" w:sz="8" w:color="auto"/>
            </w:tcBorders>
          </w:tcPr>
          <w:p>
            <w:pPr>
              <w:spacing w:after="0"/>
              <w:rPr>
                <w:sz w:val="15"/>
                <w:szCs w:val="15"/>
                <w:color w:val="auto"/>
              </w:rPr>
            </w:pPr>
          </w:p>
        </w:tc>
        <w:tc>
          <w:tcPr>
            <w:tcW w:w="25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6"/>
        </w:trPr>
        <w:tc>
          <w:tcPr>
            <w:tcW w:w="4400" w:type="dxa"/>
            <w:vAlign w:val="bottom"/>
            <w:gridSpan w:val="2"/>
          </w:tcPr>
          <w:p>
            <w:pPr>
              <w:spacing w:after="0"/>
              <w:rPr>
                <w:sz w:val="20"/>
                <w:szCs w:val="20"/>
                <w:color w:val="auto"/>
              </w:rPr>
            </w:pPr>
            <w:r>
              <w:rPr>
                <w:rFonts w:ascii="Arial" w:cs="Arial" w:eastAsia="Arial" w:hAnsi="Arial"/>
                <w:sz w:val="18"/>
                <w:szCs w:val="18"/>
                <w:color w:val="auto"/>
              </w:rPr>
              <w:t>Commercial, financial, leasing, etc.</w:t>
            </w:r>
          </w:p>
        </w:tc>
        <w:tc>
          <w:tcPr>
            <w:tcW w:w="68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63,715</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10,485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52,871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63,356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ind w:left="240"/>
              <w:spacing w:after="0"/>
              <w:rPr>
                <w:sz w:val="20"/>
                <w:szCs w:val="20"/>
                <w:color w:val="auto"/>
              </w:rPr>
            </w:pPr>
            <w:r>
              <w:rPr>
                <w:rFonts w:ascii="Arial" w:cs="Arial" w:eastAsia="Arial" w:hAnsi="Arial"/>
                <w:sz w:val="18"/>
                <w:szCs w:val="18"/>
                <w:color w:val="auto"/>
              </w:rPr>
              <w:t>Commercial</w:t>
            </w: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48,315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26,152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 builder and developer</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ind w:left="240"/>
              <w:spacing w:after="0"/>
              <w:rPr>
                <w:sz w:val="20"/>
                <w:szCs w:val="20"/>
                <w:color w:val="auto"/>
              </w:rPr>
            </w:pPr>
            <w:r>
              <w:rPr>
                <w:rFonts w:ascii="Arial" w:cs="Arial" w:eastAsia="Arial" w:hAnsi="Arial"/>
                <w:sz w:val="18"/>
                <w:szCs w:val="18"/>
                <w:color w:val="auto"/>
              </w:rPr>
              <w:t>Other commercial construction</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21,695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11,907</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400" w:type="dxa"/>
            <w:vAlign w:val="bottom"/>
            <w:gridSpan w:val="2"/>
          </w:tcPr>
          <w:p>
            <w:pPr>
              <w:ind w:left="240"/>
              <w:spacing w:after="0"/>
              <w:rPr>
                <w:sz w:val="20"/>
                <w:szCs w:val="20"/>
                <w:color w:val="auto"/>
              </w:rPr>
            </w:pPr>
            <w:r>
              <w:rPr>
                <w:rFonts w:ascii="Arial" w:cs="Arial" w:eastAsia="Arial" w:hAnsi="Arial"/>
                <w:sz w:val="18"/>
                <w:szCs w:val="18"/>
                <w:color w:val="auto"/>
              </w:rPr>
              <w:t>Residential — limited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gridSpan w:val="2"/>
          </w:tcPr>
          <w:p>
            <w:pPr>
              <w:ind w:left="380"/>
              <w:spacing w:after="0"/>
              <w:rPr>
                <w:sz w:val="20"/>
                <w:szCs w:val="20"/>
                <w:color w:val="auto"/>
              </w:rPr>
            </w:pPr>
            <w:r>
              <w:rPr>
                <w:rFonts w:ascii="Arial" w:cs="Arial" w:eastAsia="Arial" w:hAnsi="Arial"/>
                <w:sz w:val="18"/>
                <w:szCs w:val="18"/>
                <w:color w:val="auto"/>
              </w:rPr>
              <w:t>documentation</w:t>
            </w: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ind w:left="240"/>
              <w:spacing w:after="0"/>
              <w:rPr>
                <w:sz w:val="20"/>
                <w:szCs w:val="20"/>
                <w:color w:val="auto"/>
              </w:rPr>
            </w:pPr>
            <w:r>
              <w:rPr>
                <w:rFonts w:ascii="Arial" w:cs="Arial" w:eastAsia="Arial" w:hAnsi="Arial"/>
                <w:sz w:val="18"/>
                <w:szCs w:val="18"/>
                <w:color w:val="auto"/>
              </w:rPr>
              <w:t>Home equity lines and loans</w:t>
            </w: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4,004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Recreational finance</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Automobile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00" w:type="dxa"/>
            <w:vAlign w:val="bottom"/>
            <w:gridSpan w:val="2"/>
            <w:shd w:val="clear" w:color="auto" w:fill="CFF0FC"/>
          </w:tcPr>
          <w:p>
            <w:pPr>
              <w:spacing w:after="0" w:line="203" w:lineRule="exact"/>
              <w:rPr>
                <w:sz w:val="20"/>
                <w:szCs w:val="20"/>
                <w:color w:val="auto"/>
              </w:rPr>
            </w:pPr>
            <w:r>
              <w:rPr>
                <w:rFonts w:ascii="Arial" w:cs="Arial" w:eastAsia="Arial" w:hAnsi="Arial"/>
                <w:sz w:val="18"/>
                <w:szCs w:val="18"/>
                <w:color w:val="auto"/>
              </w:rPr>
              <w:t>Total</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143,556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29,481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97,543</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127,024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4"/>
                <w:szCs w:val="14"/>
                <w:b w:val="1"/>
                <w:bCs w:val="1"/>
                <w:color w:val="auto"/>
              </w:rPr>
              <w:t>Year Ended December 31, 2018</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880" w:type="dxa"/>
            <w:vAlign w:val="bottom"/>
            <w:tcBorders>
              <w:top w:val="single" w:sz="8" w:color="auto"/>
            </w:tcBorders>
          </w:tcPr>
          <w:p>
            <w:pPr>
              <w:spacing w:after="0"/>
              <w:rPr>
                <w:sz w:val="18"/>
                <w:szCs w:val="18"/>
                <w:color w:val="auto"/>
              </w:rPr>
            </w:pPr>
          </w:p>
        </w:tc>
        <w:tc>
          <w:tcPr>
            <w:tcW w:w="2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50,490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6,210</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45,411</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102,914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4,686</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30,731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ind w:left="240"/>
              <w:spacing w:after="0"/>
              <w:rPr>
                <w:sz w:val="20"/>
                <w:szCs w:val="20"/>
                <w:color w:val="auto"/>
              </w:rPr>
            </w:pPr>
            <w:r>
              <w:rPr>
                <w:rFonts w:ascii="Arial" w:cs="Arial" w:eastAsia="Arial" w:hAnsi="Arial"/>
                <w:sz w:val="18"/>
                <w:szCs w:val="18"/>
                <w:color w:val="auto"/>
              </w:rPr>
              <w:t>Other commercial construction</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34,798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38,072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400" w:type="dxa"/>
            <w:vAlign w:val="bottom"/>
            <w:gridSpan w:val="2"/>
          </w:tcPr>
          <w:p>
            <w:pPr>
              <w:ind w:left="240"/>
              <w:spacing w:after="0"/>
              <w:rPr>
                <w:sz w:val="20"/>
                <w:szCs w:val="20"/>
                <w:color w:val="auto"/>
              </w:rPr>
            </w:pPr>
            <w:r>
              <w:rPr>
                <w:rFonts w:ascii="Arial" w:cs="Arial" w:eastAsia="Arial" w:hAnsi="Arial"/>
                <w:sz w:val="18"/>
                <w:szCs w:val="18"/>
                <w:color w:val="auto"/>
              </w:rPr>
              <w:t>Residential — limited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gridSpan w:val="2"/>
          </w:tcPr>
          <w:p>
            <w:pPr>
              <w:ind w:left="380"/>
              <w:spacing w:after="0"/>
              <w:rPr>
                <w:sz w:val="20"/>
                <w:szCs w:val="20"/>
                <w:color w:val="auto"/>
              </w:rPr>
            </w:pPr>
            <w:r>
              <w:rPr>
                <w:rFonts w:ascii="Arial" w:cs="Arial" w:eastAsia="Arial" w:hAnsi="Arial"/>
                <w:sz w:val="18"/>
                <w:szCs w:val="18"/>
                <w:color w:val="auto"/>
              </w:rPr>
              <w:t>documentation</w:t>
            </w: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ind w:left="240"/>
              <w:spacing w:after="0"/>
              <w:rPr>
                <w:sz w:val="20"/>
                <w:szCs w:val="20"/>
                <w:color w:val="auto"/>
              </w:rPr>
            </w:pPr>
            <w:r>
              <w:rPr>
                <w:rFonts w:ascii="Arial" w:cs="Arial" w:eastAsia="Arial" w:hAnsi="Arial"/>
                <w:sz w:val="18"/>
                <w:szCs w:val="18"/>
                <w:color w:val="auto"/>
              </w:rPr>
              <w:t>Home equity lines and loans</w:t>
            </w: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3,755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Recreational finance</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Automobile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175,583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90,639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10,896</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77,711</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180,224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FF0FC"/>
            </w:tcBorders>
          </w:tcPr>
          <w:p>
            <w:pPr>
              <w:spacing w:after="0" w:line="20" w:lineRule="exact"/>
              <w:rPr>
                <w:sz w:val="1"/>
                <w:szCs w:val="1"/>
                <w:color w:val="auto"/>
              </w:rPr>
            </w:pPr>
          </w:p>
        </w:tc>
        <w:tc>
          <w:tcPr>
            <w:tcW w:w="25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18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55"/>
              <w:spacing w:after="0"/>
              <w:rPr>
                <w:sz w:val="20"/>
                <w:szCs w:val="20"/>
                <w:color w:val="auto"/>
              </w:rPr>
            </w:pPr>
            <w:r>
              <w:rPr>
                <w:rFonts w:ascii="Arial" w:cs="Arial" w:eastAsia="Arial" w:hAnsi="Arial"/>
                <w:sz w:val="18"/>
                <w:szCs w:val="18"/>
                <w:color w:val="auto"/>
                <w:w w:val="86"/>
              </w:rPr>
              <w:t>131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88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67"/>
        </w:trPr>
        <w:tc>
          <w:tcPr>
            <w:tcW w:w="18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Pre-</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4"/>
              </w:rPr>
              <w:t>Post-modification (a)</w:t>
            </w: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8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1"/>
              </w:rPr>
              <w:t>modification</w:t>
            </w:r>
          </w:p>
        </w:tc>
        <w:tc>
          <w:tcPr>
            <w:tcW w:w="100" w:type="dxa"/>
            <w:vAlign w:val="bottom"/>
          </w:tcPr>
          <w:p>
            <w:pPr>
              <w:spacing w:after="0"/>
              <w:rPr>
                <w:sz w:val="12"/>
                <w:szCs w:val="12"/>
                <w:color w:val="auto"/>
              </w:rPr>
            </w:pPr>
          </w:p>
        </w:tc>
        <w:tc>
          <w:tcPr>
            <w:tcW w:w="70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1"/>
              </w:rPr>
              <w:t>Principal</w:t>
            </w:r>
          </w:p>
        </w:tc>
        <w:tc>
          <w:tcPr>
            <w:tcW w:w="12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Interest Rate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Combination of</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2017</w:t>
            </w: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0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6"/>
              </w:rPr>
              <w:t>Recorded</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5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3"/>
                <w:szCs w:val="13"/>
                <w:color w:val="auto"/>
              </w:rPr>
            </w:pPr>
          </w:p>
        </w:tc>
        <w:tc>
          <w:tcPr>
            <w:tcW w:w="700" w:type="dxa"/>
            <w:vAlign w:val="bottom"/>
          </w:tcPr>
          <w:p>
            <w:pPr>
              <w:jc w:val="right"/>
              <w:ind w:right="76"/>
              <w:spacing w:after="0" w:line="154" w:lineRule="exact"/>
              <w:rPr>
                <w:sz w:val="20"/>
                <w:szCs w:val="20"/>
                <w:color w:val="auto"/>
              </w:rPr>
            </w:pPr>
            <w:r>
              <w:rPr>
                <w:rFonts w:ascii="Arial" w:cs="Arial" w:eastAsia="Arial" w:hAnsi="Arial"/>
                <w:sz w:val="14"/>
                <w:szCs w:val="14"/>
                <w:b w:val="1"/>
                <w:bCs w:val="1"/>
                <w:color w:val="auto"/>
                <w:w w:val="98"/>
              </w:rPr>
              <w:t>Deferral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ind w:left="20"/>
              <w:spacing w:after="0" w:line="154" w:lineRule="exact"/>
              <w:rPr>
                <w:sz w:val="20"/>
                <w:szCs w:val="20"/>
                <w:color w:val="auto"/>
              </w:rPr>
            </w:pPr>
            <w:r>
              <w:rPr>
                <w:rFonts w:ascii="Arial" w:cs="Arial" w:eastAsia="Arial" w:hAnsi="Arial"/>
                <w:sz w:val="14"/>
                <w:szCs w:val="14"/>
                <w:b w:val="1"/>
                <w:bCs w:val="1"/>
                <w:color w:val="auto"/>
              </w:rPr>
              <w:t>Reduction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80" w:type="dxa"/>
            <w:vAlign w:val="bottom"/>
            <w:gridSpan w:val="2"/>
          </w:tcPr>
          <w:p>
            <w:pPr>
              <w:spacing w:after="0" w:line="154" w:lineRule="exact"/>
              <w:rPr>
                <w:sz w:val="20"/>
                <w:szCs w:val="20"/>
                <w:color w:val="auto"/>
              </w:rPr>
            </w:pPr>
            <w:r>
              <w:rPr>
                <w:rFonts w:ascii="Arial" w:cs="Arial" w:eastAsia="Arial" w:hAnsi="Arial"/>
                <w:sz w:val="14"/>
                <w:szCs w:val="14"/>
                <w:b w:val="1"/>
                <w:bCs w:val="1"/>
                <w:color w:val="auto"/>
                <w:w w:val="85"/>
              </w:rPr>
              <w:t>Concession Types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880" w:type="dxa"/>
            <w:vAlign w:val="bottom"/>
            <w:tcBorders>
              <w:top w:val="single" w:sz="8" w:color="auto"/>
            </w:tcBorders>
          </w:tcPr>
          <w:p>
            <w:pPr>
              <w:spacing w:after="0"/>
              <w:rPr>
                <w:sz w:val="15"/>
                <w:szCs w:val="15"/>
                <w:color w:val="auto"/>
              </w:rPr>
            </w:pPr>
          </w:p>
        </w:tc>
        <w:tc>
          <w:tcPr>
            <w:tcW w:w="26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20" w:type="dxa"/>
            <w:vAlign w:val="bottom"/>
            <w:tcBorders>
              <w:top w:val="single" w:sz="8" w:color="auto"/>
            </w:tcBorders>
            <w:gridSpan w:val="8"/>
          </w:tcPr>
          <w:p>
            <w:pPr>
              <w:ind w:left="66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6"/>
        </w:trPr>
        <w:tc>
          <w:tcPr>
            <w:tcW w:w="4500" w:type="dxa"/>
            <w:vAlign w:val="bottom"/>
            <w:gridSpan w:val="2"/>
          </w:tcPr>
          <w:p>
            <w:pPr>
              <w:spacing w:after="0"/>
              <w:rPr>
                <w:sz w:val="20"/>
                <w:szCs w:val="20"/>
                <w:color w:val="auto"/>
              </w:rPr>
            </w:pPr>
            <w:r>
              <w:rPr>
                <w:rFonts w:ascii="Arial" w:cs="Arial" w:eastAsia="Arial" w:hAnsi="Arial"/>
                <w:sz w:val="18"/>
                <w:szCs w:val="18"/>
                <w:color w:val="auto"/>
              </w:rPr>
              <w:t>Commercial, financial, leasing, etc.</w:t>
            </w:r>
          </w:p>
        </w:tc>
        <w:tc>
          <w:tcPr>
            <w:tcW w:w="70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111,036</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25,051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6,459</w:t>
            </w:r>
          </w:p>
        </w:tc>
        <w:tc>
          <w:tcPr>
            <w:tcW w:w="1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57,153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88,663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ind w:left="240"/>
              <w:spacing w:after="0"/>
              <w:rPr>
                <w:sz w:val="20"/>
                <w:szCs w:val="20"/>
                <w:color w:val="auto"/>
              </w:rPr>
            </w:pPr>
            <w:r>
              <w:rPr>
                <w:rFonts w:ascii="Arial" w:cs="Arial" w:eastAsia="Arial" w:hAnsi="Arial"/>
                <w:sz w:val="18"/>
                <w:szCs w:val="18"/>
                <w:color w:val="auto"/>
              </w:rPr>
              <w:t>Commercial</w:t>
            </w:r>
          </w:p>
        </w:tc>
        <w:tc>
          <w:tcPr>
            <w:tcW w:w="7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44,924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22,975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40,882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 builder and developer</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ind w:left="5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10,879</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ind w:left="240"/>
              <w:spacing w:after="0"/>
              <w:rPr>
                <w:sz w:val="20"/>
                <w:szCs w:val="20"/>
                <w:color w:val="auto"/>
              </w:rPr>
            </w:pPr>
            <w:r>
              <w:rPr>
                <w:rFonts w:ascii="Arial" w:cs="Arial" w:eastAsia="Arial" w:hAnsi="Arial"/>
                <w:sz w:val="18"/>
                <w:szCs w:val="18"/>
                <w:color w:val="auto"/>
              </w:rPr>
              <w:t>Other commercial construction</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ind w:left="5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17,974</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500" w:type="dxa"/>
            <w:vAlign w:val="bottom"/>
            <w:gridSpan w:val="2"/>
          </w:tcPr>
          <w:p>
            <w:pPr>
              <w:ind w:left="240"/>
              <w:spacing w:after="0"/>
              <w:rPr>
                <w:sz w:val="20"/>
                <w:szCs w:val="20"/>
                <w:color w:val="auto"/>
              </w:rPr>
            </w:pPr>
            <w:r>
              <w:rPr>
                <w:rFonts w:ascii="Arial" w:cs="Arial" w:eastAsia="Arial" w:hAnsi="Arial"/>
                <w:sz w:val="18"/>
                <w:szCs w:val="18"/>
                <w:color w:val="auto"/>
              </w:rPr>
              <w:t>Residential — limited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00" w:type="dxa"/>
            <w:vAlign w:val="bottom"/>
            <w:gridSpan w:val="2"/>
          </w:tcPr>
          <w:p>
            <w:pPr>
              <w:ind w:left="380"/>
              <w:spacing w:after="0"/>
              <w:rPr>
                <w:sz w:val="20"/>
                <w:szCs w:val="20"/>
                <w:color w:val="auto"/>
              </w:rPr>
            </w:pPr>
            <w:r>
              <w:rPr>
                <w:rFonts w:ascii="Arial" w:cs="Arial" w:eastAsia="Arial" w:hAnsi="Arial"/>
                <w:sz w:val="18"/>
                <w:szCs w:val="18"/>
                <w:color w:val="auto"/>
              </w:rPr>
              <w:t>documentation</w:t>
            </w: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3,661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ind w:left="240"/>
              <w:spacing w:after="0"/>
              <w:rPr>
                <w:sz w:val="20"/>
                <w:szCs w:val="20"/>
                <w:color w:val="auto"/>
              </w:rPr>
            </w:pPr>
            <w:r>
              <w:rPr>
                <w:rFonts w:ascii="Arial" w:cs="Arial" w:eastAsia="Arial" w:hAnsi="Arial"/>
                <w:sz w:val="18"/>
                <w:szCs w:val="18"/>
                <w:color w:val="auto"/>
              </w:rPr>
              <w:t>Home equity lines and loans</w:t>
            </w:r>
          </w:p>
        </w:tc>
        <w:tc>
          <w:tcPr>
            <w:tcW w:w="7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8,585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Recreational finance</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ind w:left="5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Automobile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00" w:type="dxa"/>
            <w:vAlign w:val="bottom"/>
            <w:gridSpan w:val="2"/>
            <w:shd w:val="clear" w:color="auto" w:fill="CFF0FC"/>
          </w:tcPr>
          <w:p>
            <w:pPr>
              <w:spacing w:after="0" w:line="203" w:lineRule="exact"/>
              <w:rPr>
                <w:sz w:val="20"/>
                <w:szCs w:val="20"/>
                <w:color w:val="auto"/>
              </w:rPr>
            </w:pPr>
            <w:r>
              <w:rPr>
                <w:rFonts w:ascii="Arial" w:cs="Arial" w:eastAsia="Arial" w:hAnsi="Arial"/>
                <w:sz w:val="18"/>
                <w:szCs w:val="18"/>
                <w:color w:val="auto"/>
              </w:rPr>
              <w:t>Total</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216,063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62,302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ind w:left="56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7,818</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121,402</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191,522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FF0FC"/>
            </w:tcBorders>
          </w:tcPr>
          <w:p>
            <w:pPr>
              <w:spacing w:after="0" w:line="20" w:lineRule="exact"/>
              <w:rPr>
                <w:sz w:val="1"/>
                <w:szCs w:val="1"/>
                <w:color w:val="auto"/>
              </w:rPr>
            </w:pPr>
          </w:p>
        </w:tc>
        <w:tc>
          <w:tcPr>
            <w:tcW w:w="26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right="20" w:hanging="595"/>
        <w:spacing w:after="0" w:line="261" w:lineRule="auto"/>
        <w:tabs>
          <w:tab w:leader="none" w:pos="60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effects impacting the recorded investment included principal payments or advances, charge-offs and capitalized escrow arrearages. The present value of interest rate concessions, discounted at the effective rate of the original loan, was not material.</w:t>
      </w:r>
    </w:p>
    <w:p>
      <w:pPr>
        <w:spacing w:after="0" w:line="192"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December 31, 2019, 2018 and 2017 and for which there was a subsequent payment default during the respective year were not material.</w:t>
      </w:r>
    </w:p>
    <w:p>
      <w:pPr>
        <w:spacing w:after="0" w:line="4" w:lineRule="exact"/>
        <w:rPr>
          <w:sz w:val="20"/>
          <w:szCs w:val="20"/>
          <w:color w:val="auto"/>
        </w:rPr>
      </w:pPr>
    </w:p>
    <w:p>
      <w:pPr>
        <w:ind w:right="140" w:firstLine="598"/>
        <w:spacing w:after="0" w:line="246" w:lineRule="auto"/>
        <w:rPr>
          <w:sz w:val="20"/>
          <w:szCs w:val="20"/>
          <w:color w:val="auto"/>
        </w:rPr>
      </w:pPr>
      <w:r>
        <w:rPr>
          <w:rFonts w:ascii="Arial" w:cs="Arial" w:eastAsia="Arial" w:hAnsi="Arial"/>
          <w:sz w:val="20"/>
          <w:szCs w:val="20"/>
          <w:color w:val="auto"/>
        </w:rPr>
        <w:t>Borrowings by directors and certain officers of M&amp;T and its banking subsidiaries, and by associates of such persons, exclusive of loans aggregating less than $60,000, amounted to $28 million and $77 million at December 31, 2019 and 2018, respectively. During 2019, new borrowings by such persons amounted to $1 million (including any borrowings of new directors or officers that were outstanding at the time of their election) and repayments and other reductions (including reductions resulting from individuals ceasing to be directors or officers) were $50 million.</w:t>
      </w:r>
    </w:p>
    <w:p>
      <w:pPr>
        <w:spacing w:after="0" w:line="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December 31, 2019, approximately $11.9 billion of commercial loans and leases, $13.3 billion of commercial real estate loans,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$11.5 billion of one-to-four family residential real estate loans, $2.3 billion of home equity loans and lines of credit and $7.5 billion of other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consumer loans were pledged to secure outstanding borrowings from the FHLB of New York and available lines of credit as described in</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note 8.</w:t>
      </w:r>
    </w:p>
    <w:p>
      <w:pPr>
        <w:spacing w:after="0" w:line="7" w:lineRule="exact"/>
        <w:rPr>
          <w:sz w:val="20"/>
          <w:szCs w:val="20"/>
          <w:color w:val="auto"/>
        </w:rPr>
      </w:pPr>
    </w:p>
    <w:p>
      <w:pPr>
        <w:ind w:right="60" w:firstLine="598"/>
        <w:spacing w:after="0" w:line="249" w:lineRule="auto"/>
        <w:rPr>
          <w:sz w:val="20"/>
          <w:szCs w:val="20"/>
          <w:color w:val="auto"/>
        </w:rPr>
      </w:pPr>
      <w:r>
        <w:rPr>
          <w:rFonts w:ascii="Arial" w:cs="Arial" w:eastAsia="Arial" w:hAnsi="Arial"/>
          <w:sz w:val="20"/>
          <w:szCs w:val="20"/>
          <w:color w:val="auto"/>
        </w:rPr>
        <w:t>The Company’s loan and lease portfolio includes commercial lease financing receivables consisting of direct financing and leveraged leases for machinery and equipment, railroad equipment, commercial trucks and trailers, and aircraft. Certain leases contain payment schedules that are tied to variable interest rate indices. In general, early termination options are provided if the lessee is not in default, returns the leased equipment and pays an early termination fee. Additionally, options to purchase the underlying asset by the lessee are generally at the fair market value of the equipment.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853" w:right="239" w:bottom="1440" w:gutter="0" w:footer="0" w:header="0"/>
        </w:sectPr>
      </w:pPr>
    </w:p>
    <w:bookmarkStart w:id="132" w:name="page133"/>
    <w:bookmarkEnd w:id="132"/>
    <w:p>
      <w:pPr>
        <w:ind w:right="120"/>
        <w:spacing w:after="0" w:line="256" w:lineRule="auto"/>
        <w:rPr>
          <w:sz w:val="20"/>
          <w:szCs w:val="20"/>
          <w:color w:val="auto"/>
        </w:rPr>
      </w:pPr>
      <w:r>
        <w:rPr>
          <w:rFonts w:ascii="Arial" w:cs="Arial" w:eastAsia="Arial" w:hAnsi="Arial"/>
          <w:sz w:val="20"/>
          <w:szCs w:val="20"/>
          <w:color w:val="auto"/>
        </w:rPr>
        <w:t>Effective January 1, 2019, the Company adopted new guidance related to lease accounting published by the Financial Accounting Standards Board (“FASB”). Under the new guidance, the accounting applied by lessors is largely unchanged from previous GAAP, however, the guidance eliminates the accounting model for leveraged leases that commence after the effective date of the guidance. A summary of lease financing receivables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64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6"/>
              <w:spacing w:after="0" w:line="151"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2"/>
              <w:spacing w:after="0" w:line="151"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1"/>
        </w:trPr>
        <w:tc>
          <w:tcPr>
            <w:tcW w:w="64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4"/>
          </w:tcPr>
          <w:p>
            <w:pPr>
              <w:jc w:val="right"/>
              <w:spacing w:after="0" w:line="151" w:lineRule="exact"/>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50"/>
        </w:trPr>
        <w:tc>
          <w:tcPr>
            <w:tcW w:w="6440" w:type="dxa"/>
            <w:vAlign w:val="bottom"/>
            <w:shd w:val="clear" w:color="auto" w:fill="CFF0FC"/>
          </w:tcPr>
          <w:p>
            <w:pPr>
              <w:spacing w:after="0"/>
              <w:rPr>
                <w:sz w:val="20"/>
                <w:szCs w:val="20"/>
                <w:color w:val="auto"/>
              </w:rPr>
            </w:pPr>
            <w:r>
              <w:rPr>
                <w:rFonts w:ascii="Arial" w:cs="Arial" w:eastAsia="Arial" w:hAnsi="Arial"/>
                <w:sz w:val="20"/>
                <w:szCs w:val="20"/>
                <w:color w:val="auto"/>
              </w:rPr>
              <w:t>Commercial leases:</w:t>
            </w:r>
          </w:p>
        </w:tc>
        <w:tc>
          <w:tcPr>
            <w:tcW w:w="2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6440" w:type="dxa"/>
            <w:vAlign w:val="bottom"/>
          </w:tcPr>
          <w:p>
            <w:pPr>
              <w:ind w:left="240"/>
              <w:spacing w:after="0"/>
              <w:rPr>
                <w:sz w:val="20"/>
                <w:szCs w:val="20"/>
                <w:color w:val="auto"/>
              </w:rPr>
            </w:pPr>
            <w:r>
              <w:rPr>
                <w:rFonts w:ascii="Arial" w:cs="Arial" w:eastAsia="Arial" w:hAnsi="Arial"/>
                <w:sz w:val="20"/>
                <w:szCs w:val="20"/>
                <w:color w:val="auto"/>
              </w:rPr>
              <w:t>Direct financings:</w:t>
            </w:r>
          </w:p>
        </w:tc>
        <w:tc>
          <w:tcPr>
            <w:tcW w:w="2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6440" w:type="dxa"/>
            <w:vAlign w:val="bottom"/>
            <w:shd w:val="clear" w:color="auto" w:fill="CFF0FC"/>
          </w:tcPr>
          <w:p>
            <w:pPr>
              <w:ind w:left="480"/>
              <w:spacing w:after="0"/>
              <w:rPr>
                <w:sz w:val="20"/>
                <w:szCs w:val="20"/>
                <w:color w:val="auto"/>
              </w:rPr>
            </w:pPr>
            <w:r>
              <w:rPr>
                <w:rFonts w:ascii="Arial" w:cs="Arial" w:eastAsia="Arial" w:hAnsi="Arial"/>
                <w:sz w:val="20"/>
                <w:szCs w:val="20"/>
                <w:color w:val="auto"/>
              </w:rPr>
              <w:t>Lease payments receivable</w:t>
            </w:r>
          </w:p>
        </w:tc>
        <w:tc>
          <w:tcPr>
            <w:tcW w:w="2440" w:type="dxa"/>
            <w:vAlign w:val="bottom"/>
            <w:gridSpan w:val="2"/>
            <w:shd w:val="clear" w:color="auto" w:fill="CFF0FC"/>
          </w:tcPr>
          <w:p>
            <w:pPr>
              <w:jc w:val="right"/>
              <w:ind w:right="79"/>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1,164,567</w:t>
            </w:r>
          </w:p>
        </w:tc>
        <w:tc>
          <w:tcPr>
            <w:tcW w:w="12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199"/>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4"/>
              </w:rPr>
              <w:t>1,155,464</w:t>
            </w:r>
          </w:p>
        </w:tc>
        <w:tc>
          <w:tcPr>
            <w:tcW w:w="100" w:type="dxa"/>
            <w:vAlign w:val="bottom"/>
            <w:shd w:val="clear" w:color="auto" w:fill="CFF0FC"/>
          </w:tcPr>
          <w:p>
            <w:pPr>
              <w:spacing w:after="0"/>
              <w:rPr>
                <w:sz w:val="21"/>
                <w:szCs w:val="21"/>
                <w:color w:val="auto"/>
              </w:rPr>
            </w:pPr>
          </w:p>
        </w:tc>
      </w:tr>
      <w:tr>
        <w:trPr>
          <w:trHeight w:val="250"/>
        </w:trPr>
        <w:tc>
          <w:tcPr>
            <w:tcW w:w="6440" w:type="dxa"/>
            <w:vAlign w:val="bottom"/>
          </w:tcPr>
          <w:p>
            <w:pPr>
              <w:ind w:left="480"/>
              <w:spacing w:after="0"/>
              <w:rPr>
                <w:sz w:val="20"/>
                <w:szCs w:val="20"/>
                <w:color w:val="auto"/>
              </w:rPr>
            </w:pPr>
            <w:r>
              <w:rPr>
                <w:rFonts w:ascii="Arial" w:cs="Arial" w:eastAsia="Arial" w:hAnsi="Arial"/>
                <w:sz w:val="20"/>
                <w:szCs w:val="20"/>
                <w:color w:val="auto"/>
              </w:rPr>
              <w:t>Estimated residual value of leased assets</w:t>
            </w:r>
          </w:p>
        </w:tc>
        <w:tc>
          <w:tcPr>
            <w:tcW w:w="2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84,540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85,169</w:t>
            </w:r>
          </w:p>
        </w:tc>
        <w:tc>
          <w:tcPr>
            <w:tcW w:w="100" w:type="dxa"/>
            <w:vAlign w:val="bottom"/>
          </w:tcPr>
          <w:p>
            <w:pPr>
              <w:spacing w:after="0"/>
              <w:rPr>
                <w:sz w:val="21"/>
                <w:szCs w:val="21"/>
                <w:color w:val="auto"/>
              </w:rPr>
            </w:pPr>
          </w:p>
        </w:tc>
      </w:tr>
      <w:tr>
        <w:trPr>
          <w:trHeight w:val="250"/>
        </w:trPr>
        <w:tc>
          <w:tcPr>
            <w:tcW w:w="6440" w:type="dxa"/>
            <w:vAlign w:val="bottom"/>
            <w:shd w:val="clear" w:color="auto" w:fill="CFF0FC"/>
          </w:tcPr>
          <w:p>
            <w:pPr>
              <w:ind w:left="480"/>
              <w:spacing w:after="0"/>
              <w:rPr>
                <w:sz w:val="20"/>
                <w:szCs w:val="20"/>
                <w:color w:val="auto"/>
              </w:rPr>
            </w:pPr>
            <w:r>
              <w:rPr>
                <w:rFonts w:ascii="Arial" w:cs="Arial" w:eastAsia="Arial" w:hAnsi="Arial"/>
                <w:sz w:val="20"/>
                <w:szCs w:val="20"/>
                <w:color w:val="auto"/>
              </w:rPr>
              <w:t>Unearned income</w:t>
            </w:r>
          </w:p>
        </w:tc>
        <w:tc>
          <w:tcPr>
            <w:tcW w:w="2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(106,780)</w:t>
            </w:r>
          </w:p>
        </w:tc>
        <w:tc>
          <w:tcPr>
            <w:tcW w:w="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(110,458)</w:t>
            </w:r>
          </w:p>
        </w:tc>
      </w:tr>
      <w:tr>
        <w:trPr>
          <w:trHeight w:val="243"/>
        </w:trPr>
        <w:tc>
          <w:tcPr>
            <w:tcW w:w="6440" w:type="dxa"/>
            <w:vAlign w:val="bottom"/>
          </w:tcPr>
          <w:p>
            <w:pPr>
              <w:ind w:left="720"/>
              <w:spacing w:after="0"/>
              <w:rPr>
                <w:sz w:val="20"/>
                <w:szCs w:val="20"/>
                <w:color w:val="auto"/>
              </w:rPr>
            </w:pPr>
            <w:r>
              <w:rPr>
                <w:rFonts w:ascii="Arial" w:cs="Arial" w:eastAsia="Arial" w:hAnsi="Arial"/>
                <w:sz w:val="20"/>
                <w:szCs w:val="20"/>
                <w:color w:val="auto"/>
              </w:rPr>
              <w:t>Investment in direct financings</w:t>
            </w:r>
          </w:p>
        </w:tc>
        <w:tc>
          <w:tcPr>
            <w:tcW w:w="21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1,142,327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94"/>
              </w:rPr>
              <w:t>1,130,175</w:t>
            </w:r>
          </w:p>
        </w:tc>
        <w:tc>
          <w:tcPr>
            <w:tcW w:w="100" w:type="dxa"/>
            <w:vAlign w:val="bottom"/>
          </w:tcPr>
          <w:p>
            <w:pPr>
              <w:spacing w:after="0"/>
              <w:rPr>
                <w:sz w:val="21"/>
                <w:szCs w:val="21"/>
                <w:color w:val="auto"/>
              </w:rPr>
            </w:pPr>
          </w:p>
        </w:tc>
      </w:tr>
      <w:tr>
        <w:trPr>
          <w:trHeight w:val="250"/>
        </w:trPr>
        <w:tc>
          <w:tcPr>
            <w:tcW w:w="64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Leveraged leases:</w:t>
            </w:r>
          </w:p>
        </w:tc>
        <w:tc>
          <w:tcPr>
            <w:tcW w:w="2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6440" w:type="dxa"/>
            <w:vAlign w:val="bottom"/>
          </w:tcPr>
          <w:p>
            <w:pPr>
              <w:ind w:left="480"/>
              <w:spacing w:after="0"/>
              <w:rPr>
                <w:sz w:val="20"/>
                <w:szCs w:val="20"/>
                <w:color w:val="auto"/>
              </w:rPr>
            </w:pPr>
            <w:r>
              <w:rPr>
                <w:rFonts w:ascii="Arial" w:cs="Arial" w:eastAsia="Arial" w:hAnsi="Arial"/>
                <w:sz w:val="20"/>
                <w:szCs w:val="20"/>
                <w:color w:val="auto"/>
              </w:rPr>
              <w:t>Lease payments receivable</w:t>
            </w:r>
          </w:p>
        </w:tc>
        <w:tc>
          <w:tcPr>
            <w:tcW w:w="2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82,065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85,007</w:t>
            </w:r>
          </w:p>
        </w:tc>
        <w:tc>
          <w:tcPr>
            <w:tcW w:w="100" w:type="dxa"/>
            <w:vAlign w:val="bottom"/>
          </w:tcPr>
          <w:p>
            <w:pPr>
              <w:spacing w:after="0"/>
              <w:rPr>
                <w:sz w:val="21"/>
                <w:szCs w:val="21"/>
                <w:color w:val="auto"/>
              </w:rPr>
            </w:pPr>
          </w:p>
        </w:tc>
      </w:tr>
      <w:tr>
        <w:trPr>
          <w:trHeight w:val="250"/>
        </w:trPr>
        <w:tc>
          <w:tcPr>
            <w:tcW w:w="6440" w:type="dxa"/>
            <w:vAlign w:val="bottom"/>
            <w:shd w:val="clear" w:color="auto" w:fill="CFF0FC"/>
          </w:tcPr>
          <w:p>
            <w:pPr>
              <w:ind w:left="480"/>
              <w:spacing w:after="0"/>
              <w:rPr>
                <w:sz w:val="20"/>
                <w:szCs w:val="20"/>
                <w:color w:val="auto"/>
              </w:rPr>
            </w:pPr>
            <w:r>
              <w:rPr>
                <w:rFonts w:ascii="Arial" w:cs="Arial" w:eastAsia="Arial" w:hAnsi="Arial"/>
                <w:sz w:val="20"/>
                <w:szCs w:val="20"/>
                <w:color w:val="auto"/>
              </w:rPr>
              <w:t>Estimated residual value of leased assets</w:t>
            </w:r>
          </w:p>
        </w:tc>
        <w:tc>
          <w:tcPr>
            <w:tcW w:w="2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81,025</w:t>
            </w: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81,261</w:t>
            </w:r>
          </w:p>
        </w:tc>
        <w:tc>
          <w:tcPr>
            <w:tcW w:w="100" w:type="dxa"/>
            <w:vAlign w:val="bottom"/>
            <w:shd w:val="clear" w:color="auto" w:fill="CFF0FC"/>
          </w:tcPr>
          <w:p>
            <w:pPr>
              <w:spacing w:after="0"/>
              <w:rPr>
                <w:sz w:val="21"/>
                <w:szCs w:val="21"/>
                <w:color w:val="auto"/>
              </w:rPr>
            </w:pPr>
          </w:p>
        </w:tc>
      </w:tr>
      <w:tr>
        <w:trPr>
          <w:trHeight w:val="250"/>
        </w:trPr>
        <w:tc>
          <w:tcPr>
            <w:tcW w:w="6440" w:type="dxa"/>
            <w:vAlign w:val="bottom"/>
          </w:tcPr>
          <w:p>
            <w:pPr>
              <w:ind w:left="480"/>
              <w:spacing w:after="0"/>
              <w:rPr>
                <w:sz w:val="20"/>
                <w:szCs w:val="20"/>
                <w:color w:val="auto"/>
              </w:rPr>
            </w:pPr>
            <w:r>
              <w:rPr>
                <w:rFonts w:ascii="Arial" w:cs="Arial" w:eastAsia="Arial" w:hAnsi="Arial"/>
                <w:sz w:val="20"/>
                <w:szCs w:val="20"/>
                <w:color w:val="auto"/>
              </w:rPr>
              <w:t>Unearned income</w:t>
            </w:r>
          </w:p>
        </w:tc>
        <w:tc>
          <w:tcPr>
            <w:tcW w:w="2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20"/>
                <w:szCs w:val="20"/>
                <w:color w:val="auto"/>
              </w:rPr>
              <w:t>(31,596)</w:t>
            </w: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20"/>
                <w:szCs w:val="20"/>
                <w:color w:val="auto"/>
              </w:rPr>
              <w:t>(33,717)</w:t>
            </w:r>
          </w:p>
        </w:tc>
      </w:tr>
      <w:tr>
        <w:trPr>
          <w:trHeight w:val="243"/>
        </w:trPr>
        <w:tc>
          <w:tcPr>
            <w:tcW w:w="644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20"/>
                <w:szCs w:val="20"/>
                <w:color w:val="auto"/>
              </w:rPr>
              <w:t>Investment in leveraged leases</w:t>
            </w:r>
          </w:p>
        </w:tc>
        <w:tc>
          <w:tcPr>
            <w:tcW w:w="2160" w:type="dxa"/>
            <w:vAlign w:val="bottom"/>
            <w:tcBorders>
              <w:top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131,494</w:t>
            </w:r>
          </w:p>
        </w:tc>
        <w:tc>
          <w:tcPr>
            <w:tcW w:w="120" w:type="dxa"/>
            <w:vAlign w:val="bottom"/>
            <w:tcBorders>
              <w:top w:val="single" w:sz="8" w:color="CFF0FC"/>
            </w:tcBorders>
            <w:shd w:val="clear" w:color="auto" w:fill="CFF0FC"/>
          </w:tcPr>
          <w:p>
            <w:pPr>
              <w:spacing w:after="0"/>
              <w:rPr>
                <w:sz w:val="21"/>
                <w:szCs w:val="21"/>
                <w:color w:val="auto"/>
              </w:rPr>
            </w:pPr>
          </w:p>
        </w:tc>
        <w:tc>
          <w:tcPr>
            <w:tcW w:w="40" w:type="dxa"/>
            <w:vAlign w:val="bottom"/>
            <w:tcBorders>
              <w:top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132,551</w:t>
            </w:r>
          </w:p>
        </w:tc>
        <w:tc>
          <w:tcPr>
            <w:tcW w:w="100" w:type="dxa"/>
            <w:vAlign w:val="bottom"/>
            <w:tcBorders>
              <w:top w:val="single" w:sz="8" w:color="CFF0FC"/>
            </w:tcBorders>
            <w:shd w:val="clear" w:color="auto" w:fill="CFF0FC"/>
          </w:tcPr>
          <w:p>
            <w:pPr>
              <w:spacing w:after="0"/>
              <w:rPr>
                <w:sz w:val="21"/>
                <w:szCs w:val="21"/>
                <w:color w:val="auto"/>
              </w:rPr>
            </w:pPr>
          </w:p>
        </w:tc>
      </w:tr>
      <w:tr>
        <w:trPr>
          <w:trHeight w:val="283"/>
        </w:trPr>
        <w:tc>
          <w:tcPr>
            <w:tcW w:w="64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investment in leases</w:t>
            </w:r>
          </w:p>
        </w:tc>
        <w:tc>
          <w:tcPr>
            <w:tcW w:w="216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1,273,821</w:t>
            </w:r>
          </w:p>
        </w:tc>
        <w:tc>
          <w:tcPr>
            <w:tcW w:w="12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4"/>
              </w:rPr>
              <w:t>1,262,726</w:t>
            </w:r>
          </w:p>
        </w:tc>
        <w:tc>
          <w:tcPr>
            <w:tcW w:w="100" w:type="dxa"/>
            <w:vAlign w:val="bottom"/>
            <w:tcBorders>
              <w:bottom w:val="single" w:sz="8" w:color="CFF0FC"/>
            </w:tcBorders>
          </w:tcPr>
          <w:p>
            <w:pPr>
              <w:spacing w:after="0"/>
              <w:rPr>
                <w:sz w:val="24"/>
                <w:szCs w:val="24"/>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20"/>
                <w:szCs w:val="20"/>
                <w:color w:val="auto"/>
              </w:rPr>
              <w:t>Deferred taxes payable arising from leveraged leases</w:t>
            </w:r>
          </w:p>
        </w:tc>
        <w:tc>
          <w:tcPr>
            <w:tcW w:w="2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9"/>
              <w:spacing w:after="0"/>
              <w:rPr>
                <w:sz w:val="20"/>
                <w:szCs w:val="20"/>
                <w:color w:val="auto"/>
              </w:rPr>
            </w:pPr>
            <w:r>
              <w:rPr>
                <w:rFonts w:ascii="Arial" w:cs="Arial" w:eastAsia="Arial" w:hAnsi="Arial"/>
                <w:sz w:val="20"/>
                <w:szCs w:val="2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70,245</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199"/>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74,995</w:t>
            </w:r>
          </w:p>
        </w:tc>
        <w:tc>
          <w:tcPr>
            <w:tcW w:w="100" w:type="dxa"/>
            <w:vAlign w:val="bottom"/>
            <w:shd w:val="clear" w:color="auto" w:fill="CFF0FC"/>
          </w:tcPr>
          <w:p>
            <w:pPr>
              <w:spacing w:after="0"/>
              <w:rPr>
                <w:sz w:val="19"/>
                <w:szCs w:val="19"/>
                <w:color w:val="auto"/>
              </w:rPr>
            </w:pPr>
          </w:p>
        </w:tc>
      </w:tr>
    </w:tbl>
    <w:p>
      <w:pPr>
        <w:spacing w:after="0" w:line="236" w:lineRule="exact"/>
        <w:rPr>
          <w:sz w:val="20"/>
          <w:szCs w:val="20"/>
          <w:color w:val="auto"/>
        </w:rPr>
      </w:pPr>
    </w:p>
    <w:p>
      <w:pPr>
        <w:ind w:right="540" w:firstLine="598"/>
        <w:spacing w:after="0" w:line="269" w:lineRule="auto"/>
        <w:rPr>
          <w:sz w:val="20"/>
          <w:szCs w:val="20"/>
          <w:color w:val="auto"/>
        </w:rPr>
      </w:pPr>
      <w:r>
        <w:rPr>
          <w:rFonts w:ascii="Arial" w:cs="Arial" w:eastAsia="Arial" w:hAnsi="Arial"/>
          <w:sz w:val="19"/>
          <w:szCs w:val="19"/>
          <w:color w:val="auto"/>
        </w:rPr>
        <w:t>Included within the estimated residual value of leased assets at December 31, 2019 and 2018 were $37 million and $39 million, respectively, in residual value associated with direct financing leases that are guaranteed by the lessees or others.</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At December 31, 2019, the minimum future lease payments to be received from lease financings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10020" w:type="dxa"/>
            <w:vAlign w:val="bottom"/>
            <w:shd w:val="clear" w:color="auto" w:fill="CFF0FC"/>
          </w:tcPr>
          <w:p>
            <w:pPr>
              <w:spacing w:after="0"/>
              <w:rPr>
                <w:sz w:val="20"/>
                <w:szCs w:val="20"/>
                <w:color w:val="auto"/>
              </w:rPr>
            </w:pPr>
            <w:r>
              <w:rPr>
                <w:rFonts w:ascii="Arial" w:cs="Arial" w:eastAsia="Arial" w:hAnsi="Arial"/>
                <w:sz w:val="20"/>
                <w:szCs w:val="20"/>
                <w:color w:val="auto"/>
              </w:rPr>
              <w:t>Year ending December 31:</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2020</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332,719</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2021</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297,875</w:t>
            </w: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2022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227,652</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2023</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161,296</w:t>
            </w: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2024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84,433</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Later years</w:t>
            </w:r>
          </w:p>
        </w:tc>
        <w:tc>
          <w:tcPr>
            <w:tcW w:w="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142,657</w:t>
            </w:r>
          </w:p>
        </w:tc>
        <w:tc>
          <w:tcPr>
            <w:tcW w:w="100" w:type="dxa"/>
            <w:vAlign w:val="bottom"/>
            <w:shd w:val="clear" w:color="auto" w:fill="CFF0FC"/>
          </w:tcPr>
          <w:p>
            <w:pPr>
              <w:spacing w:after="0"/>
              <w:rPr>
                <w:sz w:val="21"/>
                <w:szCs w:val="21"/>
                <w:color w:val="auto"/>
              </w:rPr>
            </w:pPr>
          </w:p>
        </w:tc>
      </w:tr>
      <w:tr>
        <w:trPr>
          <w:trHeight w:val="243"/>
        </w:trPr>
        <w:tc>
          <w:tcPr>
            <w:tcW w:w="100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1,246,632</w:t>
            </w:r>
          </w:p>
        </w:tc>
        <w:tc>
          <w:tcPr>
            <w:tcW w:w="100" w:type="dxa"/>
            <w:vAlign w:val="bottom"/>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ind w:right="120" w:firstLine="598"/>
        <w:spacing w:after="0" w:line="256" w:lineRule="auto"/>
        <w:rPr>
          <w:sz w:val="20"/>
          <w:szCs w:val="20"/>
          <w:color w:val="auto"/>
        </w:rPr>
      </w:pPr>
      <w:r>
        <w:rPr>
          <w:rFonts w:ascii="Arial" w:cs="Arial" w:eastAsia="Arial" w:hAnsi="Arial"/>
          <w:sz w:val="20"/>
          <w:szCs w:val="20"/>
          <w:color w:val="auto"/>
        </w:rPr>
        <w:t>The amount of foreclosed residential real estate property held by the Company was $76 million and $77 million at December 31, 2019 and 2018, respectively. There were $402 million and $391 million at December 31, 2019 and 2018, respectively, in loans secured by residential real estate that were in the process of foreclosure. Of all loans in the process of foreclosure at December 31, 2019, approximately 36% were government guaranteed.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33" w:name="page134"/>
    <w:bookmarkEnd w:id="133"/>
    <w:p>
      <w:pPr>
        <w:spacing w:after="0"/>
        <w:tabs>
          <w:tab w:leader="none" w:pos="32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7"/>
          <w:szCs w:val="17"/>
          <w:b w:val="1"/>
          <w:bCs w:val="1"/>
          <w:color w:val="auto"/>
        </w:rPr>
        <w:t>Allowance for credit losses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Changes in the allowance for credit losses for the years ended December 31, 2019, 2018 and 2017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2120" w:type="dxa"/>
            <w:vAlign w:val="bottom"/>
            <w:gridSpan w:val="4"/>
            <w:vMerge w:val="restart"/>
          </w:tcPr>
          <w:p>
            <w:pPr>
              <w:jc w:val="right"/>
              <w:ind w:right="880"/>
              <w:spacing w:after="0"/>
              <w:rPr>
                <w:sz w:val="20"/>
                <w:szCs w:val="20"/>
                <w:color w:val="auto"/>
              </w:rPr>
            </w:pPr>
            <w:r>
              <w:rPr>
                <w:rFonts w:ascii="Arial" w:cs="Arial" w:eastAsia="Arial" w:hAnsi="Arial"/>
                <w:sz w:val="14"/>
                <w:szCs w:val="14"/>
                <w:b w:val="1"/>
                <w:bCs w:val="1"/>
                <w:color w:val="auto"/>
              </w:rPr>
              <w:t>Real Estate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Financial,</w:t>
            </w:r>
          </w:p>
        </w:tc>
        <w:tc>
          <w:tcPr>
            <w:tcW w:w="2120" w:type="dxa"/>
            <w:vAlign w:val="bottom"/>
            <w:gridSpan w:val="4"/>
            <w:vMerge w:val="continue"/>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8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080" w:type="dxa"/>
            <w:vAlign w:val="bottom"/>
            <w:gridSpan w:val="3"/>
          </w:tcPr>
          <w:p>
            <w:pPr>
              <w:spacing w:after="0" w:line="151" w:lineRule="exact"/>
              <w:rPr>
                <w:sz w:val="20"/>
                <w:szCs w:val="20"/>
                <w:color w:val="auto"/>
              </w:rPr>
            </w:pPr>
            <w:r>
              <w:rPr>
                <w:rFonts w:ascii="Arial" w:cs="Arial" w:eastAsia="Arial" w:hAnsi="Arial"/>
                <w:sz w:val="14"/>
                <w:szCs w:val="14"/>
                <w:b w:val="1"/>
                <w:bCs w:val="1"/>
                <w:color w:val="auto"/>
              </w:rPr>
              <w:t>Leasing, etc.</w:t>
            </w:r>
          </w:p>
        </w:tc>
        <w:tc>
          <w:tcPr>
            <w:tcW w:w="1040" w:type="dxa"/>
            <w:vAlign w:val="bottom"/>
            <w:tcBorders>
              <w:top w:val="single" w:sz="8" w:color="auto"/>
            </w:tcBorders>
            <w:gridSpan w:val="2"/>
          </w:tcPr>
          <w:p>
            <w:pPr>
              <w:jc w:val="right"/>
              <w:ind w:right="300"/>
              <w:spacing w:after="0" w:line="151" w:lineRule="exact"/>
              <w:rPr>
                <w:sz w:val="20"/>
                <w:szCs w:val="20"/>
                <w:color w:val="auto"/>
              </w:rPr>
            </w:pPr>
            <w:r>
              <w:rPr>
                <w:rFonts w:ascii="Arial" w:cs="Arial" w:eastAsia="Arial" w:hAnsi="Arial"/>
                <w:sz w:val="14"/>
                <w:szCs w:val="14"/>
                <w:b w:val="1"/>
                <w:bCs w:val="1"/>
                <w:color w:val="auto"/>
                <w:w w:val="89"/>
              </w:rPr>
              <w:t>Commercial</w:t>
            </w:r>
          </w:p>
        </w:tc>
        <w:tc>
          <w:tcPr>
            <w:tcW w:w="7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3"/>
              </w:rPr>
              <w:t>Residential</w:t>
            </w:r>
          </w:p>
        </w:tc>
        <w:tc>
          <w:tcPr>
            <w:tcW w:w="320" w:type="dxa"/>
            <w:vAlign w:val="bottom"/>
          </w:tcPr>
          <w:p>
            <w:pPr>
              <w:spacing w:after="0"/>
              <w:rPr>
                <w:sz w:val="13"/>
                <w:szCs w:val="13"/>
                <w:color w:val="auto"/>
              </w:rPr>
            </w:pPr>
          </w:p>
        </w:tc>
        <w:tc>
          <w:tcPr>
            <w:tcW w:w="1060" w:type="dxa"/>
            <w:vAlign w:val="bottom"/>
            <w:gridSpan w:val="2"/>
          </w:tcPr>
          <w:p>
            <w:pPr>
              <w:jc w:val="right"/>
              <w:ind w:right="380"/>
              <w:spacing w:after="0" w:line="151" w:lineRule="exact"/>
              <w:rPr>
                <w:sz w:val="20"/>
                <w:szCs w:val="20"/>
                <w:color w:val="auto"/>
              </w:rPr>
            </w:pPr>
            <w:r>
              <w:rPr>
                <w:rFonts w:ascii="Arial" w:cs="Arial" w:eastAsia="Arial" w:hAnsi="Arial"/>
                <w:sz w:val="14"/>
                <w:szCs w:val="14"/>
                <w:b w:val="1"/>
                <w:bCs w:val="1"/>
                <w:color w:val="auto"/>
                <w:w w:val="95"/>
              </w:rPr>
              <w:t>Consumer</w:t>
            </w:r>
          </w:p>
        </w:tc>
        <w:tc>
          <w:tcPr>
            <w:tcW w:w="1060" w:type="dxa"/>
            <w:vAlign w:val="bottom"/>
            <w:gridSpan w:val="2"/>
          </w:tcPr>
          <w:p>
            <w:pPr>
              <w:jc w:val="right"/>
              <w:ind w:right="340"/>
              <w:spacing w:after="0" w:line="151" w:lineRule="exact"/>
              <w:rPr>
                <w:sz w:val="20"/>
                <w:szCs w:val="20"/>
                <w:color w:val="auto"/>
              </w:rPr>
            </w:pPr>
            <w:r>
              <w:rPr>
                <w:rFonts w:ascii="Arial" w:cs="Arial" w:eastAsia="Arial" w:hAnsi="Arial"/>
                <w:sz w:val="14"/>
                <w:szCs w:val="14"/>
                <w:b w:val="1"/>
                <w:bCs w:val="1"/>
                <w:color w:val="auto"/>
                <w:w w:val="88"/>
              </w:rPr>
              <w:t>Unallocated</w:t>
            </w:r>
          </w:p>
        </w:tc>
        <w:tc>
          <w:tcPr>
            <w:tcW w:w="200" w:type="dxa"/>
            <w:vAlign w:val="bottom"/>
          </w:tcPr>
          <w:p>
            <w:pPr>
              <w:spacing w:after="0"/>
              <w:rPr>
                <w:sz w:val="13"/>
                <w:szCs w:val="13"/>
                <w:color w:val="auto"/>
              </w:rPr>
            </w:pPr>
          </w:p>
        </w:tc>
        <w:tc>
          <w:tcPr>
            <w:tcW w:w="940" w:type="dxa"/>
            <w:vAlign w:val="bottom"/>
            <w:gridSpan w:val="2"/>
          </w:tcPr>
          <w:p>
            <w:pPr>
              <w:jc w:val="right"/>
              <w:ind w:right="480"/>
              <w:spacing w:after="0" w:line="151"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2019</w:t>
            </w:r>
          </w:p>
        </w:tc>
        <w:tc>
          <w:tcPr>
            <w:tcW w:w="4680" w:type="dxa"/>
            <w:vAlign w:val="bottom"/>
          </w:tcPr>
          <w:p>
            <w:pPr>
              <w:spacing w:after="0"/>
              <w:rPr>
                <w:sz w:val="16"/>
                <w:szCs w:val="16"/>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2"/>
              </w:rPr>
              <w:t>330,055</w:t>
            </w:r>
          </w:p>
        </w:tc>
        <w:tc>
          <w:tcPr>
            <w:tcW w:w="3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341,655</w:t>
            </w:r>
          </w:p>
        </w:tc>
        <w:tc>
          <w:tcPr>
            <w:tcW w:w="3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69,125</w:t>
            </w:r>
          </w:p>
        </w:tc>
        <w:tc>
          <w:tcPr>
            <w:tcW w:w="3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200,564</w:t>
            </w:r>
          </w:p>
        </w:tc>
        <w:tc>
          <w:tcPr>
            <w:tcW w:w="3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78,045</w:t>
            </w:r>
          </w:p>
        </w:tc>
        <w:tc>
          <w:tcPr>
            <w:tcW w:w="300" w:type="dxa"/>
            <w:vAlign w:val="bottom"/>
          </w:tcPr>
          <w:p>
            <w:pPr>
              <w:spacing w:after="0"/>
              <w:rPr>
                <w:sz w:val="16"/>
                <w:szCs w:val="16"/>
                <w:color w:val="auto"/>
              </w:rPr>
            </w:pPr>
          </w:p>
        </w:tc>
        <w:tc>
          <w:tcPr>
            <w:tcW w:w="200" w:type="dxa"/>
            <w:vAlign w:val="bottom"/>
            <w:vMerge w:val="restart"/>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9"/>
              </w:rPr>
              <w:t>1,019,444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1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69,702</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(10,726)</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(8,585)</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126,029</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(420)</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Charge-offs</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(58,244)</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(12,664)</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(12,711)</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(154,089)</w:t>
            </w: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(237,708)</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Recoveries</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24,581</w:t>
            </w:r>
          </w:p>
        </w:tc>
        <w:tc>
          <w:tcPr>
            <w:tcW w:w="3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3,936</w:t>
            </w:r>
          </w:p>
        </w:tc>
        <w:tc>
          <w:tcPr>
            <w:tcW w:w="3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8,204</w:t>
            </w:r>
          </w:p>
        </w:tc>
        <w:tc>
          <w:tcPr>
            <w:tcW w:w="3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56,614</w:t>
            </w:r>
          </w:p>
        </w:tc>
        <w:tc>
          <w:tcPr>
            <w:tcW w:w="3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(33,663)</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(8,728)</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(4,507)</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(97,475)</w:t>
            </w: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(144,373)</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366,094</w:t>
            </w:r>
          </w:p>
        </w:tc>
        <w:tc>
          <w:tcPr>
            <w:tcW w:w="3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322,201</w:t>
            </w:r>
          </w:p>
        </w:tc>
        <w:tc>
          <w:tcPr>
            <w:tcW w:w="3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56,033</w:t>
            </w:r>
          </w:p>
        </w:tc>
        <w:tc>
          <w:tcPr>
            <w:tcW w:w="3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229,118</w:t>
            </w:r>
          </w:p>
        </w:tc>
        <w:tc>
          <w:tcPr>
            <w:tcW w:w="3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77,625</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1,051,071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3"/>
              </w:rPr>
              <w:t>2018</w:t>
            </w:r>
          </w:p>
        </w:tc>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80" w:type="dxa"/>
            <w:vAlign w:val="bottom"/>
            <w:tcBorders>
              <w:bottom w:val="single" w:sz="8" w:color="auto"/>
            </w:tcBorders>
            <w:vMerge w:val="continue"/>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328,599</w:t>
            </w: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374,085</w:t>
            </w: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65,405</w:t>
            </w: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170,809</w:t>
            </w: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78,300</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1,017,198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Provision for credit losses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33,967</w:t>
            </w:r>
          </w:p>
        </w:tc>
        <w:tc>
          <w:tcPr>
            <w:tcW w:w="3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(41,181)</w:t>
            </w:r>
          </w:p>
        </w:tc>
        <w:tc>
          <w:tcPr>
            <w:tcW w:w="760" w:type="dxa"/>
            <w:vAlign w:val="bottom"/>
          </w:tcPr>
          <w:p>
            <w:pPr>
              <w:jc w:val="right"/>
              <w:spacing w:after="0"/>
              <w:rPr>
                <w:sz w:val="20"/>
                <w:szCs w:val="20"/>
                <w:color w:val="auto"/>
              </w:rPr>
            </w:pPr>
            <w:r>
              <w:rPr>
                <w:rFonts w:ascii="Arial" w:cs="Arial" w:eastAsia="Arial" w:hAnsi="Arial"/>
                <w:sz w:val="18"/>
                <w:szCs w:val="18"/>
                <w:color w:val="auto"/>
              </w:rPr>
              <w:t>12,401</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127,068</w:t>
            </w:r>
          </w:p>
        </w:tc>
        <w:tc>
          <w:tcPr>
            <w:tcW w:w="3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ind w:left="240"/>
              <w:spacing w:after="0"/>
              <w:rPr>
                <w:sz w:val="20"/>
                <w:szCs w:val="20"/>
                <w:color w:val="auto"/>
              </w:rPr>
            </w:pPr>
            <w:r>
              <w:rPr>
                <w:rFonts w:ascii="Arial" w:cs="Arial" w:eastAsia="Arial" w:hAnsi="Arial"/>
                <w:sz w:val="18"/>
                <w:szCs w:val="18"/>
                <w:color w:val="auto"/>
              </w:rPr>
              <w:t>Charge-offs</w:t>
            </w: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(60,414)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(12,286)</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(15,345)</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(143,196)</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(231,241)</w:t>
            </w:r>
          </w:p>
        </w:tc>
        <w:tc>
          <w:tcPr>
            <w:tcW w:w="0" w:type="dxa"/>
            <w:vAlign w:val="bottom"/>
          </w:tcPr>
          <w:p>
            <w:pPr>
              <w:spacing w:after="0"/>
              <w:rPr>
                <w:sz w:val="1"/>
                <w:szCs w:val="1"/>
                <w:color w:val="auto"/>
              </w:rPr>
            </w:pPr>
          </w:p>
        </w:tc>
      </w:tr>
      <w:tr>
        <w:trPr>
          <w:trHeight w:val="224"/>
        </w:trPr>
        <w:tc>
          <w:tcPr>
            <w:tcW w:w="4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Recoveries</w:t>
            </w: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27,903</w:t>
            </w: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21,037</w:t>
            </w:r>
          </w:p>
        </w:tc>
        <w:tc>
          <w:tcPr>
            <w:tcW w:w="3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6,664</w:t>
            </w:r>
          </w:p>
        </w:tc>
        <w:tc>
          <w:tcPr>
            <w:tcW w:w="3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45,883</w:t>
            </w:r>
          </w:p>
        </w:tc>
        <w:tc>
          <w:tcPr>
            <w:tcW w:w="3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Net (charge-offs) recoveries</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(32,511)</w:t>
            </w:r>
          </w:p>
        </w:tc>
        <w:tc>
          <w:tcPr>
            <w:tcW w:w="740" w:type="dxa"/>
            <w:vAlign w:val="bottom"/>
          </w:tcPr>
          <w:p>
            <w:pPr>
              <w:jc w:val="right"/>
              <w:spacing w:after="0"/>
              <w:rPr>
                <w:sz w:val="20"/>
                <w:szCs w:val="20"/>
                <w:color w:val="auto"/>
              </w:rPr>
            </w:pPr>
            <w:r>
              <w:rPr>
                <w:rFonts w:ascii="Arial" w:cs="Arial" w:eastAsia="Arial" w:hAnsi="Arial"/>
                <w:sz w:val="18"/>
                <w:szCs w:val="18"/>
                <w:color w:val="auto"/>
              </w:rPr>
              <w:t>8,751</w:t>
            </w:r>
          </w:p>
        </w:tc>
        <w:tc>
          <w:tcPr>
            <w:tcW w:w="3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(8,681)</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(97,313)</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(129,754)</w:t>
            </w:r>
          </w:p>
        </w:tc>
        <w:tc>
          <w:tcPr>
            <w:tcW w:w="0" w:type="dxa"/>
            <w:vAlign w:val="bottom"/>
          </w:tcPr>
          <w:p>
            <w:pPr>
              <w:spacing w:after="0"/>
              <w:rPr>
                <w:sz w:val="1"/>
                <w:szCs w:val="1"/>
                <w:color w:val="auto"/>
              </w:rPr>
            </w:pPr>
          </w:p>
        </w:tc>
      </w:tr>
      <w:tr>
        <w:trPr>
          <w:trHeight w:val="217"/>
        </w:trPr>
        <w:tc>
          <w:tcPr>
            <w:tcW w:w="49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330,055</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341,655</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69,125</w:t>
            </w: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200,564</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78,045</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1,019,444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3"/>
              </w:rPr>
              <w:t>2017</w:t>
            </w:r>
          </w:p>
        </w:tc>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80" w:type="dxa"/>
            <w:vAlign w:val="bottom"/>
            <w:tcBorders>
              <w:bottom w:val="single" w:sz="8" w:color="auto"/>
            </w:tcBorders>
            <w:vMerge w:val="continue"/>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2"/>
              </w:rPr>
              <w:t>330,833</w:t>
            </w:r>
          </w:p>
        </w:tc>
        <w:tc>
          <w:tcPr>
            <w:tcW w:w="30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362,719</w:t>
            </w:r>
          </w:p>
        </w:tc>
        <w:tc>
          <w:tcPr>
            <w:tcW w:w="30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61,127</w:t>
            </w:r>
          </w:p>
        </w:tc>
        <w:tc>
          <w:tcPr>
            <w:tcW w:w="32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156,288</w:t>
            </w:r>
          </w:p>
        </w:tc>
        <w:tc>
          <w:tcPr>
            <w:tcW w:w="30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78,030</w:t>
            </w:r>
          </w:p>
        </w:tc>
        <w:tc>
          <w:tcPr>
            <w:tcW w:w="300" w:type="dxa"/>
            <w:vAlign w:val="bottom"/>
          </w:tcPr>
          <w:p>
            <w:pPr>
              <w:spacing w:after="0"/>
              <w:rPr>
                <w:sz w:val="24"/>
                <w:szCs w:val="24"/>
                <w:color w:val="auto"/>
              </w:rPr>
            </w:pPr>
          </w:p>
        </w:tc>
        <w:tc>
          <w:tcPr>
            <w:tcW w:w="200" w:type="dxa"/>
            <w:vAlign w:val="bottom"/>
            <w:vMerge w:val="restart"/>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988,997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1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41,511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6,715</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16,094</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103,410</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Charge-offs</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(64,941)</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(7,931)</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(20,799)</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(130,927)</w:t>
            </w: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(224,598)</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Recoveries</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21,196</w:t>
            </w:r>
          </w:p>
        </w:tc>
        <w:tc>
          <w:tcPr>
            <w:tcW w:w="3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12,582</w:t>
            </w:r>
          </w:p>
        </w:tc>
        <w:tc>
          <w:tcPr>
            <w:tcW w:w="3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8,983</w:t>
            </w:r>
          </w:p>
        </w:tc>
        <w:tc>
          <w:tcPr>
            <w:tcW w:w="3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42,038</w:t>
            </w:r>
          </w:p>
        </w:tc>
        <w:tc>
          <w:tcPr>
            <w:tcW w:w="3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(charge-offs) recoveries</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(43,745)</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4,651</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(11,816)</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(88,889)</w:t>
            </w: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(139,799)</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328,599</w:t>
            </w:r>
          </w:p>
        </w:tc>
        <w:tc>
          <w:tcPr>
            <w:tcW w:w="3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374,085</w:t>
            </w:r>
          </w:p>
        </w:tc>
        <w:tc>
          <w:tcPr>
            <w:tcW w:w="3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65,405</w:t>
            </w:r>
          </w:p>
        </w:tc>
        <w:tc>
          <w:tcPr>
            <w:tcW w:w="3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170,809</w:t>
            </w:r>
          </w:p>
        </w:tc>
        <w:tc>
          <w:tcPr>
            <w:tcW w:w="3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78,300</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1,017,198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right="360" w:firstLine="598"/>
        <w:spacing w:after="0" w:line="256" w:lineRule="auto"/>
        <w:rPr>
          <w:sz w:val="20"/>
          <w:szCs w:val="20"/>
          <w:color w:val="auto"/>
        </w:rPr>
      </w:pPr>
      <w:r>
        <w:rPr>
          <w:rFonts w:ascii="Arial" w:cs="Arial" w:eastAsia="Arial" w:hAnsi="Arial"/>
          <w:sz w:val="20"/>
          <w:szCs w:val="20"/>
          <w:color w:val="auto"/>
        </w:rPr>
        <w:t>Despite the allocations in the preceding tables, the allowance for credit losses is general in nature and is available to absorb losses from any loan or lease type.</w:t>
      </w:r>
    </w:p>
    <w:p>
      <w:pPr>
        <w:ind w:firstLine="598"/>
        <w:spacing w:after="0" w:line="278" w:lineRule="auto"/>
        <w:rPr>
          <w:sz w:val="20"/>
          <w:szCs w:val="20"/>
          <w:color w:val="auto"/>
        </w:rPr>
      </w:pPr>
      <w:r>
        <w:rPr>
          <w:rFonts w:ascii="Arial" w:cs="Arial" w:eastAsia="Arial" w:hAnsi="Arial"/>
          <w:sz w:val="18"/>
          <w:szCs w:val="18"/>
          <w:color w:val="auto"/>
        </w:rPr>
        <w:t>In establishing the allowance for credit losses, the Company estimates losses attributable to specific troubled credits identified through both normal and targeted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loan-by-loan analysis of larger balance commercial loans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that is applied to commercial and commercial real estate credits on an individual loan basis. Loan grades are assigned loss factors that reflect the Company’s loss estimate for each group of loans and leases. Factors considered in assigning loan grades and loss factors include borrower-specific information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34" w:name="page135"/>
    <w:bookmarkEnd w:id="134"/>
    <w:p>
      <w:pPr>
        <w:ind w:right="40"/>
        <w:spacing w:after="0" w:line="251" w:lineRule="auto"/>
        <w:rPr>
          <w:sz w:val="20"/>
          <w:szCs w:val="20"/>
          <w:color w:val="auto"/>
        </w:rPr>
      </w:pPr>
      <w:r>
        <w:rPr>
          <w:rFonts w:ascii="Arial" w:cs="Arial" w:eastAsia="Arial" w:hAnsi="Arial"/>
          <w:sz w:val="20"/>
          <w:szCs w:val="20"/>
          <w:color w:val="auto"/>
        </w:rPr>
        <w:t>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w:t>
      </w:r>
    </w:p>
    <w:p>
      <w:pPr>
        <w:spacing w:after="0" w:line="2" w:lineRule="exact"/>
        <w:rPr>
          <w:sz w:val="20"/>
          <w:szCs w:val="20"/>
          <w:color w:val="auto"/>
        </w:rPr>
      </w:pPr>
    </w:p>
    <w:p>
      <w:pPr>
        <w:ind w:right="240" w:firstLine="598"/>
        <w:spacing w:after="0" w:line="256" w:lineRule="auto"/>
        <w:rPr>
          <w:sz w:val="20"/>
          <w:szCs w:val="20"/>
          <w:color w:val="auto"/>
        </w:rPr>
      </w:pPr>
      <w:r>
        <w:rPr>
          <w:rFonts w:ascii="Arial" w:cs="Arial" w:eastAsia="Arial" w:hAnsi="Arial"/>
          <w:sz w:val="20"/>
          <w:szCs w:val="20"/>
          <w:color w:val="auto"/>
        </w:rPr>
        <w:t>The following tables provide information with respect to loans and leases that were considered impaired as of December 31, 2019 and 2018 and for the years ended December 31, 2019, 2018 and 2017.</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December 31, 2019</w:t>
            </w:r>
          </w:p>
        </w:tc>
        <w:tc>
          <w:tcPr>
            <w:tcW w:w="7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December 31, 2018</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38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Recorded</w:t>
            </w:r>
          </w:p>
        </w:tc>
        <w:tc>
          <w:tcPr>
            <w:tcW w:w="300" w:type="dxa"/>
            <w:vAlign w:val="bottom"/>
          </w:tcPr>
          <w:p>
            <w:pPr>
              <w:spacing w:after="0"/>
              <w:rPr>
                <w:sz w:val="11"/>
                <w:szCs w:val="11"/>
                <w:color w:val="auto"/>
              </w:rPr>
            </w:pPr>
          </w:p>
        </w:tc>
        <w:tc>
          <w:tcPr>
            <w:tcW w:w="11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Unpaid</w:t>
            </w: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Related</w:t>
            </w:r>
          </w:p>
        </w:tc>
        <w:tc>
          <w:tcPr>
            <w:tcW w:w="7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5"/>
              </w:rPr>
              <w:t>Recorded</w:t>
            </w:r>
          </w:p>
        </w:tc>
        <w:tc>
          <w:tcPr>
            <w:tcW w:w="280" w:type="dxa"/>
            <w:vAlign w:val="bottom"/>
          </w:tcPr>
          <w:p>
            <w:pPr>
              <w:spacing w:after="0"/>
              <w:rPr>
                <w:sz w:val="11"/>
                <w:szCs w:val="11"/>
                <w:color w:val="auto"/>
              </w:rPr>
            </w:pPr>
          </w:p>
        </w:tc>
        <w:tc>
          <w:tcPr>
            <w:tcW w:w="10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Unpaid</w:t>
            </w: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Related</w:t>
            </w:r>
          </w:p>
        </w:tc>
        <w:tc>
          <w:tcPr>
            <w:tcW w:w="0" w:type="dxa"/>
            <w:vAlign w:val="bottom"/>
          </w:tcPr>
          <w:p>
            <w:pPr>
              <w:spacing w:after="0"/>
              <w:rPr>
                <w:sz w:val="1"/>
                <w:szCs w:val="1"/>
                <w:color w:val="auto"/>
              </w:rPr>
            </w:pPr>
          </w:p>
        </w:tc>
      </w:tr>
      <w:tr>
        <w:trPr>
          <w:trHeight w:val="145"/>
        </w:trPr>
        <w:tc>
          <w:tcPr>
            <w:tcW w:w="53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4"/>
              </w:rPr>
              <w:t>Principal</w:t>
            </w:r>
          </w:p>
        </w:tc>
        <w:tc>
          <w:tcPr>
            <w:tcW w:w="10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4"/>
              </w:rPr>
              <w:t>Principal</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3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Investment</w:t>
            </w:r>
          </w:p>
        </w:tc>
        <w:tc>
          <w:tcPr>
            <w:tcW w:w="3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Balance</w:t>
            </w: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Allowance</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1"/>
              </w:rPr>
              <w:t>Investment</w:t>
            </w:r>
          </w:p>
        </w:tc>
        <w:tc>
          <w:tcPr>
            <w:tcW w:w="2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Balance</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Allowance</w:t>
            </w:r>
          </w:p>
        </w:tc>
        <w:tc>
          <w:tcPr>
            <w:tcW w:w="0" w:type="dxa"/>
            <w:vAlign w:val="bottom"/>
          </w:tcPr>
          <w:p>
            <w:pPr>
              <w:spacing w:after="0"/>
              <w:rPr>
                <w:sz w:val="1"/>
                <w:szCs w:val="1"/>
                <w:color w:val="auto"/>
              </w:rPr>
            </w:pPr>
          </w:p>
        </w:tc>
      </w:tr>
      <w:tr>
        <w:trPr>
          <w:trHeight w:val="151"/>
        </w:trPr>
        <w:tc>
          <w:tcPr>
            <w:tcW w:w="53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3"/>
          </w:tcPr>
          <w:p>
            <w:pPr>
              <w:jc w:val="right"/>
              <w:ind w:right="394"/>
              <w:spacing w:after="0" w:line="151" w:lineRule="exact"/>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With an allowance recorded:</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240"/>
              <w:spacing w:after="0"/>
              <w:rPr>
                <w:sz w:val="20"/>
                <w:szCs w:val="20"/>
                <w:color w:val="auto"/>
              </w:rPr>
            </w:pPr>
            <w:r>
              <w:rPr>
                <w:rFonts w:ascii="Arial" w:cs="Arial" w:eastAsia="Arial" w:hAnsi="Arial"/>
                <w:sz w:val="18"/>
                <w:szCs w:val="18"/>
                <w:color w:val="auto"/>
              </w:rPr>
              <w:t>Commercial, financial, leasing, etc.</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$ 230,444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257,745</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74,435</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153,478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175,549</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Real estate:</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720" w:type="dxa"/>
            <w:vAlign w:val="bottom"/>
          </w:tcPr>
          <w:p>
            <w:pPr>
              <w:jc w:val="right"/>
              <w:spacing w:after="0"/>
              <w:rPr>
                <w:sz w:val="20"/>
                <w:szCs w:val="20"/>
                <w:color w:val="auto"/>
              </w:rPr>
            </w:pPr>
            <w:r>
              <w:rPr>
                <w:rFonts w:ascii="Arial" w:cs="Arial" w:eastAsia="Arial" w:hAnsi="Arial"/>
                <w:sz w:val="18"/>
                <w:szCs w:val="18"/>
                <w:color w:val="auto"/>
              </w:rPr>
              <w:t>60,745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73,026</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7,713</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110,253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125,117</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Residential builder and developer</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9,559</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9,856</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6,557</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480"/>
              <w:spacing w:after="0"/>
              <w:rPr>
                <w:sz w:val="20"/>
                <w:szCs w:val="20"/>
                <w:color w:val="auto"/>
              </w:rPr>
            </w:pPr>
            <w:r>
              <w:rPr>
                <w:rFonts w:ascii="Arial" w:cs="Arial" w:eastAsia="Arial" w:hAnsi="Arial"/>
                <w:sz w:val="18"/>
                <w:szCs w:val="18"/>
                <w:color w:val="auto"/>
              </w:rPr>
              <w:t>Other commercial construction</w:t>
            </w:r>
          </w:p>
        </w:tc>
        <w:tc>
          <w:tcPr>
            <w:tcW w:w="720" w:type="dxa"/>
            <w:vAlign w:val="bottom"/>
          </w:tcPr>
          <w:p>
            <w:pPr>
              <w:jc w:val="right"/>
              <w:spacing w:after="0"/>
              <w:rPr>
                <w:sz w:val="20"/>
                <w:szCs w:val="20"/>
                <w:color w:val="auto"/>
              </w:rPr>
            </w:pPr>
            <w:r>
              <w:rPr>
                <w:rFonts w:ascii="Arial" w:cs="Arial" w:eastAsia="Arial" w:hAnsi="Arial"/>
                <w:sz w:val="18"/>
                <w:szCs w:val="18"/>
                <w:color w:val="auto"/>
              </w:rPr>
              <w:t>12,425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24,908</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1,354</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10,563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11,113</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Residential</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125,623</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145,497</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6,873</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124,974</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147,817</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480"/>
              <w:spacing w:after="0"/>
              <w:rPr>
                <w:sz w:val="20"/>
                <w:szCs w:val="20"/>
                <w:color w:val="auto"/>
              </w:rPr>
            </w:pPr>
            <w:r>
              <w:rPr>
                <w:rFonts w:ascii="Arial" w:cs="Arial" w:eastAsia="Arial" w:hAnsi="Arial"/>
                <w:sz w:val="18"/>
                <w:szCs w:val="18"/>
                <w:color w:val="auto"/>
              </w:rPr>
              <w:t>Residential — limited documentation</w:t>
            </w:r>
          </w:p>
        </w:tc>
        <w:tc>
          <w:tcPr>
            <w:tcW w:w="720" w:type="dxa"/>
            <w:vAlign w:val="bottom"/>
          </w:tcPr>
          <w:p>
            <w:pPr>
              <w:jc w:val="right"/>
              <w:spacing w:after="0"/>
              <w:rPr>
                <w:sz w:val="20"/>
                <w:szCs w:val="20"/>
                <w:color w:val="auto"/>
              </w:rPr>
            </w:pPr>
            <w:r>
              <w:rPr>
                <w:rFonts w:ascii="Arial" w:cs="Arial" w:eastAsia="Arial" w:hAnsi="Arial"/>
                <w:sz w:val="18"/>
                <w:szCs w:val="18"/>
                <w:color w:val="auto"/>
              </w:rPr>
              <w:t>64,268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77,359</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74,156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90,066</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480"/>
              <w:spacing w:after="0"/>
              <w:rPr>
                <w:sz w:val="20"/>
                <w:szCs w:val="20"/>
                <w:color w:val="auto"/>
              </w:rPr>
            </w:pPr>
            <w:r>
              <w:rPr>
                <w:rFonts w:ascii="Arial" w:cs="Arial" w:eastAsia="Arial" w:hAnsi="Arial"/>
                <w:sz w:val="18"/>
                <w:szCs w:val="18"/>
                <w:color w:val="auto"/>
              </w:rPr>
              <w:t>Home equity lines and loans</w:t>
            </w:r>
          </w:p>
        </w:tc>
        <w:tc>
          <w:tcPr>
            <w:tcW w:w="720" w:type="dxa"/>
            <w:vAlign w:val="bottom"/>
          </w:tcPr>
          <w:p>
            <w:pPr>
              <w:jc w:val="right"/>
              <w:spacing w:after="0"/>
              <w:rPr>
                <w:sz w:val="20"/>
                <w:szCs w:val="20"/>
                <w:color w:val="auto"/>
              </w:rPr>
            </w:pPr>
            <w:r>
              <w:rPr>
                <w:rFonts w:ascii="Arial" w:cs="Arial" w:eastAsia="Arial" w:hAnsi="Arial"/>
                <w:sz w:val="18"/>
                <w:szCs w:val="18"/>
                <w:color w:val="auto"/>
              </w:rPr>
              <w:t>46,325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51,238</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8,957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47,982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53,248</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Recreational finance</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9,579</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9,163</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480"/>
              <w:spacing w:after="0"/>
              <w:rPr>
                <w:sz w:val="20"/>
                <w:szCs w:val="20"/>
                <w:color w:val="auto"/>
              </w:rPr>
            </w:pPr>
            <w:r>
              <w:rPr>
                <w:rFonts w:ascii="Arial" w:cs="Arial" w:eastAsia="Arial" w:hAnsi="Arial"/>
                <w:sz w:val="18"/>
                <w:szCs w:val="18"/>
                <w:color w:val="auto"/>
              </w:rPr>
              <w:t>Automobile</w:t>
            </w:r>
          </w:p>
        </w:tc>
        <w:tc>
          <w:tcPr>
            <w:tcW w:w="720" w:type="dxa"/>
            <w:vAlign w:val="bottom"/>
          </w:tcPr>
          <w:p>
            <w:pPr>
              <w:jc w:val="right"/>
              <w:spacing w:after="0"/>
              <w:rPr>
                <w:sz w:val="20"/>
                <w:szCs w:val="20"/>
                <w:color w:val="auto"/>
              </w:rPr>
            </w:pPr>
            <w:r>
              <w:rPr>
                <w:rFonts w:ascii="Arial" w:cs="Arial" w:eastAsia="Arial" w:hAnsi="Arial"/>
                <w:sz w:val="18"/>
                <w:szCs w:val="18"/>
                <w:color w:val="auto"/>
              </w:rPr>
              <w:t>3,256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3,344</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703</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3,527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3,599</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4,542</w:t>
            </w:r>
          </w:p>
        </w:tc>
        <w:tc>
          <w:tcPr>
            <w:tcW w:w="3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8,341</w:t>
            </w:r>
          </w:p>
        </w:tc>
        <w:tc>
          <w:tcPr>
            <w:tcW w:w="2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2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5,203</w:t>
            </w:r>
          </w:p>
        </w:tc>
        <w:tc>
          <w:tcPr>
            <w:tcW w:w="2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8,380</w:t>
            </w:r>
          </w:p>
        </w:tc>
        <w:tc>
          <w:tcPr>
            <w:tcW w:w="2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562,457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660,893</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104,466</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542,255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630,609</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7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240"/>
              <w:spacing w:after="0"/>
              <w:rPr>
                <w:sz w:val="20"/>
                <w:szCs w:val="20"/>
                <w:color w:val="auto"/>
              </w:rPr>
            </w:pPr>
            <w:r>
              <w:rPr>
                <w:rFonts w:ascii="Arial" w:cs="Arial" w:eastAsia="Arial" w:hAnsi="Arial"/>
                <w:sz w:val="18"/>
                <w:szCs w:val="18"/>
                <w:color w:val="auto"/>
              </w:rPr>
              <w:t>Commercial, financial, leasing, etc.</w:t>
            </w:r>
          </w:p>
        </w:tc>
        <w:tc>
          <w:tcPr>
            <w:tcW w:w="720" w:type="dxa"/>
            <w:vAlign w:val="bottom"/>
          </w:tcPr>
          <w:p>
            <w:pPr>
              <w:jc w:val="right"/>
              <w:spacing w:after="0"/>
              <w:rPr>
                <w:sz w:val="20"/>
                <w:szCs w:val="20"/>
                <w:color w:val="auto"/>
              </w:rPr>
            </w:pPr>
            <w:r>
              <w:rPr>
                <w:rFonts w:ascii="Arial" w:cs="Arial" w:eastAsia="Arial" w:hAnsi="Arial"/>
                <w:sz w:val="18"/>
                <w:szCs w:val="18"/>
                <w:color w:val="auto"/>
              </w:rPr>
              <w:t>139,127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152,132</w:t>
            </w:r>
          </w:p>
        </w:tc>
        <w:tc>
          <w:tcPr>
            <w:tcW w:w="28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105,507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136,128</w:t>
            </w: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Real estate:</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720" w:type="dxa"/>
            <w:vAlign w:val="bottom"/>
          </w:tcPr>
          <w:p>
            <w:pPr>
              <w:jc w:val="right"/>
              <w:spacing w:after="0"/>
              <w:rPr>
                <w:sz w:val="20"/>
                <w:szCs w:val="20"/>
                <w:color w:val="auto"/>
              </w:rPr>
            </w:pPr>
            <w:r>
              <w:rPr>
                <w:rFonts w:ascii="Arial" w:cs="Arial" w:eastAsia="Arial" w:hAnsi="Arial"/>
                <w:sz w:val="18"/>
                <w:szCs w:val="18"/>
                <w:color w:val="auto"/>
              </w:rPr>
              <w:t>117,751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131,406</w:t>
            </w:r>
          </w:p>
        </w:tc>
        <w:tc>
          <w:tcPr>
            <w:tcW w:w="28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113,376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124,657</w:t>
            </w: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Residential builder and developer</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3,378</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3,378</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2,602</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80" w:type="dxa"/>
            <w:vAlign w:val="bottom"/>
          </w:tcPr>
          <w:p>
            <w:pPr>
              <w:ind w:left="480"/>
              <w:spacing w:after="0"/>
              <w:rPr>
                <w:sz w:val="20"/>
                <w:szCs w:val="20"/>
                <w:color w:val="auto"/>
              </w:rPr>
            </w:pPr>
            <w:r>
              <w:rPr>
                <w:rFonts w:ascii="Arial" w:cs="Arial" w:eastAsia="Arial" w:hAnsi="Arial"/>
                <w:sz w:val="18"/>
                <w:szCs w:val="18"/>
                <w:color w:val="auto"/>
              </w:rPr>
              <w:t>Other commercial construction</w:t>
            </w:r>
          </w:p>
        </w:tc>
        <w:tc>
          <w:tcPr>
            <w:tcW w:w="720" w:type="dxa"/>
            <w:vAlign w:val="bottom"/>
          </w:tcPr>
          <w:p>
            <w:pPr>
              <w:jc w:val="right"/>
              <w:spacing w:after="0"/>
              <w:rPr>
                <w:sz w:val="20"/>
                <w:szCs w:val="20"/>
                <w:color w:val="auto"/>
              </w:rPr>
            </w:pPr>
            <w:r>
              <w:rPr>
                <w:rFonts w:ascii="Arial" w:cs="Arial" w:eastAsia="Arial" w:hAnsi="Arial"/>
                <w:sz w:val="18"/>
                <w:szCs w:val="18"/>
                <w:color w:val="auto"/>
              </w:rPr>
              <w:t>20,345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21,306</w:t>
            </w:r>
          </w:p>
        </w:tc>
        <w:tc>
          <w:tcPr>
            <w:tcW w:w="28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11,710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11,880</w:t>
            </w: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Residential</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18,090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23,365</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20,496</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Residential — limited documentation</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4,985</w:t>
            </w:r>
          </w:p>
        </w:tc>
        <w:tc>
          <w:tcPr>
            <w:tcW w:w="3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8,348</w:t>
            </w:r>
          </w:p>
        </w:tc>
        <w:tc>
          <w:tcPr>
            <w:tcW w:w="2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5,631</w:t>
            </w:r>
          </w:p>
        </w:tc>
        <w:tc>
          <w:tcPr>
            <w:tcW w:w="2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9,796</w:t>
            </w:r>
          </w:p>
        </w:tc>
        <w:tc>
          <w:tcPr>
            <w:tcW w:w="2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303,676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339,935</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254,196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305,559</w:t>
            </w:r>
          </w:p>
        </w:tc>
        <w:tc>
          <w:tcPr>
            <w:tcW w:w="2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financial, leasing, etc.</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369,571</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409,877</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74,435</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258,985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311,677</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240"/>
              <w:spacing w:after="0"/>
              <w:rPr>
                <w:sz w:val="20"/>
                <w:szCs w:val="20"/>
                <w:color w:val="auto"/>
              </w:rPr>
            </w:pPr>
            <w:r>
              <w:rPr>
                <w:rFonts w:ascii="Arial" w:cs="Arial" w:eastAsia="Arial" w:hAnsi="Arial"/>
                <w:sz w:val="18"/>
                <w:szCs w:val="18"/>
                <w:color w:val="auto"/>
              </w:rPr>
              <w:t>Real estate:</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178,496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204,432</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7,713</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223,629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249,774</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480"/>
              <w:spacing w:after="0"/>
              <w:rPr>
                <w:sz w:val="20"/>
                <w:szCs w:val="20"/>
                <w:color w:val="auto"/>
              </w:rPr>
            </w:pPr>
            <w:r>
              <w:rPr>
                <w:rFonts w:ascii="Arial" w:cs="Arial" w:eastAsia="Arial" w:hAnsi="Arial"/>
                <w:sz w:val="18"/>
                <w:szCs w:val="18"/>
                <w:color w:val="auto"/>
              </w:rPr>
              <w:t>Residential builder and developer</w:t>
            </w:r>
          </w:p>
        </w:tc>
        <w:tc>
          <w:tcPr>
            <w:tcW w:w="720" w:type="dxa"/>
            <w:vAlign w:val="bottom"/>
          </w:tcPr>
          <w:p>
            <w:pPr>
              <w:jc w:val="right"/>
              <w:spacing w:after="0"/>
              <w:rPr>
                <w:sz w:val="20"/>
                <w:szCs w:val="20"/>
                <w:color w:val="auto"/>
              </w:rPr>
            </w:pPr>
            <w:r>
              <w:rPr>
                <w:rFonts w:ascii="Arial" w:cs="Arial" w:eastAsia="Arial" w:hAnsi="Arial"/>
                <w:sz w:val="18"/>
                <w:szCs w:val="18"/>
                <w:color w:val="auto"/>
              </w:rPr>
              <w:t>12,937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13,234</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8,574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9,159</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commercial construction</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46,214</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22,273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22,993</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480"/>
              <w:spacing w:after="0"/>
              <w:rPr>
                <w:sz w:val="20"/>
                <w:szCs w:val="20"/>
                <w:color w:val="auto"/>
              </w:rPr>
            </w:pPr>
            <w:r>
              <w:rPr>
                <w:rFonts w:ascii="Arial" w:cs="Arial" w:eastAsia="Arial" w:hAnsi="Arial"/>
                <w:sz w:val="18"/>
                <w:szCs w:val="18"/>
                <w:color w:val="auto"/>
              </w:rPr>
              <w:t>Residential</w:t>
            </w:r>
          </w:p>
        </w:tc>
        <w:tc>
          <w:tcPr>
            <w:tcW w:w="720" w:type="dxa"/>
            <w:vAlign w:val="bottom"/>
          </w:tcPr>
          <w:p>
            <w:pPr>
              <w:jc w:val="right"/>
              <w:spacing w:after="0"/>
              <w:rPr>
                <w:sz w:val="20"/>
                <w:szCs w:val="20"/>
                <w:color w:val="auto"/>
              </w:rPr>
            </w:pPr>
            <w:r>
              <w:rPr>
                <w:rFonts w:ascii="Arial" w:cs="Arial" w:eastAsia="Arial" w:hAnsi="Arial"/>
                <w:sz w:val="18"/>
                <w:szCs w:val="18"/>
                <w:color w:val="auto"/>
              </w:rPr>
              <w:t>143,713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168,862</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6,873</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140,353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168,313</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Residential — limited documentation</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69,253</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85,707</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79,787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99,862</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240"/>
              <w:spacing w:after="0"/>
              <w:rPr>
                <w:sz w:val="20"/>
                <w:szCs w:val="20"/>
                <w:color w:val="auto"/>
              </w:rPr>
            </w:pPr>
            <w:r>
              <w:rPr>
                <w:rFonts w:ascii="Arial" w:cs="Arial" w:eastAsia="Arial" w:hAnsi="Arial"/>
                <w:sz w:val="18"/>
                <w:szCs w:val="18"/>
                <w:color w:val="auto"/>
              </w:rPr>
              <w:t>Consumer:</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Home equity lines and loans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46,325</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51,238</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8,957</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47,982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53,248</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480"/>
              <w:spacing w:after="0"/>
              <w:rPr>
                <w:sz w:val="20"/>
                <w:szCs w:val="20"/>
                <w:color w:val="auto"/>
              </w:rPr>
            </w:pPr>
            <w:r>
              <w:rPr>
                <w:rFonts w:ascii="Arial" w:cs="Arial" w:eastAsia="Arial" w:hAnsi="Arial"/>
                <w:sz w:val="18"/>
                <w:szCs w:val="18"/>
                <w:color w:val="auto"/>
              </w:rPr>
              <w:t>Recreational finance</w:t>
            </w:r>
          </w:p>
        </w:tc>
        <w:tc>
          <w:tcPr>
            <w:tcW w:w="720" w:type="dxa"/>
            <w:vAlign w:val="bottom"/>
          </w:tcPr>
          <w:p>
            <w:pPr>
              <w:jc w:val="right"/>
              <w:spacing w:after="0"/>
              <w:rPr>
                <w:sz w:val="20"/>
                <w:szCs w:val="20"/>
                <w:color w:val="auto"/>
              </w:rPr>
            </w:pPr>
            <w:r>
              <w:rPr>
                <w:rFonts w:ascii="Arial" w:cs="Arial" w:eastAsia="Arial" w:hAnsi="Arial"/>
                <w:sz w:val="18"/>
                <w:szCs w:val="18"/>
                <w:color w:val="auto"/>
              </w:rPr>
              <w:t>5,270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9,579</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1,095</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6,138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9,163</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Automobile</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3,344</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3,599</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w:t>
            </w:r>
          </w:p>
        </w:tc>
        <w:tc>
          <w:tcPr>
            <w:tcW w:w="3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8,341</w:t>
            </w:r>
          </w:p>
        </w:tc>
        <w:tc>
          <w:tcPr>
            <w:tcW w:w="2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2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5,203</w:t>
            </w:r>
          </w:p>
        </w:tc>
        <w:tc>
          <w:tcPr>
            <w:tcW w:w="2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8,380</w:t>
            </w:r>
          </w:p>
        </w:tc>
        <w:tc>
          <w:tcPr>
            <w:tcW w:w="2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$ 866,133</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1,000,828</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104,466</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796,451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936,168</w:t>
            </w: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2"/>
        </w:trPr>
        <w:tc>
          <w:tcPr>
            <w:tcW w:w="53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135</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3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67"/>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89"/>
              </w:rPr>
              <w:t>Year Ended December 31, 2019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w w:val="89"/>
              </w:rPr>
              <w:t>Year Ended December 31, 2018</w:t>
            </w: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4"/>
          </w:tcPr>
          <w:p>
            <w:pPr>
              <w:jc w:val="center"/>
              <w:spacing w:after="0" w:line="129" w:lineRule="exact"/>
              <w:rPr>
                <w:sz w:val="20"/>
                <w:szCs w:val="20"/>
                <w:color w:val="auto"/>
              </w:rPr>
            </w:pPr>
            <w:r>
              <w:rPr>
                <w:rFonts w:ascii="Arial" w:cs="Arial" w:eastAsia="Arial" w:hAnsi="Arial"/>
                <w:sz w:val="14"/>
                <w:szCs w:val="14"/>
                <w:b w:val="1"/>
                <w:bCs w:val="1"/>
                <w:color w:val="auto"/>
                <w:w w:val="90"/>
              </w:rPr>
              <w:t>Interest Income</w:t>
            </w:r>
          </w:p>
        </w:tc>
        <w:tc>
          <w:tcPr>
            <w:tcW w:w="2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5"/>
          </w:tcPr>
          <w:p>
            <w:pPr>
              <w:jc w:val="center"/>
              <w:spacing w:after="0" w:line="129" w:lineRule="exact"/>
              <w:rPr>
                <w:sz w:val="20"/>
                <w:szCs w:val="20"/>
                <w:color w:val="auto"/>
              </w:rPr>
            </w:pPr>
            <w:r>
              <w:rPr>
                <w:rFonts w:ascii="Arial" w:cs="Arial" w:eastAsia="Arial" w:hAnsi="Arial"/>
                <w:sz w:val="14"/>
                <w:szCs w:val="14"/>
                <w:b w:val="1"/>
                <w:bCs w:val="1"/>
                <w:color w:val="auto"/>
                <w:w w:val="90"/>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6"/>
              </w:rPr>
              <w:t>Average</w:t>
            </w:r>
          </w:p>
        </w:tc>
        <w:tc>
          <w:tcPr>
            <w:tcW w:w="128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86"/>
              </w:rPr>
              <w:t>Recognized</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left="467"/>
              <w:spacing w:after="0"/>
              <w:rPr>
                <w:sz w:val="20"/>
                <w:szCs w:val="20"/>
                <w:color w:val="auto"/>
              </w:rPr>
            </w:pPr>
            <w:r>
              <w:rPr>
                <w:rFonts w:ascii="Arial" w:cs="Arial" w:eastAsia="Arial" w:hAnsi="Arial"/>
                <w:sz w:val="14"/>
                <w:szCs w:val="14"/>
                <w:b w:val="1"/>
                <w:bCs w:val="1"/>
                <w:color w:val="auto"/>
                <w:w w:val="86"/>
              </w:rPr>
              <w:t>Recognized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Cash</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45"/>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9"/>
              </w:rPr>
              <w:t>Recorded</w:t>
            </w:r>
          </w:p>
        </w:tc>
        <w:tc>
          <w:tcPr>
            <w:tcW w:w="128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5"/>
              </w:rPr>
              <w:t>Total</w:t>
            </w:r>
          </w:p>
        </w:tc>
        <w:tc>
          <w:tcPr>
            <w:tcW w:w="8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w w:val="89"/>
              </w:rPr>
              <w:t>Recorded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vMerge w:val="restart"/>
          </w:tcPr>
          <w:p>
            <w:pPr>
              <w:jc w:val="center"/>
              <w:ind w:right="560"/>
              <w:spacing w:after="0"/>
              <w:rPr>
                <w:sz w:val="20"/>
                <w:szCs w:val="20"/>
                <w:color w:val="auto"/>
              </w:rPr>
            </w:pPr>
            <w:r>
              <w:rPr>
                <w:rFonts w:ascii="Arial" w:cs="Arial" w:eastAsia="Arial" w:hAnsi="Arial"/>
                <w:sz w:val="14"/>
                <w:szCs w:val="14"/>
                <w:b w:val="1"/>
                <w:bCs w:val="1"/>
                <w:color w:val="auto"/>
                <w:w w:val="89"/>
              </w:rPr>
              <w:t>Total</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200" w:type="dxa"/>
            <w:vAlign w:val="bottom"/>
          </w:tcPr>
          <w:p>
            <w:pPr>
              <w:spacing w:after="0"/>
              <w:rPr>
                <w:sz w:val="14"/>
                <w:szCs w:val="14"/>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Investment</w:t>
            </w:r>
          </w:p>
        </w:tc>
        <w:tc>
          <w:tcPr>
            <w:tcW w:w="1280" w:type="dxa"/>
            <w:vAlign w:val="bottom"/>
            <w:gridSpan w:val="3"/>
            <w:vMerge w:val="continue"/>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Basis</w:t>
            </w:r>
          </w:p>
        </w:tc>
        <w:tc>
          <w:tcPr>
            <w:tcW w:w="40" w:type="dxa"/>
            <w:vAlign w:val="bottom"/>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Investment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Basis</w:t>
            </w: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1"/>
        </w:trPr>
        <w:tc>
          <w:tcPr>
            <w:tcW w:w="520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303,712</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8,960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8,960</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263,018</w:t>
            </w:r>
          </w:p>
        </w:tc>
        <w:tc>
          <w:tcPr>
            <w:tcW w:w="20" w:type="dxa"/>
            <w:vAlign w:val="bottom"/>
          </w:tcPr>
          <w:p>
            <w:pPr>
              <w:spacing w:after="0"/>
              <w:rPr>
                <w:sz w:val="24"/>
                <w:szCs w:val="24"/>
                <w:color w:val="auto"/>
              </w:rPr>
            </w:pPr>
          </w:p>
        </w:tc>
        <w:tc>
          <w:tcPr>
            <w:tcW w:w="1040" w:type="dxa"/>
            <w:vAlign w:val="bottom"/>
            <w:gridSpan w:val="3"/>
          </w:tcPr>
          <w:p>
            <w:pPr>
              <w:ind w:left="640"/>
              <w:spacing w:after="0"/>
              <w:rPr>
                <w:sz w:val="20"/>
                <w:szCs w:val="20"/>
                <w:color w:val="auto"/>
              </w:rPr>
            </w:pPr>
            <w:r>
              <w:rPr>
                <w:rFonts w:ascii="Arial" w:cs="Arial" w:eastAsia="Arial" w:hAnsi="Arial"/>
                <w:sz w:val="18"/>
                <w:szCs w:val="18"/>
                <w:color w:val="auto"/>
                <w:w w:val="84"/>
              </w:rPr>
              <w:t>7,873</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7,873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208,200</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5,850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5,850</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194,451</w:t>
            </w:r>
          </w:p>
        </w:tc>
        <w:tc>
          <w:tcPr>
            <w:tcW w:w="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10,880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 builder and developer</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10,863</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8,699</w:t>
            </w:r>
          </w:p>
        </w:tc>
        <w:tc>
          <w:tcPr>
            <w:tcW w:w="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ind w:left="640"/>
              <w:spacing w:after="0"/>
              <w:rPr>
                <w:sz w:val="20"/>
                <w:szCs w:val="20"/>
                <w:color w:val="auto"/>
              </w:rPr>
            </w:pPr>
            <w:r>
              <w:rPr>
                <w:rFonts w:ascii="Arial" w:cs="Arial" w:eastAsia="Arial" w:hAnsi="Arial"/>
                <w:sz w:val="18"/>
                <w:szCs w:val="18"/>
                <w:color w:val="auto"/>
                <w:w w:val="84"/>
              </w:rPr>
              <w:t>1,779</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Other commercial construction</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26,440</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634</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11,467</w:t>
            </w:r>
          </w:p>
        </w:tc>
        <w:tc>
          <w:tcPr>
            <w:tcW w:w="20" w:type="dxa"/>
            <w:vAlign w:val="bottom"/>
          </w:tcPr>
          <w:p>
            <w:pPr>
              <w:spacing w:after="0"/>
              <w:rPr>
                <w:sz w:val="19"/>
                <w:szCs w:val="19"/>
                <w:color w:val="auto"/>
              </w:rPr>
            </w:pPr>
          </w:p>
        </w:tc>
        <w:tc>
          <w:tcPr>
            <w:tcW w:w="1040" w:type="dxa"/>
            <w:vAlign w:val="bottom"/>
            <w:gridSpan w:val="3"/>
          </w:tcPr>
          <w:p>
            <w:pPr>
              <w:ind w:left="640"/>
              <w:spacing w:after="0"/>
              <w:rPr>
                <w:sz w:val="20"/>
                <w:szCs w:val="20"/>
                <w:color w:val="auto"/>
              </w:rPr>
            </w:pPr>
            <w:r>
              <w:rPr>
                <w:rFonts w:ascii="Arial" w:cs="Arial" w:eastAsia="Arial" w:hAnsi="Arial"/>
                <w:sz w:val="18"/>
                <w:szCs w:val="18"/>
                <w:color w:val="auto"/>
                <w:w w:val="84"/>
              </w:rPr>
              <w:t>3,474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142,400</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3,567</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129,593</w:t>
            </w:r>
          </w:p>
        </w:tc>
        <w:tc>
          <w:tcPr>
            <w:tcW w:w="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ind w:left="640"/>
              <w:spacing w:after="0"/>
              <w:rPr>
                <w:sz w:val="20"/>
                <w:szCs w:val="20"/>
                <w:color w:val="auto"/>
              </w:rPr>
            </w:pPr>
            <w:r>
              <w:rPr>
                <w:rFonts w:ascii="Arial" w:cs="Arial" w:eastAsia="Arial" w:hAnsi="Arial"/>
                <w:sz w:val="18"/>
                <w:szCs w:val="18"/>
                <w:color w:val="auto"/>
                <w:w w:val="84"/>
              </w:rPr>
              <w:t>8,386</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Residential — limited documentation</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74,399</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5,463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881</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82,854</w:t>
            </w:r>
          </w:p>
        </w:tc>
        <w:tc>
          <w:tcPr>
            <w:tcW w:w="20" w:type="dxa"/>
            <w:vAlign w:val="bottom"/>
          </w:tcPr>
          <w:p>
            <w:pPr>
              <w:spacing w:after="0"/>
              <w:rPr>
                <w:sz w:val="19"/>
                <w:szCs w:val="19"/>
                <w:color w:val="auto"/>
              </w:rPr>
            </w:pPr>
          </w:p>
        </w:tc>
        <w:tc>
          <w:tcPr>
            <w:tcW w:w="1040" w:type="dxa"/>
            <w:vAlign w:val="bottom"/>
            <w:gridSpan w:val="3"/>
          </w:tcPr>
          <w:p>
            <w:pPr>
              <w:ind w:left="640"/>
              <w:spacing w:after="0"/>
              <w:rPr>
                <w:sz w:val="20"/>
                <w:szCs w:val="20"/>
                <w:color w:val="auto"/>
              </w:rPr>
            </w:pPr>
            <w:r>
              <w:rPr>
                <w:rFonts w:ascii="Arial" w:cs="Arial" w:eastAsia="Arial" w:hAnsi="Arial"/>
                <w:sz w:val="18"/>
                <w:szCs w:val="18"/>
                <w:color w:val="auto"/>
                <w:w w:val="84"/>
              </w:rPr>
              <w:t>6,118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Home equity lines and loans</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47,168</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270</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48,591</w:t>
            </w:r>
          </w:p>
        </w:tc>
        <w:tc>
          <w:tcPr>
            <w:tcW w:w="20" w:type="dxa"/>
            <w:vAlign w:val="bottom"/>
          </w:tcPr>
          <w:p>
            <w:pPr>
              <w:spacing w:after="0"/>
              <w:rPr>
                <w:sz w:val="19"/>
                <w:szCs w:val="19"/>
                <w:color w:val="auto"/>
              </w:rPr>
            </w:pPr>
          </w:p>
        </w:tc>
        <w:tc>
          <w:tcPr>
            <w:tcW w:w="1040" w:type="dxa"/>
            <w:vAlign w:val="bottom"/>
            <w:gridSpan w:val="3"/>
          </w:tcPr>
          <w:p>
            <w:pPr>
              <w:ind w:left="640"/>
              <w:spacing w:after="0"/>
              <w:rPr>
                <w:sz w:val="20"/>
                <w:szCs w:val="20"/>
                <w:color w:val="auto"/>
              </w:rPr>
            </w:pPr>
            <w:r>
              <w:rPr>
                <w:rFonts w:ascii="Arial" w:cs="Arial" w:eastAsia="Arial" w:hAnsi="Arial"/>
                <w:sz w:val="18"/>
                <w:szCs w:val="18"/>
                <w:color w:val="auto"/>
                <w:w w:val="84"/>
              </w:rPr>
              <w:t>1,698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Recreational finance</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5,707</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w:t>
            </w:r>
          </w:p>
        </w:tc>
        <w:tc>
          <w:tcPr>
            <w:tcW w:w="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Automobile</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3,445</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9,262</w:t>
            </w:r>
          </w:p>
        </w:tc>
        <w:tc>
          <w:tcPr>
            <w:tcW w:w="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690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5,025</w:t>
            </w:r>
          </w:p>
        </w:tc>
        <w:tc>
          <w:tcPr>
            <w:tcW w:w="2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4,413</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827,359</w:t>
            </w:r>
          </w:p>
        </w:tc>
        <w:tc>
          <w:tcPr>
            <w:tcW w:w="2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33,400</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20,619</w:t>
            </w:r>
          </w:p>
        </w:tc>
        <w:tc>
          <w:tcPr>
            <w:tcW w:w="2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754,197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41,461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90"/>
              </w:rPr>
              <w:t>Year Ended December 31, 2017</w:t>
            </w: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5"/>
          </w:tcPr>
          <w:p>
            <w:pPr>
              <w:jc w:val="center"/>
              <w:spacing w:after="0" w:line="129" w:lineRule="exact"/>
              <w:rPr>
                <w:sz w:val="20"/>
                <w:szCs w:val="20"/>
                <w:color w:val="auto"/>
              </w:rPr>
            </w:pPr>
            <w:r>
              <w:rPr>
                <w:rFonts w:ascii="Arial" w:cs="Arial" w:eastAsia="Arial" w:hAnsi="Arial"/>
                <w:sz w:val="14"/>
                <w:szCs w:val="14"/>
                <w:b w:val="1"/>
                <w:bCs w:val="1"/>
                <w:color w:val="auto"/>
                <w:w w:val="90"/>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Borders>
              <w:bottom w:val="single" w:sz="8" w:color="auto"/>
            </w:tcBorders>
            <w:gridSpan w:val="4"/>
          </w:tcPr>
          <w:p>
            <w:pPr>
              <w:jc w:val="center"/>
              <w:ind w:left="467"/>
              <w:spacing w:after="0"/>
              <w:rPr>
                <w:sz w:val="20"/>
                <w:szCs w:val="20"/>
                <w:color w:val="auto"/>
              </w:rPr>
            </w:pPr>
            <w:r>
              <w:rPr>
                <w:rFonts w:ascii="Arial" w:cs="Arial" w:eastAsia="Arial" w:hAnsi="Arial"/>
                <w:sz w:val="14"/>
                <w:szCs w:val="14"/>
                <w:b w:val="1"/>
                <w:bCs w:val="1"/>
                <w:color w:val="auto"/>
                <w:w w:val="86"/>
              </w:rPr>
              <w:t>Recognized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45"/>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Recorded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vMerge w:val="restart"/>
          </w:tcPr>
          <w:p>
            <w:pPr>
              <w:jc w:val="center"/>
              <w:ind w:right="520"/>
              <w:spacing w:after="0"/>
              <w:rPr>
                <w:sz w:val="20"/>
                <w:szCs w:val="20"/>
                <w:color w:val="auto"/>
              </w:rPr>
            </w:pPr>
            <w:r>
              <w:rPr>
                <w:rFonts w:ascii="Arial" w:cs="Arial" w:eastAsia="Arial" w:hAnsi="Arial"/>
                <w:sz w:val="14"/>
                <w:szCs w:val="14"/>
                <w:b w:val="1"/>
                <w:bCs w:val="1"/>
                <w:color w:val="auto"/>
                <w:w w:val="89"/>
              </w:rPr>
              <w:t>Total</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Investment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Basis</w:t>
            </w:r>
          </w:p>
        </w:tc>
        <w:tc>
          <w:tcPr>
            <w:tcW w:w="0" w:type="dxa"/>
            <w:vAlign w:val="bottom"/>
          </w:tcPr>
          <w:p>
            <w:pPr>
              <w:spacing w:after="0"/>
              <w:rPr>
                <w:sz w:val="1"/>
                <w:szCs w:val="1"/>
                <w:color w:val="auto"/>
              </w:rPr>
            </w:pPr>
          </w:p>
        </w:tc>
      </w:tr>
      <w:tr>
        <w:trPr>
          <w:trHeight w:val="245"/>
        </w:trPr>
        <w:tc>
          <w:tcPr>
            <w:tcW w:w="5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4"/>
        </w:trPr>
        <w:tc>
          <w:tcPr>
            <w:tcW w:w="520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240,157</w:t>
            </w:r>
          </w:p>
        </w:tc>
        <w:tc>
          <w:tcPr>
            <w:tcW w:w="1060" w:type="dxa"/>
            <w:vAlign w:val="bottom"/>
            <w:gridSpan w:val="4"/>
          </w:tcPr>
          <w:p>
            <w:pPr>
              <w:ind w:left="660"/>
              <w:spacing w:after="0"/>
              <w:rPr>
                <w:sz w:val="20"/>
                <w:szCs w:val="20"/>
                <w:color w:val="auto"/>
              </w:rPr>
            </w:pPr>
            <w:r>
              <w:rPr>
                <w:rFonts w:ascii="Arial" w:cs="Arial" w:eastAsia="Arial" w:hAnsi="Arial"/>
                <w:sz w:val="18"/>
                <w:szCs w:val="18"/>
                <w:color w:val="auto"/>
                <w:w w:val="84"/>
              </w:rPr>
              <w:t>3,894</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207,616</w:t>
            </w:r>
          </w:p>
        </w:tc>
        <w:tc>
          <w:tcPr>
            <w:tcW w:w="1060" w:type="dxa"/>
            <w:vAlign w:val="bottom"/>
            <w:gridSpan w:val="4"/>
          </w:tcPr>
          <w:p>
            <w:pPr>
              <w:ind w:left="660"/>
              <w:spacing w:after="0"/>
              <w:rPr>
                <w:sz w:val="20"/>
                <w:szCs w:val="20"/>
                <w:color w:val="auto"/>
              </w:rPr>
            </w:pPr>
            <w:r>
              <w:rPr>
                <w:rFonts w:ascii="Arial" w:cs="Arial" w:eastAsia="Arial" w:hAnsi="Arial"/>
                <w:sz w:val="18"/>
                <w:szCs w:val="18"/>
                <w:color w:val="auto"/>
                <w:w w:val="84"/>
              </w:rPr>
              <w:t>4,497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16,209</w:t>
            </w:r>
          </w:p>
        </w:tc>
        <w:tc>
          <w:tcPr>
            <w:tcW w:w="1060" w:type="dxa"/>
            <w:vAlign w:val="bottom"/>
            <w:gridSpan w:val="4"/>
            <w:shd w:val="clear" w:color="auto" w:fill="CFF0FC"/>
          </w:tcPr>
          <w:p>
            <w:pPr>
              <w:ind w:left="660"/>
              <w:spacing w:after="0"/>
              <w:rPr>
                <w:sz w:val="20"/>
                <w:szCs w:val="20"/>
                <w:color w:val="auto"/>
              </w:rPr>
            </w:pPr>
            <w:r>
              <w:rPr>
                <w:rFonts w:ascii="Arial" w:cs="Arial" w:eastAsia="Arial" w:hAnsi="Arial"/>
                <w:sz w:val="18"/>
                <w:szCs w:val="18"/>
                <w:color w:val="auto"/>
                <w:w w:val="84"/>
              </w:rPr>
              <w:t>6,419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60"/>
              <w:spacing w:after="0"/>
              <w:rPr>
                <w:sz w:val="20"/>
                <w:szCs w:val="20"/>
                <w:color w:val="auto"/>
              </w:rPr>
            </w:pPr>
            <w:r>
              <w:rPr>
                <w:rFonts w:ascii="Arial" w:cs="Arial" w:eastAsia="Arial" w:hAnsi="Arial"/>
                <w:sz w:val="18"/>
                <w:szCs w:val="18"/>
                <w:color w:val="auto"/>
              </w:rPr>
              <w:t>Other commercial construction</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15,142</w:t>
            </w:r>
          </w:p>
        </w:tc>
        <w:tc>
          <w:tcPr>
            <w:tcW w:w="1060" w:type="dxa"/>
            <w:vAlign w:val="bottom"/>
            <w:gridSpan w:val="4"/>
          </w:tcPr>
          <w:p>
            <w:pPr>
              <w:ind w:left="660"/>
              <w:spacing w:after="0"/>
              <w:rPr>
                <w:sz w:val="20"/>
                <w:szCs w:val="20"/>
                <w:color w:val="auto"/>
              </w:rPr>
            </w:pPr>
            <w:r>
              <w:rPr>
                <w:rFonts w:ascii="Arial" w:cs="Arial" w:eastAsia="Arial" w:hAnsi="Arial"/>
                <w:sz w:val="18"/>
                <w:szCs w:val="18"/>
                <w:color w:val="auto"/>
                <w:w w:val="84"/>
              </w:rPr>
              <w:t>1,001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8"/>
              </w:rPr>
              <w:t>110,646</w:t>
            </w:r>
          </w:p>
        </w:tc>
        <w:tc>
          <w:tcPr>
            <w:tcW w:w="1060" w:type="dxa"/>
            <w:vAlign w:val="bottom"/>
            <w:gridSpan w:val="4"/>
            <w:shd w:val="clear" w:color="auto" w:fill="CFF0FC"/>
          </w:tcPr>
          <w:p>
            <w:pPr>
              <w:ind w:left="660"/>
              <w:spacing w:after="0"/>
              <w:rPr>
                <w:sz w:val="20"/>
                <w:szCs w:val="20"/>
                <w:color w:val="auto"/>
              </w:rPr>
            </w:pPr>
            <w:r>
              <w:rPr>
                <w:rFonts w:ascii="Arial" w:cs="Arial" w:eastAsia="Arial" w:hAnsi="Arial"/>
                <w:sz w:val="18"/>
                <w:szCs w:val="18"/>
                <w:color w:val="auto"/>
                <w:w w:val="84"/>
              </w:rPr>
              <w:t>7,177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60"/>
              <w:spacing w:after="0"/>
              <w:rPr>
                <w:sz w:val="20"/>
                <w:szCs w:val="20"/>
                <w:color w:val="auto"/>
              </w:rPr>
            </w:pPr>
            <w:r>
              <w:rPr>
                <w:rFonts w:ascii="Arial" w:cs="Arial" w:eastAsia="Arial" w:hAnsi="Arial"/>
                <w:sz w:val="18"/>
                <w:szCs w:val="18"/>
                <w:color w:val="auto"/>
              </w:rPr>
              <w:t>Residential — limited documentation</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93,097</w:t>
            </w:r>
          </w:p>
        </w:tc>
        <w:tc>
          <w:tcPr>
            <w:tcW w:w="1060" w:type="dxa"/>
            <w:vAlign w:val="bottom"/>
            <w:gridSpan w:val="4"/>
          </w:tcPr>
          <w:p>
            <w:pPr>
              <w:ind w:left="660"/>
              <w:spacing w:after="0"/>
              <w:rPr>
                <w:sz w:val="20"/>
                <w:szCs w:val="20"/>
                <w:color w:val="auto"/>
              </w:rPr>
            </w:pPr>
            <w:r>
              <w:rPr>
                <w:rFonts w:ascii="Arial" w:cs="Arial" w:eastAsia="Arial" w:hAnsi="Arial"/>
                <w:sz w:val="18"/>
                <w:szCs w:val="18"/>
                <w:color w:val="auto"/>
                <w:w w:val="84"/>
              </w:rPr>
              <w:t>5,981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60"/>
              <w:spacing w:after="0"/>
              <w:rPr>
                <w:sz w:val="20"/>
                <w:szCs w:val="20"/>
                <w:color w:val="auto"/>
              </w:rPr>
            </w:pPr>
            <w:r>
              <w:rPr>
                <w:rFonts w:ascii="Arial" w:cs="Arial" w:eastAsia="Arial" w:hAnsi="Arial"/>
                <w:sz w:val="18"/>
                <w:szCs w:val="18"/>
                <w:color w:val="auto"/>
              </w:rPr>
              <w:t>Home equity lines and loans</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47,323</w:t>
            </w:r>
          </w:p>
        </w:tc>
        <w:tc>
          <w:tcPr>
            <w:tcW w:w="1060" w:type="dxa"/>
            <w:vAlign w:val="bottom"/>
            <w:gridSpan w:val="4"/>
          </w:tcPr>
          <w:p>
            <w:pPr>
              <w:ind w:left="660"/>
              <w:spacing w:after="0"/>
              <w:rPr>
                <w:sz w:val="20"/>
                <w:szCs w:val="20"/>
                <w:color w:val="auto"/>
              </w:rPr>
            </w:pPr>
            <w:r>
              <w:rPr>
                <w:rFonts w:ascii="Arial" w:cs="Arial" w:eastAsia="Arial" w:hAnsi="Arial"/>
                <w:sz w:val="18"/>
                <w:szCs w:val="18"/>
                <w:color w:val="auto"/>
                <w:w w:val="84"/>
              </w:rPr>
              <w:t>1,681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Recreational finance</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1,041</w:t>
            </w:r>
          </w:p>
        </w:tc>
        <w:tc>
          <w:tcPr>
            <w:tcW w:w="10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212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60"/>
              <w:spacing w:after="0"/>
              <w:rPr>
                <w:sz w:val="20"/>
                <w:szCs w:val="20"/>
                <w:color w:val="auto"/>
              </w:rPr>
            </w:pPr>
            <w:r>
              <w:rPr>
                <w:rFonts w:ascii="Arial" w:cs="Arial" w:eastAsia="Arial" w:hAnsi="Arial"/>
                <w:sz w:val="18"/>
                <w:szCs w:val="18"/>
                <w:color w:val="auto"/>
              </w:rPr>
              <w:t>Automobile</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15,045</w:t>
            </w:r>
          </w:p>
        </w:tc>
        <w:tc>
          <w:tcPr>
            <w:tcW w:w="1060" w:type="dxa"/>
            <w:vAlign w:val="bottom"/>
            <w:gridSpan w:val="4"/>
          </w:tcPr>
          <w:p>
            <w:pPr>
              <w:ind w:left="660"/>
              <w:spacing w:after="0"/>
              <w:rPr>
                <w:sz w:val="20"/>
                <w:szCs w:val="20"/>
                <w:color w:val="auto"/>
              </w:rPr>
            </w:pPr>
            <w:r>
              <w:rPr>
                <w:rFonts w:ascii="Arial" w:cs="Arial" w:eastAsia="Arial" w:hAnsi="Arial"/>
                <w:sz w:val="18"/>
                <w:szCs w:val="18"/>
                <w:color w:val="auto"/>
                <w:w w:val="84"/>
              </w:rPr>
              <w:t>1,025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2,322</w:t>
            </w:r>
          </w:p>
        </w:tc>
        <w:tc>
          <w:tcPr>
            <w:tcW w:w="300" w:type="dxa"/>
            <w:vAlign w:val="bottom"/>
            <w:gridSpan w:val="2"/>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748,598</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31,983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21,316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right="100" w:firstLine="598"/>
        <w:spacing w:after="0" w:line="266" w:lineRule="auto"/>
        <w:rPr>
          <w:sz w:val="20"/>
          <w:szCs w:val="20"/>
          <w:color w:val="auto"/>
        </w:rPr>
      </w:pPr>
      <w:r>
        <w:rPr>
          <w:rFonts w:ascii="Arial" w:cs="Arial" w:eastAsia="Arial" w:hAnsi="Arial"/>
          <w:sz w:val="19"/>
          <w:szCs w:val="19"/>
          <w:color w:val="auto"/>
        </w:rPr>
        <w:t>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Furthermore, criticized nonaccrual commercial loans and commercial real estate loans are considered impaired and, as a result, specific loss allowances on such loans are established within the allowance for credit losses to the extent appropriate in each individual instance.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136" w:name="page137"/>
    <w:bookmarkEnd w:id="136"/>
    <w:p>
      <w:pPr>
        <w:ind w:right="240" w:firstLine="598"/>
        <w:spacing w:after="0" w:line="275" w:lineRule="auto"/>
        <w:rPr>
          <w:sz w:val="20"/>
          <w:szCs w:val="20"/>
          <w:color w:val="auto"/>
        </w:rPr>
      </w:pPr>
      <w:r>
        <w:rPr>
          <w:rFonts w:ascii="Arial" w:cs="Arial" w:eastAsia="Arial" w:hAnsi="Arial"/>
          <w:sz w:val="20"/>
          <w:szCs w:val="20"/>
          <w:color w:val="auto"/>
        </w:rPr>
        <w:t>The following table summarizes the loan grades applied to the various classes of the Company’s commercial loans and commercial real estate loans.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Commercial,</w:t>
            </w:r>
          </w:p>
        </w:tc>
        <w:tc>
          <w:tcPr>
            <w:tcW w:w="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Real Estate</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0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90"/>
              </w:rPr>
              <w:t>Residential</w:t>
            </w:r>
          </w:p>
        </w:tc>
        <w:tc>
          <w:tcPr>
            <w:tcW w:w="9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Financial,</w:t>
            </w: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Builder and</w:t>
            </w:r>
          </w:p>
        </w:tc>
        <w:tc>
          <w:tcPr>
            <w:tcW w:w="10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Commercial</w:t>
            </w:r>
          </w:p>
        </w:tc>
        <w:tc>
          <w:tcPr>
            <w:tcW w:w="0" w:type="dxa"/>
            <w:vAlign w:val="bottom"/>
          </w:tcPr>
          <w:p>
            <w:pPr>
              <w:spacing w:after="0"/>
              <w:rPr>
                <w:sz w:val="1"/>
                <w:szCs w:val="1"/>
                <w:color w:val="auto"/>
              </w:rPr>
            </w:pPr>
          </w:p>
        </w:tc>
      </w:tr>
      <w:tr>
        <w:trPr>
          <w:trHeight w:val="167"/>
        </w:trPr>
        <w:tc>
          <w:tcPr>
            <w:tcW w:w="40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Leasing, etc.</w:t>
            </w: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Commercial</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Developer</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Construction</w:t>
            </w:r>
          </w:p>
        </w:tc>
        <w:tc>
          <w:tcPr>
            <w:tcW w:w="0" w:type="dxa"/>
            <w:vAlign w:val="bottom"/>
          </w:tcPr>
          <w:p>
            <w:pPr>
              <w:spacing w:after="0"/>
              <w:rPr>
                <w:sz w:val="1"/>
                <w:szCs w:val="1"/>
                <w:color w:val="auto"/>
              </w:rPr>
            </w:pPr>
          </w:p>
        </w:tc>
      </w:tr>
      <w:tr>
        <w:trPr>
          <w:trHeight w:val="151"/>
        </w:trPr>
        <w:tc>
          <w:tcPr>
            <w:tcW w:w="40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gridSpan w:val="4"/>
          </w:tcPr>
          <w:p>
            <w:pPr>
              <w:ind w:left="660"/>
              <w:spacing w:after="0" w:line="151" w:lineRule="exact"/>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25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Pass</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$22,595,821</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25,728,725</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1,419,162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7,092,799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Criticized accrual</w:t>
            </w:r>
          </w:p>
        </w:tc>
        <w:tc>
          <w:tcPr>
            <w:tcW w:w="3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895,790</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770,609</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124,101</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Criticized nonaccrual</w:t>
            </w:r>
          </w:p>
        </w:tc>
        <w:tc>
          <w:tcPr>
            <w:tcW w:w="25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346,557</w:t>
            </w:r>
          </w:p>
        </w:tc>
        <w:tc>
          <w:tcPr>
            <w:tcW w:w="3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158,474</w:t>
            </w:r>
          </w:p>
        </w:tc>
        <w:tc>
          <w:tcPr>
            <w:tcW w:w="3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w:t>
            </w:r>
          </w:p>
        </w:tc>
        <w:tc>
          <w:tcPr>
            <w:tcW w:w="3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3460" w:type="dxa"/>
            <w:vAlign w:val="bottom"/>
            <w:gridSpan w:val="2"/>
            <w:shd w:val="clear" w:color="auto" w:fill="CFF0FC"/>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23,838,168</w:t>
            </w: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26,657,808</w:t>
            </w: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1,547,245</w:t>
            </w: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7,336,861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December 31, 2018</w:t>
            </w:r>
          </w:p>
        </w:tc>
        <w:tc>
          <w:tcPr>
            <w:tcW w:w="25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vMerge w:val="continue"/>
          </w:tcPr>
          <w:p>
            <w:pPr>
              <w:spacing w:after="0"/>
              <w:rPr>
                <w:sz w:val="17"/>
                <w:szCs w:val="17"/>
                <w:color w:val="auto"/>
              </w:rPr>
            </w:pPr>
          </w:p>
        </w:tc>
        <w:tc>
          <w:tcPr>
            <w:tcW w:w="2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Pass</w:t>
            </w:r>
          </w:p>
        </w:tc>
        <w:tc>
          <w:tcPr>
            <w:tcW w:w="3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$21,693,705</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24,539,706</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1,546,002</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6,890,562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Criticized accrual</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1,049,848</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866,987</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139,509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Criticized nonaccrual</w:t>
            </w:r>
          </w:p>
        </w:tc>
        <w:tc>
          <w:tcPr>
            <w:tcW w:w="25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234,423</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203,672</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4,798</w:t>
            </w:r>
          </w:p>
        </w:tc>
        <w:tc>
          <w:tcPr>
            <w:tcW w:w="3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Total</w:t>
            </w:r>
          </w:p>
        </w:tc>
        <w:tc>
          <w:tcPr>
            <w:tcW w:w="3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22,977,976</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25,610,365</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1,690,309</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7,062,882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60" w:firstLine="598"/>
        <w:spacing w:after="0" w:line="261" w:lineRule="auto"/>
        <w:rPr>
          <w:sz w:val="20"/>
          <w:szCs w:val="20"/>
          <w:color w:val="auto"/>
        </w:rPr>
      </w:pPr>
      <w:r>
        <w:rPr>
          <w:rFonts w:ascii="Arial" w:cs="Arial" w:eastAsia="Arial" w:hAnsi="Arial"/>
          <w:sz w:val="19"/>
          <w:szCs w:val="19"/>
          <w:color w:val="auto"/>
        </w:rPr>
        <w:t>In determining the allowance for credit losses, residential real estate loans and consumer loans are generally evaluated collectively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the Company’s credit department. In arriving at such forecasts, the Company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any first lien position prior to recovering amounts on a second lien position. However, residential real estate loans and outstanding balances of home equity loans and lines of credit that are more than 150 days past due are generally evaluated for collectibility on a loan-by-loan basis by giving consideration to estimated collateral values. The carrying value of residential real estate loans and home equity loans and lines of credit for which a partial charge-off has been recognized totaled $25 million and $19 million, respectively, at December 31, 2019 and $29 million and $23 million, respectively, at December 31, 2018. Residential real estate loans and home equity loans and lines of credit that were more than 150 days past due but did not require a partial charge-off because the net realizable value of the collateral exceeded the outstanding customer balance were $18 million and $29 million, respectively, at December 31, 2019 and $21 million and $31 million, respectively, at December 31, 2018.</w:t>
      </w:r>
    </w:p>
    <w:p>
      <w:pPr>
        <w:spacing w:after="0" w:line="1" w:lineRule="exact"/>
        <w:rPr>
          <w:sz w:val="20"/>
          <w:szCs w:val="20"/>
          <w:color w:val="auto"/>
        </w:rPr>
      </w:pPr>
    </w:p>
    <w:p>
      <w:pPr>
        <w:ind w:right="40" w:firstLine="598"/>
        <w:spacing w:after="0" w:line="248" w:lineRule="auto"/>
        <w:rPr>
          <w:sz w:val="20"/>
          <w:szCs w:val="20"/>
          <w:color w:val="auto"/>
        </w:rPr>
      </w:pPr>
      <w:r>
        <w:rPr>
          <w:rFonts w:ascii="Arial" w:cs="Arial" w:eastAsia="Arial" w:hAnsi="Arial"/>
          <w:sz w:val="20"/>
          <w:szCs w:val="20"/>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37" w:name="page138"/>
    <w:bookmarkEnd w:id="137"/>
    <w:p>
      <w:pPr>
        <w:jc w:val="both"/>
        <w:ind w:right="160"/>
        <w:spacing w:after="0" w:line="279" w:lineRule="auto"/>
        <w:rPr>
          <w:sz w:val="20"/>
          <w:szCs w:val="20"/>
          <w:color w:val="auto"/>
        </w:rPr>
      </w:pPr>
      <w:r>
        <w:rPr>
          <w:rFonts w:ascii="Arial" w:cs="Arial" w:eastAsia="Arial" w:hAnsi="Arial"/>
          <w:sz w:val="18"/>
          <w:szCs w:val="18"/>
          <w:color w:val="auto"/>
        </w:rPr>
        <w:t>imprecision in the various calculations used 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allocation of the allowance for credit losses summarized on the basis of the Company’s impairment methodology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2280" w:type="dxa"/>
            <w:vAlign w:val="bottom"/>
            <w:gridSpan w:val="4"/>
            <w:vMerge w:val="restart"/>
          </w:tcPr>
          <w:p>
            <w:pPr>
              <w:ind w:left="640"/>
              <w:spacing w:after="0"/>
              <w:rPr>
                <w:sz w:val="20"/>
                <w:szCs w:val="20"/>
                <w:color w:val="auto"/>
              </w:rPr>
            </w:pPr>
            <w:r>
              <w:rPr>
                <w:rFonts w:ascii="Arial" w:cs="Arial" w:eastAsia="Arial" w:hAnsi="Arial"/>
                <w:sz w:val="14"/>
                <w:szCs w:val="14"/>
                <w:b w:val="1"/>
                <w:bCs w:val="1"/>
                <w:color w:val="auto"/>
              </w:rPr>
              <w:t>Real Estate</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w:t>
            </w:r>
          </w:p>
        </w:tc>
        <w:tc>
          <w:tcPr>
            <w:tcW w:w="2280" w:type="dxa"/>
            <w:vAlign w:val="bottom"/>
            <w:gridSpan w:val="4"/>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gridSpan w:val="3"/>
          </w:tcPr>
          <w:p>
            <w:pPr>
              <w:ind w:left="20"/>
              <w:spacing w:after="0" w:line="151" w:lineRule="exact"/>
              <w:rPr>
                <w:sz w:val="20"/>
                <w:szCs w:val="20"/>
                <w:color w:val="auto"/>
              </w:rPr>
            </w:pPr>
            <w:r>
              <w:rPr>
                <w:rFonts w:ascii="Arial" w:cs="Arial" w:eastAsia="Arial" w:hAnsi="Arial"/>
                <w:sz w:val="14"/>
                <w:szCs w:val="14"/>
                <w:b w:val="1"/>
                <w:bCs w:val="1"/>
                <w:color w:val="auto"/>
              </w:rPr>
              <w:t>Leasing, etc.</w:t>
            </w:r>
          </w:p>
        </w:tc>
        <w:tc>
          <w:tcPr>
            <w:tcW w:w="8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4"/>
              </w:rPr>
              <w:t>Commercial</w:t>
            </w:r>
          </w:p>
        </w:tc>
        <w:tc>
          <w:tcPr>
            <w:tcW w:w="3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3"/>
              </w:rPr>
              <w:t>Residential</w:t>
            </w:r>
          </w:p>
        </w:tc>
        <w:tc>
          <w:tcPr>
            <w:tcW w:w="320" w:type="dxa"/>
            <w:vAlign w:val="bottom"/>
          </w:tcPr>
          <w:p>
            <w:pPr>
              <w:spacing w:after="0"/>
              <w:rPr>
                <w:sz w:val="13"/>
                <w:szCs w:val="13"/>
                <w:color w:val="auto"/>
              </w:rPr>
            </w:pPr>
          </w:p>
        </w:tc>
        <w:tc>
          <w:tcPr>
            <w:tcW w:w="1140" w:type="dxa"/>
            <w:vAlign w:val="bottom"/>
            <w:gridSpan w:val="2"/>
          </w:tcPr>
          <w:p>
            <w:pPr>
              <w:ind w:left="100"/>
              <w:spacing w:after="0" w:line="151" w:lineRule="exact"/>
              <w:rPr>
                <w:sz w:val="20"/>
                <w:szCs w:val="20"/>
                <w:color w:val="auto"/>
              </w:rPr>
            </w:pPr>
            <w:r>
              <w:rPr>
                <w:rFonts w:ascii="Arial" w:cs="Arial" w:eastAsia="Arial" w:hAnsi="Arial"/>
                <w:sz w:val="14"/>
                <w:szCs w:val="14"/>
                <w:b w:val="1"/>
                <w:bCs w:val="1"/>
                <w:color w:val="auto"/>
              </w:rPr>
              <w:t>Consumer</w:t>
            </w:r>
          </w:p>
        </w:tc>
        <w:tc>
          <w:tcPr>
            <w:tcW w:w="100" w:type="dxa"/>
            <w:vAlign w:val="bottom"/>
          </w:tcPr>
          <w:p>
            <w:pPr>
              <w:spacing w:after="0"/>
              <w:rPr>
                <w:sz w:val="13"/>
                <w:szCs w:val="13"/>
                <w:color w:val="auto"/>
              </w:rPr>
            </w:pPr>
          </w:p>
        </w:tc>
        <w:tc>
          <w:tcPr>
            <w:tcW w:w="860" w:type="dxa"/>
            <w:vAlign w:val="bottom"/>
            <w:gridSpan w:val="2"/>
          </w:tcPr>
          <w:p>
            <w:pPr>
              <w:ind w:left="160"/>
              <w:spacing w:after="0" w:line="151"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1"/>
        </w:trPr>
        <w:tc>
          <w:tcPr>
            <w:tcW w:w="4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3"/>
          </w:tcPr>
          <w:p>
            <w:pPr>
              <w:ind w:left="300"/>
              <w:spacing w:after="0" w:line="151" w:lineRule="exact"/>
              <w:rPr>
                <w:sz w:val="20"/>
                <w:szCs w:val="20"/>
                <w:color w:val="auto"/>
              </w:rPr>
            </w:pPr>
            <w:r>
              <w:rPr>
                <w:rFonts w:ascii="Arial" w:cs="Arial" w:eastAsia="Arial" w:hAnsi="Arial"/>
                <w:sz w:val="14"/>
                <w:szCs w:val="14"/>
                <w:b w:val="1"/>
                <w:bCs w:val="1"/>
                <w:color w:val="auto"/>
              </w:rPr>
              <w:t>(In thousands)</w:t>
            </w:r>
          </w:p>
        </w:tc>
        <w:tc>
          <w:tcPr>
            <w:tcW w:w="8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1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700" w:type="dxa"/>
            <w:vAlign w:val="bottom"/>
            <w:gridSpan w:val="2"/>
          </w:tcPr>
          <w:p>
            <w:pPr>
              <w:ind w:left="16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74,435</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9,188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9,173</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11,670</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104,466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Collectively evaluated for impairment</w:t>
            </w:r>
          </w:p>
        </w:tc>
        <w:tc>
          <w:tcPr>
            <w:tcW w:w="1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291,659</w:t>
            </w: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313,013</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43,656</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217,448</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865,776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Purchased impaired</w:t>
            </w:r>
          </w:p>
        </w:tc>
        <w:tc>
          <w:tcPr>
            <w:tcW w:w="16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w:t>
            </w:r>
          </w:p>
        </w:tc>
        <w:tc>
          <w:tcPr>
            <w:tcW w:w="3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Allocated</w:t>
            </w:r>
          </w:p>
        </w:tc>
        <w:tc>
          <w:tcPr>
            <w:tcW w:w="1700" w:type="dxa"/>
            <w:vAlign w:val="bottom"/>
            <w:gridSpan w:val="2"/>
            <w:shd w:val="clear" w:color="auto" w:fill="CFF0FC"/>
          </w:tcPr>
          <w:p>
            <w:pPr>
              <w:ind w:left="16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366,094</w:t>
            </w: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322,201</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56,033</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229,118</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973,446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Unallocated</w:t>
            </w:r>
          </w:p>
        </w:tc>
        <w:tc>
          <w:tcPr>
            <w:tcW w:w="16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77,625</w:t>
            </w: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tcBorders>
              <w:bottom w:val="single" w:sz="8" w:color="CFF0FC"/>
            </w:tcBorders>
            <w:vMerge w:val="continue"/>
          </w:tcPr>
          <w:p>
            <w:pPr>
              <w:spacing w:after="0"/>
              <w:rPr>
                <w:sz w:val="17"/>
                <w:szCs w:val="17"/>
                <w:color w:val="auto"/>
              </w:rPr>
            </w:pPr>
          </w:p>
        </w:tc>
        <w:tc>
          <w:tcPr>
            <w:tcW w:w="16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72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1,051,071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December 31, 2018</w:t>
            </w: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Individually evaluated for impairment</w:t>
            </w:r>
          </w:p>
        </w:tc>
        <w:tc>
          <w:tcPr>
            <w:tcW w:w="1700" w:type="dxa"/>
            <w:vAlign w:val="bottom"/>
            <w:gridSpan w:val="2"/>
            <w:shd w:val="clear" w:color="auto" w:fill="CFF0FC"/>
          </w:tcPr>
          <w:p>
            <w:pPr>
              <w:ind w:left="16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46,034</w:t>
            </w: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13,039</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8,402</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12,171</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284,021</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328,616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48,326</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188,393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849,356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Purchased impaired</w:t>
            </w:r>
          </w:p>
        </w:tc>
        <w:tc>
          <w:tcPr>
            <w:tcW w:w="16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12,397</w:t>
            </w:r>
          </w:p>
        </w:tc>
        <w:tc>
          <w:tcPr>
            <w:tcW w:w="3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300" w:type="dxa"/>
            <w:vAlign w:val="bottom"/>
          </w:tcPr>
          <w:p>
            <w:pPr>
              <w:spacing w:after="0"/>
              <w:rPr>
                <w:sz w:val="20"/>
                <w:szCs w:val="20"/>
                <w:color w:val="auto"/>
              </w:rPr>
            </w:pPr>
            <w:r>
              <w:rPr>
                <w:rFonts w:ascii="Arial" w:cs="Arial" w:eastAsia="Arial" w:hAnsi="Arial"/>
                <w:sz w:val="18"/>
                <w:szCs w:val="18"/>
                <w:color w:val="auto"/>
              </w:rPr>
              <w:t>Allocated</w:t>
            </w:r>
          </w:p>
        </w:tc>
        <w:tc>
          <w:tcPr>
            <w:tcW w:w="1700" w:type="dxa"/>
            <w:vAlign w:val="bottom"/>
            <w:gridSpan w:val="2"/>
          </w:tcPr>
          <w:p>
            <w:pPr>
              <w:ind w:left="16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330,055</w:t>
            </w:r>
          </w:p>
        </w:tc>
        <w:tc>
          <w:tcPr>
            <w:tcW w:w="3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341,655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69,125</w:t>
            </w: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200,564</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941,399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30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Unallocated</w:t>
            </w:r>
          </w:p>
        </w:tc>
        <w:tc>
          <w:tcPr>
            <w:tcW w:w="16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auto"/>
            </w:tcBorders>
            <w:shd w:val="clear" w:color="auto" w:fill="CFF0FC"/>
          </w:tcPr>
          <w:p>
            <w:pPr>
              <w:spacing w:after="0"/>
              <w:rPr>
                <w:sz w:val="17"/>
                <w:szCs w:val="17"/>
                <w:color w:val="auto"/>
              </w:rPr>
            </w:pPr>
          </w:p>
        </w:tc>
        <w:tc>
          <w:tcPr>
            <w:tcW w:w="740" w:type="dxa"/>
            <w:vAlign w:val="bottom"/>
            <w:tcBorders>
              <w:top w:val="single" w:sz="8" w:color="CFF0FC"/>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78,045</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Total</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1,019,444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recorded investment in loans and leases summarized on the basis of the Company’s impairment methodology was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Commercial,</w:t>
            </w:r>
          </w:p>
        </w:tc>
        <w:tc>
          <w:tcPr>
            <w:tcW w:w="2440" w:type="dxa"/>
            <w:vAlign w:val="bottom"/>
            <w:gridSpan w:val="4"/>
            <w:vMerge w:val="restart"/>
          </w:tcPr>
          <w:p>
            <w:pPr>
              <w:ind w:left="720"/>
              <w:spacing w:after="0"/>
              <w:rPr>
                <w:sz w:val="20"/>
                <w:szCs w:val="20"/>
                <w:color w:val="auto"/>
              </w:rPr>
            </w:pPr>
            <w:r>
              <w:rPr>
                <w:rFonts w:ascii="Arial" w:cs="Arial" w:eastAsia="Arial" w:hAnsi="Arial"/>
                <w:sz w:val="14"/>
                <w:szCs w:val="14"/>
                <w:b w:val="1"/>
                <w:bCs w:val="1"/>
                <w:color w:val="auto"/>
              </w:rPr>
              <w:t>Real Estate</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Financial,</w:t>
            </w:r>
          </w:p>
        </w:tc>
        <w:tc>
          <w:tcPr>
            <w:tcW w:w="2440" w:type="dxa"/>
            <w:vAlign w:val="bottom"/>
            <w:gridSpan w:val="4"/>
            <w:vMerge w:val="continue"/>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20" w:type="dxa"/>
            <w:vAlign w:val="bottom"/>
            <w:gridSpan w:val="3"/>
          </w:tcPr>
          <w:p>
            <w:pPr>
              <w:jc w:val="center"/>
              <w:ind w:right="320"/>
              <w:spacing w:after="0" w:line="151" w:lineRule="exact"/>
              <w:rPr>
                <w:sz w:val="20"/>
                <w:szCs w:val="20"/>
                <w:color w:val="auto"/>
              </w:rPr>
            </w:pPr>
            <w:r>
              <w:rPr>
                <w:rFonts w:ascii="Arial" w:cs="Arial" w:eastAsia="Arial" w:hAnsi="Arial"/>
                <w:sz w:val="14"/>
                <w:szCs w:val="14"/>
                <w:b w:val="1"/>
                <w:bCs w:val="1"/>
                <w:color w:val="auto"/>
                <w:w w:val="87"/>
              </w:rPr>
              <w:t>Leasing, etc.</w:t>
            </w:r>
          </w:p>
        </w:tc>
        <w:tc>
          <w:tcPr>
            <w:tcW w:w="1220" w:type="dxa"/>
            <w:vAlign w:val="bottom"/>
            <w:tcBorders>
              <w:top w:val="single" w:sz="8" w:color="auto"/>
            </w:tcBorders>
            <w:gridSpan w:val="2"/>
          </w:tcPr>
          <w:p>
            <w:pPr>
              <w:ind w:left="80"/>
              <w:spacing w:after="0" w:line="151" w:lineRule="exact"/>
              <w:rPr>
                <w:sz w:val="20"/>
                <w:szCs w:val="20"/>
                <w:color w:val="auto"/>
              </w:rPr>
            </w:pPr>
            <w:r>
              <w:rPr>
                <w:rFonts w:ascii="Arial" w:cs="Arial" w:eastAsia="Arial" w:hAnsi="Arial"/>
                <w:sz w:val="14"/>
                <w:szCs w:val="14"/>
                <w:b w:val="1"/>
                <w:bCs w:val="1"/>
                <w:color w:val="auto"/>
              </w:rPr>
              <w:t>Commercial</w:t>
            </w:r>
          </w:p>
        </w:tc>
        <w:tc>
          <w:tcPr>
            <w:tcW w:w="92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88"/>
              </w:rPr>
              <w:t>Residential</w:t>
            </w:r>
          </w:p>
        </w:tc>
        <w:tc>
          <w:tcPr>
            <w:tcW w:w="300" w:type="dxa"/>
            <w:vAlign w:val="bottom"/>
          </w:tcPr>
          <w:p>
            <w:pPr>
              <w:spacing w:after="0"/>
              <w:rPr>
                <w:sz w:val="13"/>
                <w:szCs w:val="13"/>
                <w:color w:val="auto"/>
              </w:rPr>
            </w:pPr>
          </w:p>
        </w:tc>
        <w:tc>
          <w:tcPr>
            <w:tcW w:w="1240" w:type="dxa"/>
            <w:vAlign w:val="bottom"/>
            <w:gridSpan w:val="2"/>
          </w:tcPr>
          <w:p>
            <w:pPr>
              <w:ind w:left="140"/>
              <w:spacing w:after="0" w:line="151" w:lineRule="exact"/>
              <w:rPr>
                <w:sz w:val="20"/>
                <w:szCs w:val="20"/>
                <w:color w:val="auto"/>
              </w:rPr>
            </w:pPr>
            <w:r>
              <w:rPr>
                <w:rFonts w:ascii="Arial" w:cs="Arial" w:eastAsia="Arial" w:hAnsi="Arial"/>
                <w:sz w:val="14"/>
                <w:szCs w:val="14"/>
                <w:b w:val="1"/>
                <w:bCs w:val="1"/>
                <w:color w:val="auto"/>
              </w:rPr>
              <w:t>Consumer</w:t>
            </w:r>
          </w:p>
        </w:tc>
        <w:tc>
          <w:tcPr>
            <w:tcW w:w="80" w:type="dxa"/>
            <w:vAlign w:val="bottom"/>
          </w:tcPr>
          <w:p>
            <w:pPr>
              <w:spacing w:after="0"/>
              <w:rPr>
                <w:sz w:val="13"/>
                <w:szCs w:val="13"/>
                <w:color w:val="auto"/>
              </w:rPr>
            </w:pPr>
          </w:p>
        </w:tc>
        <w:tc>
          <w:tcPr>
            <w:tcW w:w="920" w:type="dxa"/>
            <w:vAlign w:val="bottom"/>
            <w:gridSpan w:val="2"/>
          </w:tcPr>
          <w:p>
            <w:pPr>
              <w:ind w:left="200"/>
              <w:spacing w:after="0" w:line="151"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1"/>
        </w:trPr>
        <w:tc>
          <w:tcPr>
            <w:tcW w:w="4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32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9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369,571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224,203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212,966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59,393</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866,133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Collectively evaluated for impairment</w:t>
            </w: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23,468,597</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35,300,120</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15,733,174</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15,327,300</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89,829,191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Purchased impaired</w:t>
            </w:r>
          </w:p>
        </w:tc>
        <w:tc>
          <w:tcPr>
            <w:tcW w:w="14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17,591</w:t>
            </w:r>
          </w:p>
        </w:tc>
        <w:tc>
          <w:tcPr>
            <w:tcW w:w="3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209,954</w:t>
            </w:r>
          </w:p>
        </w:tc>
        <w:tc>
          <w:tcPr>
            <w:tcW w:w="3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23,838,168</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35,541,914</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16,156,094</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15,386,693</w:t>
            </w: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90,922,869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December 31, 2018</w:t>
            </w:r>
          </w:p>
        </w:tc>
        <w:tc>
          <w:tcPr>
            <w:tcW w:w="14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Individually evaluated for impairment</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258,985</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254,476</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220,140</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62,850</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796,451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22,718,991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34,098,670</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16,641,411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13,907,649</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87,366,721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Purchased impaired</w:t>
            </w:r>
          </w:p>
        </w:tc>
        <w:tc>
          <w:tcPr>
            <w:tcW w:w="14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10,410</w:t>
            </w:r>
          </w:p>
        </w:tc>
        <w:tc>
          <w:tcPr>
            <w:tcW w:w="3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292,895</w:t>
            </w:r>
          </w:p>
        </w:tc>
        <w:tc>
          <w:tcPr>
            <w:tcW w:w="3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303,305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22,977,976</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34,363,556</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17,154,446</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13,970,499</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88,466,477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38" w:name="page139"/>
    <w:bookmarkEnd w:id="138"/>
    <w:p>
      <w:pPr>
        <w:spacing w:after="0"/>
        <w:tabs>
          <w:tab w:leader="none" w:pos="34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7"/>
          <w:szCs w:val="17"/>
          <w:b w:val="1"/>
          <w:bCs w:val="1"/>
          <w:color w:val="auto"/>
        </w:rPr>
        <w:t>Premises and equipment</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The detail of premises and equipment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1"/>
        </w:trPr>
        <w:tc>
          <w:tcPr>
            <w:tcW w:w="63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6"/>
              <w:spacing w:after="0" w:line="151"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2"/>
              <w:spacing w:after="0" w:line="151"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51"/>
        </w:trPr>
        <w:tc>
          <w:tcPr>
            <w:tcW w:w="63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gridSpan w:val="3"/>
          </w:tcPr>
          <w:p>
            <w:pPr>
              <w:jc w:val="right"/>
              <w:spacing w:after="0" w:line="151"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50"/>
        </w:trPr>
        <w:tc>
          <w:tcPr>
            <w:tcW w:w="6320" w:type="dxa"/>
            <w:vAlign w:val="bottom"/>
            <w:shd w:val="clear" w:color="auto" w:fill="CFF0FC"/>
          </w:tcPr>
          <w:p>
            <w:pPr>
              <w:spacing w:after="0"/>
              <w:rPr>
                <w:sz w:val="20"/>
                <w:szCs w:val="20"/>
                <w:color w:val="auto"/>
              </w:rPr>
            </w:pPr>
            <w:r>
              <w:rPr>
                <w:rFonts w:ascii="Arial" w:cs="Arial" w:eastAsia="Arial" w:hAnsi="Arial"/>
                <w:sz w:val="20"/>
                <w:szCs w:val="20"/>
                <w:color w:val="auto"/>
              </w:rPr>
              <w:t>Land</w:t>
            </w:r>
          </w:p>
        </w:tc>
        <w:tc>
          <w:tcPr>
            <w:tcW w:w="2640" w:type="dxa"/>
            <w:vAlign w:val="bottom"/>
            <w:gridSpan w:val="2"/>
            <w:shd w:val="clear" w:color="auto" w:fill="CFF0FC"/>
          </w:tcPr>
          <w:p>
            <w:pPr>
              <w:jc w:val="right"/>
              <w:ind w:right="79"/>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96,118</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19"/>
              <w:spacing w:after="0"/>
              <w:rPr>
                <w:sz w:val="20"/>
                <w:szCs w:val="20"/>
                <w:color w:val="auto"/>
              </w:rPr>
            </w:pPr>
            <w:r>
              <w:rPr>
                <w:rFonts w:ascii="Arial" w:cs="Arial" w:eastAsia="Arial" w:hAnsi="Arial"/>
                <w:sz w:val="20"/>
                <w:szCs w:val="2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97,082</w:t>
            </w:r>
          </w:p>
        </w:tc>
        <w:tc>
          <w:tcPr>
            <w:tcW w:w="60" w:type="dxa"/>
            <w:vAlign w:val="bottom"/>
            <w:shd w:val="clear" w:color="auto" w:fill="CFF0FC"/>
          </w:tcPr>
          <w:p>
            <w:pPr>
              <w:spacing w:after="0"/>
              <w:rPr>
                <w:sz w:val="21"/>
                <w:szCs w:val="21"/>
                <w:color w:val="auto"/>
              </w:rPr>
            </w:pPr>
          </w:p>
        </w:tc>
      </w:tr>
      <w:tr>
        <w:trPr>
          <w:trHeight w:val="250"/>
        </w:trPr>
        <w:tc>
          <w:tcPr>
            <w:tcW w:w="6320" w:type="dxa"/>
            <w:vAlign w:val="bottom"/>
          </w:tcPr>
          <w:p>
            <w:pPr>
              <w:spacing w:after="0"/>
              <w:rPr>
                <w:sz w:val="20"/>
                <w:szCs w:val="20"/>
                <w:color w:val="auto"/>
              </w:rPr>
            </w:pPr>
            <w:r>
              <w:rPr>
                <w:rFonts w:ascii="Arial" w:cs="Arial" w:eastAsia="Arial" w:hAnsi="Arial"/>
                <w:sz w:val="20"/>
                <w:szCs w:val="20"/>
                <w:color w:val="auto"/>
              </w:rPr>
              <w:t>Buildings</w:t>
            </w:r>
          </w:p>
        </w:tc>
        <w:tc>
          <w:tcPr>
            <w:tcW w:w="2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482,182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465,482</w:t>
            </w:r>
          </w:p>
        </w:tc>
        <w:tc>
          <w:tcPr>
            <w:tcW w:w="60" w:type="dxa"/>
            <w:vAlign w:val="bottom"/>
          </w:tcPr>
          <w:p>
            <w:pPr>
              <w:spacing w:after="0"/>
              <w:rPr>
                <w:sz w:val="21"/>
                <w:szCs w:val="21"/>
                <w:color w:val="auto"/>
              </w:rPr>
            </w:pPr>
          </w:p>
        </w:tc>
      </w:tr>
      <w:tr>
        <w:trPr>
          <w:trHeight w:val="250"/>
        </w:trPr>
        <w:tc>
          <w:tcPr>
            <w:tcW w:w="6320" w:type="dxa"/>
            <w:vAlign w:val="bottom"/>
            <w:shd w:val="clear" w:color="auto" w:fill="CFF0FC"/>
          </w:tcPr>
          <w:p>
            <w:pPr>
              <w:spacing w:after="0"/>
              <w:rPr>
                <w:sz w:val="20"/>
                <w:szCs w:val="20"/>
                <w:color w:val="auto"/>
              </w:rPr>
            </w:pPr>
            <w:r>
              <w:rPr>
                <w:rFonts w:ascii="Arial" w:cs="Arial" w:eastAsia="Arial" w:hAnsi="Arial"/>
                <w:sz w:val="20"/>
                <w:szCs w:val="20"/>
                <w:color w:val="auto"/>
              </w:rPr>
              <w:t>Leasehold improvements</w:t>
            </w:r>
          </w:p>
        </w:tc>
        <w:tc>
          <w:tcPr>
            <w:tcW w:w="2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262,438</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240,731</w:t>
            </w:r>
          </w:p>
        </w:tc>
        <w:tc>
          <w:tcPr>
            <w:tcW w:w="60" w:type="dxa"/>
            <w:vAlign w:val="bottom"/>
            <w:shd w:val="clear" w:color="auto" w:fill="CFF0FC"/>
          </w:tcPr>
          <w:p>
            <w:pPr>
              <w:spacing w:after="0"/>
              <w:rPr>
                <w:sz w:val="21"/>
                <w:szCs w:val="21"/>
                <w:color w:val="auto"/>
              </w:rPr>
            </w:pPr>
          </w:p>
        </w:tc>
      </w:tr>
      <w:tr>
        <w:trPr>
          <w:trHeight w:val="250"/>
        </w:trPr>
        <w:tc>
          <w:tcPr>
            <w:tcW w:w="6320" w:type="dxa"/>
            <w:vAlign w:val="bottom"/>
          </w:tcPr>
          <w:p>
            <w:pPr>
              <w:spacing w:after="0"/>
              <w:rPr>
                <w:sz w:val="20"/>
                <w:szCs w:val="20"/>
                <w:color w:val="auto"/>
              </w:rPr>
            </w:pPr>
            <w:r>
              <w:rPr>
                <w:rFonts w:ascii="Arial" w:cs="Arial" w:eastAsia="Arial" w:hAnsi="Arial"/>
                <w:sz w:val="20"/>
                <w:szCs w:val="20"/>
                <w:color w:val="auto"/>
              </w:rPr>
              <w:t>Furniture and equipment — owned</w:t>
            </w:r>
          </w:p>
        </w:tc>
        <w:tc>
          <w:tcPr>
            <w:tcW w:w="2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739,724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669,782</w:t>
            </w:r>
          </w:p>
        </w:tc>
        <w:tc>
          <w:tcPr>
            <w:tcW w:w="60" w:type="dxa"/>
            <w:vAlign w:val="bottom"/>
          </w:tcPr>
          <w:p>
            <w:pPr>
              <w:spacing w:after="0"/>
              <w:rPr>
                <w:sz w:val="21"/>
                <w:szCs w:val="21"/>
                <w:color w:val="auto"/>
              </w:rPr>
            </w:pPr>
          </w:p>
        </w:tc>
      </w:tr>
      <w:tr>
        <w:trPr>
          <w:trHeight w:val="250"/>
        </w:trPr>
        <w:tc>
          <w:tcPr>
            <w:tcW w:w="6320" w:type="dxa"/>
            <w:vAlign w:val="bottom"/>
            <w:shd w:val="clear" w:color="auto" w:fill="CFF0FC"/>
          </w:tcPr>
          <w:p>
            <w:pPr>
              <w:spacing w:after="0"/>
              <w:rPr>
                <w:sz w:val="20"/>
                <w:szCs w:val="20"/>
                <w:color w:val="auto"/>
              </w:rPr>
            </w:pPr>
            <w:r>
              <w:rPr>
                <w:rFonts w:ascii="Arial" w:cs="Arial" w:eastAsia="Arial" w:hAnsi="Arial"/>
                <w:sz w:val="20"/>
                <w:szCs w:val="20"/>
                <w:color w:val="auto"/>
              </w:rPr>
              <w:t>Furniture and equipment — capital leases</w:t>
            </w:r>
          </w:p>
        </w:tc>
        <w:tc>
          <w:tcPr>
            <w:tcW w:w="236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14,232</w:t>
            </w:r>
          </w:p>
        </w:tc>
        <w:tc>
          <w:tcPr>
            <w:tcW w:w="120" w:type="dxa"/>
            <w:vAlign w:val="bottom"/>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18,582</w:t>
            </w:r>
          </w:p>
        </w:tc>
        <w:tc>
          <w:tcPr>
            <w:tcW w:w="60" w:type="dxa"/>
            <w:vAlign w:val="bottom"/>
            <w:shd w:val="clear" w:color="auto" w:fill="CFF0FC"/>
          </w:tcPr>
          <w:p>
            <w:pPr>
              <w:spacing w:after="0"/>
              <w:rPr>
                <w:sz w:val="21"/>
                <w:szCs w:val="21"/>
                <w:color w:val="auto"/>
              </w:rPr>
            </w:pPr>
          </w:p>
        </w:tc>
      </w:tr>
      <w:tr>
        <w:trPr>
          <w:trHeight w:val="243"/>
        </w:trPr>
        <w:tc>
          <w:tcPr>
            <w:tcW w:w="6320" w:type="dxa"/>
            <w:vAlign w:val="bottom"/>
            <w:tcBorders>
              <w:bottom w:val="single" w:sz="8" w:color="CFF0FC"/>
            </w:tcBorders>
          </w:tcPr>
          <w:p>
            <w:pPr>
              <w:spacing w:after="0"/>
              <w:rPr>
                <w:sz w:val="21"/>
                <w:szCs w:val="21"/>
                <w:color w:val="auto"/>
              </w:rPr>
            </w:pPr>
          </w:p>
        </w:tc>
        <w:tc>
          <w:tcPr>
            <w:tcW w:w="236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1,594,694</w:t>
            </w:r>
          </w:p>
        </w:tc>
        <w:tc>
          <w:tcPr>
            <w:tcW w:w="12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2"/>
              </w:rPr>
              <w:t>1,491,659</w:t>
            </w:r>
          </w:p>
        </w:tc>
        <w:tc>
          <w:tcPr>
            <w:tcW w:w="60" w:type="dxa"/>
            <w:vAlign w:val="bottom"/>
            <w:tcBorders>
              <w:bottom w:val="single" w:sz="8" w:color="CFF0FC"/>
            </w:tcBorders>
          </w:tcPr>
          <w:p>
            <w:pPr>
              <w:spacing w:after="0"/>
              <w:rPr>
                <w:sz w:val="21"/>
                <w:szCs w:val="21"/>
                <w:color w:val="auto"/>
              </w:rPr>
            </w:pPr>
          </w:p>
        </w:tc>
      </w:tr>
      <w:tr>
        <w:trPr>
          <w:trHeight w:val="243"/>
        </w:trPr>
        <w:tc>
          <w:tcPr>
            <w:tcW w:w="6320" w:type="dxa"/>
            <w:vAlign w:val="bottom"/>
            <w:shd w:val="clear" w:color="auto" w:fill="CFF0FC"/>
          </w:tcPr>
          <w:p>
            <w:pPr>
              <w:spacing w:after="0"/>
              <w:rPr>
                <w:sz w:val="20"/>
                <w:szCs w:val="20"/>
                <w:color w:val="auto"/>
              </w:rPr>
            </w:pPr>
            <w:r>
              <w:rPr>
                <w:rFonts w:ascii="Arial" w:cs="Arial" w:eastAsia="Arial" w:hAnsi="Arial"/>
                <w:sz w:val="20"/>
                <w:szCs w:val="20"/>
                <w:color w:val="auto"/>
              </w:rPr>
              <w:t>Less: accumulated depreciation and amortization</w:t>
            </w:r>
          </w:p>
        </w:tc>
        <w:tc>
          <w:tcPr>
            <w:tcW w:w="2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r>
      <w:tr>
        <w:trPr>
          <w:trHeight w:val="250"/>
        </w:trPr>
        <w:tc>
          <w:tcPr>
            <w:tcW w:w="6320" w:type="dxa"/>
            <w:vAlign w:val="bottom"/>
          </w:tcPr>
          <w:p>
            <w:pPr>
              <w:ind w:left="240"/>
              <w:spacing w:after="0"/>
              <w:rPr>
                <w:sz w:val="20"/>
                <w:szCs w:val="20"/>
                <w:color w:val="auto"/>
              </w:rPr>
            </w:pPr>
            <w:r>
              <w:rPr>
                <w:rFonts w:ascii="Arial" w:cs="Arial" w:eastAsia="Arial" w:hAnsi="Arial"/>
                <w:sz w:val="20"/>
                <w:szCs w:val="20"/>
                <w:color w:val="auto"/>
              </w:rPr>
              <w:t>Owned assets</w:t>
            </w:r>
          </w:p>
        </w:tc>
        <w:tc>
          <w:tcPr>
            <w:tcW w:w="2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882,272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835,218</w:t>
            </w:r>
          </w:p>
        </w:tc>
        <w:tc>
          <w:tcPr>
            <w:tcW w:w="60" w:type="dxa"/>
            <w:vAlign w:val="bottom"/>
          </w:tcPr>
          <w:p>
            <w:pPr>
              <w:spacing w:after="0"/>
              <w:rPr>
                <w:sz w:val="21"/>
                <w:szCs w:val="21"/>
                <w:color w:val="auto"/>
              </w:rPr>
            </w:pPr>
          </w:p>
        </w:tc>
      </w:tr>
      <w:tr>
        <w:trPr>
          <w:trHeight w:val="250"/>
        </w:trPr>
        <w:tc>
          <w:tcPr>
            <w:tcW w:w="63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Capital leases</w:t>
            </w:r>
          </w:p>
        </w:tc>
        <w:tc>
          <w:tcPr>
            <w:tcW w:w="236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8,425</w:t>
            </w:r>
          </w:p>
        </w:tc>
        <w:tc>
          <w:tcPr>
            <w:tcW w:w="120" w:type="dxa"/>
            <w:vAlign w:val="bottom"/>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9,033</w:t>
            </w:r>
          </w:p>
        </w:tc>
        <w:tc>
          <w:tcPr>
            <w:tcW w:w="60" w:type="dxa"/>
            <w:vAlign w:val="bottom"/>
            <w:shd w:val="clear" w:color="auto" w:fill="CFF0FC"/>
          </w:tcPr>
          <w:p>
            <w:pPr>
              <w:spacing w:after="0"/>
              <w:rPr>
                <w:sz w:val="21"/>
                <w:szCs w:val="21"/>
                <w:color w:val="auto"/>
              </w:rPr>
            </w:pPr>
          </w:p>
        </w:tc>
      </w:tr>
      <w:tr>
        <w:trPr>
          <w:trHeight w:val="243"/>
        </w:trPr>
        <w:tc>
          <w:tcPr>
            <w:tcW w:w="6320" w:type="dxa"/>
            <w:vAlign w:val="bottom"/>
            <w:tcBorders>
              <w:bottom w:val="single" w:sz="8" w:color="CFF0FC"/>
            </w:tcBorders>
          </w:tcPr>
          <w:p>
            <w:pPr>
              <w:spacing w:after="0"/>
              <w:rPr>
                <w:sz w:val="21"/>
                <w:szCs w:val="21"/>
                <w:color w:val="auto"/>
              </w:rPr>
            </w:pPr>
          </w:p>
        </w:tc>
        <w:tc>
          <w:tcPr>
            <w:tcW w:w="236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890,697</w:t>
            </w:r>
          </w:p>
        </w:tc>
        <w:tc>
          <w:tcPr>
            <w:tcW w:w="12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844,251</w:t>
            </w:r>
          </w:p>
        </w:tc>
        <w:tc>
          <w:tcPr>
            <w:tcW w:w="60" w:type="dxa"/>
            <w:vAlign w:val="bottom"/>
            <w:tcBorders>
              <w:bottom w:val="single" w:sz="8" w:color="CFF0FC"/>
            </w:tcBorders>
          </w:tcPr>
          <w:p>
            <w:pPr>
              <w:spacing w:after="0"/>
              <w:rPr>
                <w:sz w:val="21"/>
                <w:szCs w:val="21"/>
                <w:color w:val="auto"/>
              </w:rPr>
            </w:pPr>
          </w:p>
        </w:tc>
      </w:tr>
      <w:tr>
        <w:trPr>
          <w:trHeight w:val="243"/>
        </w:trPr>
        <w:tc>
          <w:tcPr>
            <w:tcW w:w="6320" w:type="dxa"/>
            <w:vAlign w:val="bottom"/>
            <w:shd w:val="clear" w:color="auto" w:fill="CFF0FC"/>
          </w:tcPr>
          <w:p>
            <w:pPr>
              <w:spacing w:after="0"/>
              <w:rPr>
                <w:sz w:val="20"/>
                <w:szCs w:val="20"/>
                <w:color w:val="auto"/>
              </w:rPr>
            </w:pPr>
            <w:r>
              <w:rPr>
                <w:rFonts w:ascii="Arial" w:cs="Arial" w:eastAsia="Arial" w:hAnsi="Arial"/>
                <w:sz w:val="20"/>
                <w:szCs w:val="20"/>
                <w:color w:val="auto"/>
              </w:rPr>
              <w:t>Right of use assets — operating leases</w:t>
            </w:r>
          </w:p>
        </w:tc>
        <w:tc>
          <w:tcPr>
            <w:tcW w:w="236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436,927</w:t>
            </w:r>
          </w:p>
        </w:tc>
        <w:tc>
          <w:tcPr>
            <w:tcW w:w="120" w:type="dxa"/>
            <w:vAlign w:val="bottom"/>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CFF0FC"/>
          </w:tcPr>
          <w:p>
            <w:pPr>
              <w:spacing w:after="0"/>
              <w:rPr>
                <w:sz w:val="21"/>
                <w:szCs w:val="2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20"/>
                <w:szCs w:val="20"/>
                <w:color w:val="auto"/>
              </w:rPr>
              <w:t>Premises and equipment, net</w:t>
            </w:r>
          </w:p>
        </w:tc>
        <w:tc>
          <w:tcPr>
            <w:tcW w:w="236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1,140,924</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20"/>
                <w:szCs w:val="2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647,408</w:t>
            </w:r>
          </w:p>
        </w:tc>
        <w:tc>
          <w:tcPr>
            <w:tcW w:w="60" w:type="dxa"/>
            <w:vAlign w:val="bottom"/>
          </w:tcPr>
          <w:p>
            <w:pPr>
              <w:spacing w:after="0"/>
              <w:rPr>
                <w:sz w:val="21"/>
                <w:szCs w:val="21"/>
                <w:color w:val="auto"/>
              </w:rPr>
            </w:pPr>
          </w:p>
        </w:tc>
      </w:tr>
      <w:tr>
        <w:trPr>
          <w:trHeight w:val="20"/>
        </w:trPr>
        <w:tc>
          <w:tcPr>
            <w:tcW w:w="6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2" w:lineRule="exact"/>
        <w:rPr>
          <w:sz w:val="20"/>
          <w:szCs w:val="20"/>
          <w:color w:val="auto"/>
        </w:rPr>
      </w:pPr>
    </w:p>
    <w:p>
      <w:pPr>
        <w:ind w:firstLine="598"/>
        <w:spacing w:after="0" w:line="250" w:lineRule="auto"/>
        <w:rPr>
          <w:sz w:val="20"/>
          <w:szCs w:val="20"/>
          <w:color w:val="auto"/>
        </w:rPr>
      </w:pPr>
      <w:r>
        <w:rPr>
          <w:rFonts w:ascii="Arial" w:cs="Arial" w:eastAsia="Arial" w:hAnsi="Arial"/>
          <w:sz w:val="20"/>
          <w:szCs w:val="20"/>
          <w:color w:val="auto"/>
        </w:rPr>
        <w:t>The January 1, 2019 adoption of new lease accounting guidance from the FASB resulted in the Company recording right-of-use assets and lease liabilities in the consolidated balance sheet for all operating leases with a term greater than twelve months. In addition, the Company elected the practical expedients that (1) reassessment is not needed for whether any existing contracts are or contain leases, (2) reassessment of the classification of existing operating and finance leases is not required, and (3) a lease that has a term of twelve months or less is not required to apply the asset and liability recognition requirements.</w:t>
      </w:r>
    </w:p>
    <w:p>
      <w:pPr>
        <w:spacing w:after="0" w:line="3" w:lineRule="exact"/>
        <w:rPr>
          <w:sz w:val="20"/>
          <w:szCs w:val="20"/>
          <w:color w:val="auto"/>
        </w:rPr>
      </w:pPr>
    </w:p>
    <w:p>
      <w:pPr>
        <w:ind w:right="20" w:firstLine="598"/>
        <w:spacing w:after="0" w:line="274" w:lineRule="auto"/>
        <w:rPr>
          <w:sz w:val="20"/>
          <w:szCs w:val="20"/>
          <w:color w:val="auto"/>
        </w:rPr>
      </w:pPr>
      <w:r>
        <w:rPr>
          <w:rFonts w:ascii="Arial" w:cs="Arial" w:eastAsia="Arial" w:hAnsi="Arial"/>
          <w:sz w:val="18"/>
          <w:szCs w:val="18"/>
          <w:color w:val="auto"/>
        </w:rPr>
        <w:t>The Company determines whether a contract contains a lease based on whether a contract, or a part of a contract, conveys the right to control the use of an identified asset for a period of time in exchange for consideration. If it is determined that a contract contains a lease, the consideration in the contract is separated between lease and nonlease components (for example, taxes or common area maintenance). In calculating the present value of the lease payments, the Company has utilized its incremental secured borrowing rate based on the lease term.</w:t>
      </w:r>
    </w:p>
    <w:p>
      <w:pPr>
        <w:spacing w:after="0" w:line="1" w:lineRule="exact"/>
        <w:rPr>
          <w:sz w:val="20"/>
          <w:szCs w:val="20"/>
          <w:color w:val="auto"/>
        </w:rPr>
      </w:pPr>
    </w:p>
    <w:p>
      <w:pPr>
        <w:ind w:right="460" w:firstLine="598"/>
        <w:spacing w:after="0" w:line="246" w:lineRule="auto"/>
        <w:rPr>
          <w:sz w:val="20"/>
          <w:szCs w:val="20"/>
          <w:color w:val="auto"/>
        </w:rPr>
      </w:pPr>
      <w:r>
        <w:rPr>
          <w:rFonts w:ascii="Arial" w:cs="Arial" w:eastAsia="Arial" w:hAnsi="Arial"/>
          <w:sz w:val="20"/>
          <w:szCs w:val="20"/>
          <w:color w:val="auto"/>
        </w:rPr>
        <w:t>The right-of-use assets and lease liabilities relate to banking offices and other space occupied by the Company and use of certain equipment under noncancelable operating lease agreements, which prior to the adoption of the guidance were not reflected in the consolidated balance sheet.</w:t>
      </w:r>
    </w:p>
    <w:p>
      <w:pPr>
        <w:spacing w:after="0" w:line="2" w:lineRule="exact"/>
        <w:rPr>
          <w:sz w:val="20"/>
          <w:szCs w:val="20"/>
          <w:color w:val="auto"/>
        </w:rPr>
      </w:pPr>
    </w:p>
    <w:p>
      <w:pPr>
        <w:ind w:right="340" w:firstLine="598"/>
        <w:spacing w:after="0" w:line="246" w:lineRule="auto"/>
        <w:rPr>
          <w:sz w:val="20"/>
          <w:szCs w:val="20"/>
          <w:color w:val="auto"/>
        </w:rPr>
      </w:pPr>
      <w:r>
        <w:rPr>
          <w:rFonts w:ascii="Arial" w:cs="Arial" w:eastAsia="Arial" w:hAnsi="Arial"/>
          <w:sz w:val="20"/>
          <w:szCs w:val="20"/>
          <w:color w:val="auto"/>
        </w:rPr>
        <w:t>As of December 31, 2019, the Company recognized $488 million of operating lease liabilities as a component of “accrued interest and other liabilities” in the consolidated balance sheet.</w:t>
      </w:r>
    </w:p>
    <w:p>
      <w:pPr>
        <w:spacing w:after="0" w:line="2"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The Company’s noncancelable operating lease agreements expire at various dates over the next 22 years. Real estate leases generally consist of fixed monthly rental payments with certain leases containing escalation clauses. Any variable lease payments or payments for nonlease components are recognized in the consolidated statement of income as a component of “equipment and net occupancy” expense based on actual costs incurred. Some leases contain lessee options to extend the term. Those options are included in the lease term when it is determined that it is reasonably certain the option will be exercised.</w:t>
      </w:r>
    </w:p>
    <w:p>
      <w:pPr>
        <w:spacing w:after="0" w:line="4" w:lineRule="exact"/>
        <w:rPr>
          <w:sz w:val="20"/>
          <w:szCs w:val="20"/>
          <w:color w:val="auto"/>
        </w:rPr>
      </w:pPr>
    </w:p>
    <w:p>
      <w:pPr>
        <w:ind w:right="320" w:firstLine="598"/>
        <w:spacing w:after="0" w:line="271" w:lineRule="auto"/>
        <w:rPr>
          <w:sz w:val="20"/>
          <w:szCs w:val="20"/>
          <w:color w:val="auto"/>
        </w:rPr>
      </w:pPr>
      <w:r>
        <w:rPr>
          <w:rFonts w:ascii="Arial" w:cs="Arial" w:eastAsia="Arial" w:hAnsi="Arial"/>
          <w:sz w:val="19"/>
          <w:szCs w:val="19"/>
          <w:color w:val="auto"/>
        </w:rPr>
        <w:t>The Company has noncancelable operating lease agreements for certain equipment related to ATMs, servers, printers and mail machines that are used in the normal course of operations. The ATM leases are either based on the rights to a specific square footage or a license agreement whereby the Company has the right to operate an ATM in a landlord's location. The lease terms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39" w:name="page140"/>
    <w:bookmarkEnd w:id="139"/>
    <w:p>
      <w:pPr>
        <w:ind w:right="180"/>
        <w:spacing w:after="0" w:line="266" w:lineRule="auto"/>
        <w:rPr>
          <w:sz w:val="20"/>
          <w:szCs w:val="20"/>
          <w:color w:val="auto"/>
        </w:rPr>
      </w:pPr>
      <w:r>
        <w:rPr>
          <w:rFonts w:ascii="Arial" w:cs="Arial" w:eastAsia="Arial" w:hAnsi="Arial"/>
          <w:sz w:val="19"/>
          <w:szCs w:val="19"/>
          <w:color w:val="auto"/>
        </w:rPr>
        <w:t>generally contain both fixed payments and variable payments that are transaction-based. Given the transaction-based nature of the variable payments, such payments are excluded from the measurement of the right-of-use asset and lease liability and are recognized in the consolidated statement of income as a component of “equipment and net occupancy” expense when incurred.</w:t>
      </w:r>
    </w:p>
    <w:p>
      <w:pPr>
        <w:spacing w:after="0" w:line="1" w:lineRule="exact"/>
        <w:rPr>
          <w:sz w:val="20"/>
          <w:szCs w:val="20"/>
          <w:color w:val="auto"/>
        </w:rPr>
      </w:pPr>
    </w:p>
    <w:p>
      <w:pPr>
        <w:ind w:right="160" w:firstLine="598"/>
        <w:spacing w:after="0" w:line="311" w:lineRule="auto"/>
        <w:rPr>
          <w:sz w:val="20"/>
          <w:szCs w:val="20"/>
          <w:color w:val="auto"/>
        </w:rPr>
      </w:pPr>
      <w:r>
        <w:rPr>
          <w:rFonts w:ascii="Arial" w:cs="Arial" w:eastAsia="Arial" w:hAnsi="Arial"/>
          <w:sz w:val="18"/>
          <w:szCs w:val="18"/>
          <w:color w:val="auto"/>
        </w:rPr>
        <w:t>The following table presents information about the Company’s lease costs for operating leases recorded in the consolidated balance sheet, cash paid toward lease liabilities, and the weighted-average remaining term and discount rates of the operating leases.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Year Ended</w:t>
            </w:r>
          </w:p>
        </w:tc>
      </w:tr>
      <w:tr>
        <w:trPr>
          <w:trHeight w:val="167"/>
        </w:trPr>
        <w:tc>
          <w:tcPr>
            <w:tcW w:w="6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December 31, 2019</w:t>
            </w:r>
          </w:p>
        </w:tc>
      </w:tr>
      <w:tr>
        <w:trPr>
          <w:trHeight w:val="151"/>
        </w:trPr>
        <w:tc>
          <w:tcPr>
            <w:tcW w:w="6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center"/>
              <w:ind w:right="68"/>
              <w:spacing w:after="0" w:line="151" w:lineRule="exact"/>
              <w:rPr>
                <w:sz w:val="20"/>
                <w:szCs w:val="20"/>
                <w:color w:val="auto"/>
              </w:rPr>
            </w:pPr>
            <w:r>
              <w:rPr>
                <w:rFonts w:ascii="Arial" w:cs="Arial" w:eastAsia="Arial" w:hAnsi="Arial"/>
                <w:sz w:val="14"/>
                <w:szCs w:val="14"/>
                <w:b w:val="1"/>
                <w:bCs w:val="1"/>
                <w:color w:val="auto"/>
                <w:w w:val="90"/>
              </w:rPr>
              <w:t>(Dollars in thousands)</w:t>
            </w:r>
          </w:p>
        </w:tc>
        <w:tc>
          <w:tcPr>
            <w:tcW w:w="260" w:type="dxa"/>
            <w:vAlign w:val="bottom"/>
          </w:tcPr>
          <w:p>
            <w:pPr>
              <w:spacing w:after="0"/>
              <w:rPr>
                <w:sz w:val="13"/>
                <w:szCs w:val="13"/>
                <w:color w:val="auto"/>
              </w:rPr>
            </w:pPr>
          </w:p>
        </w:tc>
      </w:tr>
      <w:tr>
        <w:trPr>
          <w:trHeight w:val="250"/>
        </w:trPr>
        <w:tc>
          <w:tcPr>
            <w:tcW w:w="61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Lease cost</w:t>
            </w:r>
          </w:p>
        </w:tc>
        <w:tc>
          <w:tcPr>
            <w:tcW w:w="2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50"/>
        </w:trPr>
        <w:tc>
          <w:tcPr>
            <w:tcW w:w="6140" w:type="dxa"/>
            <w:vAlign w:val="bottom"/>
          </w:tcPr>
          <w:p>
            <w:pPr>
              <w:spacing w:after="0"/>
              <w:rPr>
                <w:sz w:val="20"/>
                <w:szCs w:val="20"/>
                <w:color w:val="auto"/>
              </w:rPr>
            </w:pPr>
            <w:r>
              <w:rPr>
                <w:rFonts w:ascii="Arial" w:cs="Arial" w:eastAsia="Arial" w:hAnsi="Arial"/>
                <w:sz w:val="20"/>
                <w:szCs w:val="20"/>
                <w:color w:val="auto"/>
              </w:rPr>
              <w:t>Operating lease cost</w:t>
            </w:r>
          </w:p>
        </w:tc>
        <w:tc>
          <w:tcPr>
            <w:tcW w:w="23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100,669</w:t>
            </w:r>
          </w:p>
        </w:tc>
        <w:tc>
          <w:tcPr>
            <w:tcW w:w="260" w:type="dxa"/>
            <w:vAlign w:val="bottom"/>
          </w:tcPr>
          <w:p>
            <w:pPr>
              <w:spacing w:after="0"/>
              <w:rPr>
                <w:sz w:val="21"/>
                <w:szCs w:val="21"/>
                <w:color w:val="auto"/>
              </w:rPr>
            </w:pPr>
          </w:p>
        </w:tc>
      </w:tr>
      <w:tr>
        <w:trPr>
          <w:trHeight w:val="250"/>
        </w:trPr>
        <w:tc>
          <w:tcPr>
            <w:tcW w:w="6140" w:type="dxa"/>
            <w:vAlign w:val="bottom"/>
            <w:shd w:val="clear" w:color="auto" w:fill="CFF0FC"/>
          </w:tcPr>
          <w:p>
            <w:pPr>
              <w:spacing w:after="0"/>
              <w:rPr>
                <w:sz w:val="20"/>
                <w:szCs w:val="20"/>
                <w:color w:val="auto"/>
              </w:rPr>
            </w:pPr>
            <w:r>
              <w:rPr>
                <w:rFonts w:ascii="Arial" w:cs="Arial" w:eastAsia="Arial" w:hAnsi="Arial"/>
                <w:sz w:val="20"/>
                <w:szCs w:val="20"/>
                <w:color w:val="auto"/>
              </w:rPr>
              <w:t>Short-term lease cost</w:t>
            </w:r>
          </w:p>
        </w:tc>
        <w:tc>
          <w:tcPr>
            <w:tcW w:w="2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105</w:t>
            </w:r>
          </w:p>
        </w:tc>
        <w:tc>
          <w:tcPr>
            <w:tcW w:w="260" w:type="dxa"/>
            <w:vAlign w:val="bottom"/>
            <w:shd w:val="clear" w:color="auto" w:fill="CFF0FC"/>
          </w:tcPr>
          <w:p>
            <w:pPr>
              <w:spacing w:after="0"/>
              <w:rPr>
                <w:sz w:val="21"/>
                <w:szCs w:val="21"/>
                <w:color w:val="auto"/>
              </w:rPr>
            </w:pPr>
          </w:p>
        </w:tc>
      </w:tr>
      <w:tr>
        <w:trPr>
          <w:trHeight w:val="250"/>
        </w:trPr>
        <w:tc>
          <w:tcPr>
            <w:tcW w:w="61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Variable lease cost</w:t>
            </w:r>
          </w:p>
        </w:tc>
        <w:tc>
          <w:tcPr>
            <w:tcW w:w="21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2,332</w:t>
            </w:r>
          </w:p>
        </w:tc>
        <w:tc>
          <w:tcPr>
            <w:tcW w:w="260" w:type="dxa"/>
            <w:vAlign w:val="bottom"/>
            <w:tcBorders>
              <w:bottom w:val="single" w:sz="8" w:color="CFF0FC"/>
            </w:tcBorders>
          </w:tcPr>
          <w:p>
            <w:pPr>
              <w:spacing w:after="0"/>
              <w:rPr>
                <w:sz w:val="21"/>
                <w:szCs w:val="21"/>
                <w:color w:val="auto"/>
              </w:rPr>
            </w:pPr>
          </w:p>
        </w:tc>
      </w:tr>
      <w:tr>
        <w:trPr>
          <w:trHeight w:val="243"/>
        </w:trPr>
        <w:tc>
          <w:tcPr>
            <w:tcW w:w="61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20"/>
                <w:szCs w:val="20"/>
                <w:color w:val="auto"/>
              </w:rPr>
              <w:t>Total lease cost</w:t>
            </w:r>
          </w:p>
        </w:tc>
        <w:tc>
          <w:tcPr>
            <w:tcW w:w="2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103,106</w:t>
            </w:r>
          </w:p>
        </w:tc>
        <w:tc>
          <w:tcPr>
            <w:tcW w:w="260" w:type="dxa"/>
            <w:vAlign w:val="bottom"/>
            <w:tcBorders>
              <w:bottom w:val="single" w:sz="8" w:color="CFF0FC"/>
            </w:tcBorders>
            <w:shd w:val="clear" w:color="auto" w:fill="CFF0FC"/>
          </w:tcPr>
          <w:p>
            <w:pPr>
              <w:spacing w:after="0"/>
              <w:rPr>
                <w:sz w:val="21"/>
                <w:szCs w:val="21"/>
                <w:color w:val="auto"/>
              </w:rPr>
            </w:pPr>
          </w:p>
        </w:tc>
      </w:tr>
      <w:tr>
        <w:trPr>
          <w:trHeight w:val="20"/>
        </w:trPr>
        <w:tc>
          <w:tcPr>
            <w:tcW w:w="6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9"/>
        </w:trPr>
        <w:tc>
          <w:tcPr>
            <w:tcW w:w="61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50"/>
        </w:trPr>
        <w:tc>
          <w:tcPr>
            <w:tcW w:w="61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Other information</w:t>
            </w:r>
          </w:p>
        </w:tc>
        <w:tc>
          <w:tcPr>
            <w:tcW w:w="2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36"/>
        </w:trPr>
        <w:tc>
          <w:tcPr>
            <w:tcW w:w="6140" w:type="dxa"/>
            <w:vAlign w:val="bottom"/>
          </w:tcPr>
          <w:p>
            <w:pPr>
              <w:spacing w:after="0"/>
              <w:rPr>
                <w:sz w:val="20"/>
                <w:szCs w:val="20"/>
                <w:color w:val="auto"/>
              </w:rPr>
            </w:pPr>
            <w:r>
              <w:rPr>
                <w:rFonts w:ascii="Arial" w:cs="Arial" w:eastAsia="Arial" w:hAnsi="Arial"/>
                <w:sz w:val="20"/>
                <w:szCs w:val="20"/>
                <w:color w:val="auto"/>
              </w:rPr>
              <w:t>Right-of-use assets obtained in exchange for new</w:t>
            </w:r>
          </w:p>
        </w:tc>
        <w:tc>
          <w:tcPr>
            <w:tcW w:w="2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50"/>
        </w:trPr>
        <w:tc>
          <w:tcPr>
            <w:tcW w:w="6140" w:type="dxa"/>
            <w:vAlign w:val="bottom"/>
          </w:tcPr>
          <w:p>
            <w:pPr>
              <w:ind w:left="260"/>
              <w:spacing w:after="0"/>
              <w:rPr>
                <w:sz w:val="20"/>
                <w:szCs w:val="20"/>
                <w:color w:val="auto"/>
              </w:rPr>
            </w:pPr>
            <w:r>
              <w:rPr>
                <w:rFonts w:ascii="Arial" w:cs="Arial" w:eastAsia="Arial" w:hAnsi="Arial"/>
                <w:sz w:val="20"/>
                <w:szCs w:val="20"/>
                <w:color w:val="auto"/>
              </w:rPr>
              <w:t>operating lease liabilities</w:t>
            </w:r>
          </w:p>
        </w:tc>
        <w:tc>
          <w:tcPr>
            <w:tcW w:w="23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132,219</w:t>
            </w:r>
          </w:p>
        </w:tc>
        <w:tc>
          <w:tcPr>
            <w:tcW w:w="260" w:type="dxa"/>
            <w:vAlign w:val="bottom"/>
          </w:tcPr>
          <w:p>
            <w:pPr>
              <w:spacing w:after="0"/>
              <w:rPr>
                <w:sz w:val="21"/>
                <w:szCs w:val="21"/>
                <w:color w:val="auto"/>
              </w:rPr>
            </w:pPr>
          </w:p>
        </w:tc>
      </w:tr>
      <w:tr>
        <w:trPr>
          <w:trHeight w:val="250"/>
        </w:trPr>
        <w:tc>
          <w:tcPr>
            <w:tcW w:w="6140" w:type="dxa"/>
            <w:vAlign w:val="bottom"/>
            <w:shd w:val="clear" w:color="auto" w:fill="CFF0FC"/>
          </w:tcPr>
          <w:p>
            <w:pPr>
              <w:spacing w:after="0"/>
              <w:rPr>
                <w:sz w:val="20"/>
                <w:szCs w:val="20"/>
                <w:color w:val="auto"/>
              </w:rPr>
            </w:pPr>
            <w:r>
              <w:rPr>
                <w:rFonts w:ascii="Arial" w:cs="Arial" w:eastAsia="Arial" w:hAnsi="Arial"/>
                <w:sz w:val="20"/>
                <w:szCs w:val="20"/>
                <w:color w:val="auto"/>
              </w:rPr>
              <w:t>Cash paid toward lease liabilities</w:t>
            </w:r>
          </w:p>
        </w:tc>
        <w:tc>
          <w:tcPr>
            <w:tcW w:w="2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101,869</w:t>
            </w:r>
          </w:p>
        </w:tc>
        <w:tc>
          <w:tcPr>
            <w:tcW w:w="260" w:type="dxa"/>
            <w:vAlign w:val="bottom"/>
            <w:shd w:val="clear" w:color="auto" w:fill="CFF0FC"/>
          </w:tcPr>
          <w:p>
            <w:pPr>
              <w:spacing w:after="0"/>
              <w:rPr>
                <w:sz w:val="21"/>
                <w:szCs w:val="21"/>
                <w:color w:val="auto"/>
              </w:rPr>
            </w:pPr>
          </w:p>
        </w:tc>
      </w:tr>
      <w:tr>
        <w:trPr>
          <w:trHeight w:val="250"/>
        </w:trPr>
        <w:tc>
          <w:tcPr>
            <w:tcW w:w="6140" w:type="dxa"/>
            <w:vAlign w:val="bottom"/>
          </w:tcPr>
          <w:p>
            <w:pPr>
              <w:spacing w:after="0"/>
              <w:rPr>
                <w:sz w:val="20"/>
                <w:szCs w:val="20"/>
                <w:color w:val="auto"/>
              </w:rPr>
            </w:pPr>
            <w:r>
              <w:rPr>
                <w:rFonts w:ascii="Arial" w:cs="Arial" w:eastAsia="Arial" w:hAnsi="Arial"/>
                <w:sz w:val="20"/>
                <w:szCs w:val="20"/>
                <w:color w:val="auto"/>
              </w:rPr>
              <w:t>Weighted-average remaining lease term</w:t>
            </w:r>
          </w:p>
        </w:tc>
        <w:tc>
          <w:tcPr>
            <w:tcW w:w="2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20"/>
                <w:szCs w:val="20"/>
                <w:color w:val="auto"/>
              </w:rPr>
              <w:t>7 years</w:t>
            </w:r>
          </w:p>
        </w:tc>
      </w:tr>
      <w:tr>
        <w:trPr>
          <w:trHeight w:val="250"/>
        </w:trPr>
        <w:tc>
          <w:tcPr>
            <w:tcW w:w="6140" w:type="dxa"/>
            <w:vAlign w:val="bottom"/>
            <w:shd w:val="clear" w:color="auto" w:fill="CFF0FC"/>
          </w:tcPr>
          <w:p>
            <w:pPr>
              <w:spacing w:after="0"/>
              <w:rPr>
                <w:sz w:val="20"/>
                <w:szCs w:val="20"/>
                <w:color w:val="auto"/>
              </w:rPr>
            </w:pPr>
            <w:r>
              <w:rPr>
                <w:rFonts w:ascii="Arial" w:cs="Arial" w:eastAsia="Arial" w:hAnsi="Arial"/>
                <w:sz w:val="20"/>
                <w:szCs w:val="20"/>
                <w:color w:val="auto"/>
              </w:rPr>
              <w:t>Weighted-average discount rate</w:t>
            </w:r>
          </w:p>
        </w:tc>
        <w:tc>
          <w:tcPr>
            <w:tcW w:w="2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3.01%</w:t>
            </w:r>
          </w:p>
        </w:tc>
      </w:tr>
    </w:tbl>
    <w:p>
      <w:pPr>
        <w:spacing w:after="0" w:line="22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Minimum lease payments under noncancelable operating leases are summarized in the following table.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8720" w:type="dxa"/>
            <w:vAlign w:val="bottom"/>
            <w:shd w:val="clear" w:color="auto" w:fill="CFF0FC"/>
          </w:tcPr>
          <w:p>
            <w:pPr>
              <w:spacing w:after="0"/>
              <w:rPr>
                <w:sz w:val="20"/>
                <w:szCs w:val="20"/>
                <w:color w:val="auto"/>
              </w:rPr>
            </w:pPr>
            <w:r>
              <w:rPr>
                <w:rFonts w:ascii="Arial" w:cs="Arial" w:eastAsia="Arial" w:hAnsi="Arial"/>
                <w:sz w:val="20"/>
                <w:szCs w:val="20"/>
                <w:color w:val="auto"/>
              </w:rPr>
              <w:t>Year ending December 31:</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8720" w:type="dxa"/>
            <w:vAlign w:val="bottom"/>
          </w:tcPr>
          <w:p>
            <w:pPr>
              <w:ind w:left="240"/>
              <w:spacing w:after="0"/>
              <w:rPr>
                <w:sz w:val="20"/>
                <w:szCs w:val="20"/>
                <w:color w:val="auto"/>
              </w:rPr>
            </w:pPr>
            <w:r>
              <w:rPr>
                <w:rFonts w:ascii="Arial" w:cs="Arial" w:eastAsia="Arial" w:hAnsi="Arial"/>
                <w:sz w:val="20"/>
                <w:szCs w:val="20"/>
                <w:color w:val="auto"/>
              </w:rPr>
              <w:t>2020</w:t>
            </w:r>
          </w:p>
        </w:tc>
        <w:tc>
          <w:tcPr>
            <w:tcW w:w="200" w:type="dxa"/>
            <w:vAlign w:val="bottom"/>
            <w:gridSpan w:val="2"/>
          </w:tcPr>
          <w:p>
            <w:pPr>
              <w:jc w:val="right"/>
              <w:ind w:right="24"/>
              <w:spacing w:after="0"/>
              <w:rPr>
                <w:sz w:val="20"/>
                <w:szCs w:val="20"/>
                <w:color w:val="auto"/>
              </w:rPr>
            </w:pPr>
            <w:r>
              <w:rPr>
                <w:rFonts w:ascii="Arial" w:cs="Arial" w:eastAsia="Arial" w:hAnsi="Arial"/>
                <w:sz w:val="20"/>
                <w:szCs w:val="20"/>
                <w:color w:val="auto"/>
                <w:w w:val="71"/>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100,447</w:t>
            </w:r>
          </w:p>
        </w:tc>
        <w:tc>
          <w:tcPr>
            <w:tcW w:w="100" w:type="dxa"/>
            <w:vAlign w:val="bottom"/>
          </w:tcPr>
          <w:p>
            <w:pPr>
              <w:spacing w:after="0"/>
              <w:rPr>
                <w:sz w:val="21"/>
                <w:szCs w:val="21"/>
                <w:color w:val="auto"/>
              </w:rPr>
            </w:pPr>
          </w:p>
        </w:tc>
      </w:tr>
      <w:tr>
        <w:trPr>
          <w:trHeight w:val="250"/>
        </w:trPr>
        <w:tc>
          <w:tcPr>
            <w:tcW w:w="8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2021</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95,199</w:t>
            </w:r>
          </w:p>
        </w:tc>
        <w:tc>
          <w:tcPr>
            <w:tcW w:w="100" w:type="dxa"/>
            <w:vAlign w:val="bottom"/>
            <w:shd w:val="clear" w:color="auto" w:fill="CFF0FC"/>
          </w:tcPr>
          <w:p>
            <w:pPr>
              <w:spacing w:after="0"/>
              <w:rPr>
                <w:sz w:val="21"/>
                <w:szCs w:val="21"/>
                <w:color w:val="auto"/>
              </w:rPr>
            </w:pPr>
          </w:p>
        </w:tc>
      </w:tr>
      <w:tr>
        <w:trPr>
          <w:trHeight w:val="250"/>
        </w:trPr>
        <w:tc>
          <w:tcPr>
            <w:tcW w:w="8720" w:type="dxa"/>
            <w:vAlign w:val="bottom"/>
          </w:tcPr>
          <w:p>
            <w:pPr>
              <w:ind w:left="240"/>
              <w:spacing w:after="0"/>
              <w:rPr>
                <w:sz w:val="20"/>
                <w:szCs w:val="20"/>
                <w:color w:val="auto"/>
              </w:rPr>
            </w:pPr>
            <w:r>
              <w:rPr>
                <w:rFonts w:ascii="Arial" w:cs="Arial" w:eastAsia="Arial" w:hAnsi="Arial"/>
                <w:sz w:val="20"/>
                <w:szCs w:val="20"/>
                <w:color w:val="auto"/>
              </w:rPr>
              <w:t>2022</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79,794</w:t>
            </w:r>
          </w:p>
        </w:tc>
        <w:tc>
          <w:tcPr>
            <w:tcW w:w="100" w:type="dxa"/>
            <w:vAlign w:val="bottom"/>
          </w:tcPr>
          <w:p>
            <w:pPr>
              <w:spacing w:after="0"/>
              <w:rPr>
                <w:sz w:val="21"/>
                <w:szCs w:val="21"/>
                <w:color w:val="auto"/>
              </w:rPr>
            </w:pPr>
          </w:p>
        </w:tc>
      </w:tr>
      <w:tr>
        <w:trPr>
          <w:trHeight w:val="250"/>
        </w:trPr>
        <w:tc>
          <w:tcPr>
            <w:tcW w:w="8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2023</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62,766</w:t>
            </w:r>
          </w:p>
        </w:tc>
        <w:tc>
          <w:tcPr>
            <w:tcW w:w="100" w:type="dxa"/>
            <w:vAlign w:val="bottom"/>
            <w:shd w:val="clear" w:color="auto" w:fill="CFF0FC"/>
          </w:tcPr>
          <w:p>
            <w:pPr>
              <w:spacing w:after="0"/>
              <w:rPr>
                <w:sz w:val="21"/>
                <w:szCs w:val="21"/>
                <w:color w:val="auto"/>
              </w:rPr>
            </w:pPr>
          </w:p>
        </w:tc>
      </w:tr>
      <w:tr>
        <w:trPr>
          <w:trHeight w:val="250"/>
        </w:trPr>
        <w:tc>
          <w:tcPr>
            <w:tcW w:w="8720" w:type="dxa"/>
            <w:vAlign w:val="bottom"/>
          </w:tcPr>
          <w:p>
            <w:pPr>
              <w:ind w:left="240"/>
              <w:spacing w:after="0"/>
              <w:rPr>
                <w:sz w:val="20"/>
                <w:szCs w:val="20"/>
                <w:color w:val="auto"/>
              </w:rPr>
            </w:pPr>
            <w:r>
              <w:rPr>
                <w:rFonts w:ascii="Arial" w:cs="Arial" w:eastAsia="Arial" w:hAnsi="Arial"/>
                <w:sz w:val="20"/>
                <w:szCs w:val="20"/>
                <w:color w:val="auto"/>
              </w:rPr>
              <w:t>2024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50,539</w:t>
            </w:r>
          </w:p>
        </w:tc>
        <w:tc>
          <w:tcPr>
            <w:tcW w:w="100" w:type="dxa"/>
            <w:vAlign w:val="bottom"/>
          </w:tcPr>
          <w:p>
            <w:pPr>
              <w:spacing w:after="0"/>
              <w:rPr>
                <w:sz w:val="21"/>
                <w:szCs w:val="21"/>
                <w:color w:val="auto"/>
              </w:rPr>
            </w:pPr>
          </w:p>
        </w:tc>
      </w:tr>
      <w:tr>
        <w:trPr>
          <w:trHeight w:val="250"/>
        </w:trPr>
        <w:tc>
          <w:tcPr>
            <w:tcW w:w="8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Later years</w:t>
            </w:r>
          </w:p>
        </w:tc>
        <w:tc>
          <w:tcPr>
            <w:tcW w:w="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154,585</w:t>
            </w:r>
          </w:p>
        </w:tc>
        <w:tc>
          <w:tcPr>
            <w:tcW w:w="100" w:type="dxa"/>
            <w:vAlign w:val="bottom"/>
            <w:shd w:val="clear" w:color="auto" w:fill="CFF0FC"/>
          </w:tcPr>
          <w:p>
            <w:pPr>
              <w:spacing w:after="0"/>
              <w:rPr>
                <w:sz w:val="21"/>
                <w:szCs w:val="21"/>
                <w:color w:val="auto"/>
              </w:rPr>
            </w:pPr>
          </w:p>
        </w:tc>
      </w:tr>
      <w:tr>
        <w:trPr>
          <w:trHeight w:val="243"/>
        </w:trPr>
        <w:tc>
          <w:tcPr>
            <w:tcW w:w="8720" w:type="dxa"/>
            <w:vAlign w:val="bottom"/>
          </w:tcPr>
          <w:p>
            <w:pPr>
              <w:spacing w:after="0"/>
              <w:rPr>
                <w:sz w:val="20"/>
                <w:szCs w:val="20"/>
                <w:color w:val="auto"/>
              </w:rPr>
            </w:pPr>
            <w:r>
              <w:rPr>
                <w:rFonts w:ascii="Arial" w:cs="Arial" w:eastAsia="Arial" w:hAnsi="Arial"/>
                <w:sz w:val="20"/>
                <w:szCs w:val="20"/>
                <w:color w:val="auto"/>
              </w:rPr>
              <w:t>Total lease payments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543,330</w:t>
            </w:r>
          </w:p>
        </w:tc>
        <w:tc>
          <w:tcPr>
            <w:tcW w:w="100" w:type="dxa"/>
            <w:vAlign w:val="bottom"/>
          </w:tcPr>
          <w:p>
            <w:pPr>
              <w:spacing w:after="0"/>
              <w:rPr>
                <w:sz w:val="21"/>
                <w:szCs w:val="21"/>
                <w:color w:val="auto"/>
              </w:rPr>
            </w:pPr>
          </w:p>
        </w:tc>
      </w:tr>
      <w:tr>
        <w:trPr>
          <w:trHeight w:val="250"/>
        </w:trPr>
        <w:tc>
          <w:tcPr>
            <w:tcW w:w="8720" w:type="dxa"/>
            <w:vAlign w:val="bottom"/>
            <w:shd w:val="clear" w:color="auto" w:fill="CFF0FC"/>
          </w:tcPr>
          <w:p>
            <w:pPr>
              <w:spacing w:after="0"/>
              <w:rPr>
                <w:sz w:val="20"/>
                <w:szCs w:val="20"/>
                <w:color w:val="auto"/>
              </w:rPr>
            </w:pPr>
            <w:r>
              <w:rPr>
                <w:rFonts w:ascii="Arial" w:cs="Arial" w:eastAsia="Arial" w:hAnsi="Arial"/>
                <w:sz w:val="20"/>
                <w:szCs w:val="20"/>
                <w:color w:val="auto"/>
              </w:rPr>
              <w:t>Less: imputed interest</w:t>
            </w:r>
          </w:p>
        </w:tc>
        <w:tc>
          <w:tcPr>
            <w:tcW w:w="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55,775</w:t>
            </w:r>
          </w:p>
        </w:tc>
        <w:tc>
          <w:tcPr>
            <w:tcW w:w="100" w:type="dxa"/>
            <w:vAlign w:val="bottom"/>
            <w:shd w:val="clear" w:color="auto" w:fill="CFF0FC"/>
          </w:tcPr>
          <w:p>
            <w:pPr>
              <w:spacing w:after="0"/>
              <w:rPr>
                <w:sz w:val="21"/>
                <w:szCs w:val="21"/>
                <w:color w:val="auto"/>
              </w:rPr>
            </w:pPr>
          </w:p>
        </w:tc>
      </w:tr>
      <w:tr>
        <w:trPr>
          <w:trHeight w:val="243"/>
        </w:trPr>
        <w:tc>
          <w:tcPr>
            <w:tcW w:w="8720" w:type="dxa"/>
            <w:vAlign w:val="bottom"/>
          </w:tcPr>
          <w:p>
            <w:pPr>
              <w:spacing w:after="0"/>
              <w:rPr>
                <w:sz w:val="20"/>
                <w:szCs w:val="20"/>
                <w:color w:val="auto"/>
              </w:rPr>
            </w:pPr>
            <w:r>
              <w:rPr>
                <w:rFonts w:ascii="Arial" w:cs="Arial" w:eastAsia="Arial" w:hAnsi="Arial"/>
                <w:sz w:val="20"/>
                <w:szCs w:val="20"/>
                <w:color w:val="auto"/>
              </w:rPr>
              <w:t>Total</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487,555</w:t>
            </w:r>
          </w:p>
        </w:tc>
        <w:tc>
          <w:tcPr>
            <w:tcW w:w="100" w:type="dxa"/>
            <w:vAlign w:val="bottom"/>
          </w:tcPr>
          <w:p>
            <w:pPr>
              <w:spacing w:after="0"/>
              <w:rPr>
                <w:sz w:val="21"/>
                <w:szCs w:val="21"/>
                <w:color w:val="auto"/>
              </w:rPr>
            </w:pPr>
          </w:p>
        </w:tc>
      </w:tr>
      <w:tr>
        <w:trPr>
          <w:trHeight w:val="20"/>
        </w:trPr>
        <w:tc>
          <w:tcPr>
            <w:tcW w:w="8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ind w:firstLine="598"/>
        <w:spacing w:after="0" w:line="261" w:lineRule="auto"/>
        <w:rPr>
          <w:sz w:val="20"/>
          <w:szCs w:val="20"/>
          <w:color w:val="auto"/>
        </w:rPr>
      </w:pPr>
      <w:r>
        <w:rPr>
          <w:rFonts w:ascii="Arial" w:cs="Arial" w:eastAsia="Arial" w:hAnsi="Arial"/>
          <w:sz w:val="20"/>
          <w:szCs w:val="20"/>
          <w:color w:val="auto"/>
        </w:rPr>
        <w:t>Net lease expense for all operating leases totaled $111 million in 2018 and $114 million in 2017. All other operating leasing activities were not material to the Company’s consolidated results of operations. Minimum lease payments required under capital leases are not material.</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360"/>
          </w:cols>
          <w:pgMar w:left="240" w:top="336" w:right="299" w:bottom="1440" w:gutter="0" w:footer="0" w:header="0"/>
        </w:sectPr>
      </w:pPr>
    </w:p>
    <w:bookmarkStart w:id="140" w:name="page141"/>
    <w:bookmarkEnd w:id="140"/>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7"/>
          <w:szCs w:val="17"/>
          <w:b w:val="1"/>
          <w:bCs w:val="1"/>
          <w:color w:val="auto"/>
        </w:rPr>
        <w:t>Capitalized servicing assets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Changes in capitalized servicing assets were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w w:val="90"/>
              </w:rPr>
              <w:t>For the Year Ended December 31,</w:t>
            </w:r>
          </w:p>
        </w:tc>
        <w:tc>
          <w:tcPr>
            <w:tcW w:w="2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Residential Mortgage Loans</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Commercial Mortgage Loans</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40" w:type="dxa"/>
            <w:vAlign w:val="bottom"/>
            <w:tcBorders>
              <w:bottom w:val="single" w:sz="8" w:color="auto"/>
            </w:tcBorders>
            <w:vMerge w:val="continue"/>
          </w:tcPr>
          <w:p>
            <w:pPr>
              <w:spacing w:after="0"/>
              <w:rPr>
                <w:sz w:val="12"/>
                <w:szCs w:val="12"/>
                <w:color w:val="auto"/>
              </w:rPr>
            </w:pPr>
          </w:p>
        </w:tc>
        <w:tc>
          <w:tcPr>
            <w:tcW w:w="27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6"/>
              <w:spacing w:after="0" w:line="138"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23"/>
              <w:spacing w:after="0" w:line="138"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46"/>
              <w:spacing w:after="0" w:line="138"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26"/>
              <w:spacing w:after="0" w:line="138"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43"/>
              <w:spacing w:after="0" w:line="138"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43"/>
              <w:spacing w:after="0" w:line="138"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6"/>
          </w:tcPr>
          <w:p>
            <w:pPr>
              <w:jc w:val="right"/>
              <w:ind w:right="800"/>
              <w:spacing w:after="0" w:line="158"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rPr>
              <w:t>Beginning balance</w:t>
            </w:r>
          </w:p>
        </w:tc>
        <w:tc>
          <w:tcPr>
            <w:tcW w:w="29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6"/>
              </w:rPr>
              <w:t>120,509</w:t>
            </w:r>
          </w:p>
        </w:tc>
        <w:tc>
          <w:tcPr>
            <w:tcW w:w="14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9"/>
              </w:rPr>
              <w:t>114,978</w:t>
            </w:r>
          </w:p>
        </w:tc>
        <w:tc>
          <w:tcPr>
            <w:tcW w:w="1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9"/>
              <w:spacing w:after="0"/>
              <w:rPr>
                <w:sz w:val="20"/>
                <w:szCs w:val="20"/>
                <w:color w:val="auto"/>
              </w:rPr>
            </w:pPr>
            <w:r>
              <w:rPr>
                <w:rFonts w:ascii="Arial" w:cs="Arial" w:eastAsia="Arial" w:hAnsi="Arial"/>
                <w:sz w:val="20"/>
                <w:szCs w:val="20"/>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1"/>
              </w:rPr>
              <w:t>117,351</w:t>
            </w:r>
          </w:p>
        </w:tc>
        <w:tc>
          <w:tcPr>
            <w:tcW w:w="14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9"/>
              </w:rPr>
              <w:t>114,663</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6"/>
              </w:rPr>
              <w:t>114,076</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20"/>
                <w:szCs w:val="2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1"/>
              </w:rPr>
              <w:t>103,764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0"/>
                <w:szCs w:val="20"/>
                <w:color w:val="auto"/>
              </w:rPr>
            </w:pPr>
            <w:r>
              <w:rPr>
                <w:rFonts w:ascii="Arial" w:cs="Arial" w:eastAsia="Arial" w:hAnsi="Arial"/>
                <w:sz w:val="20"/>
                <w:szCs w:val="20"/>
                <w:color w:val="auto"/>
              </w:rPr>
              <w:t>Originations</w:t>
            </w:r>
          </w:p>
        </w:tc>
        <w:tc>
          <w:tcPr>
            <w:tcW w:w="2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26,067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28,985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28,792</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41,370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26,298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34,620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rPr>
              <w:t>Purchases</w:t>
            </w:r>
          </w:p>
        </w:tc>
        <w:tc>
          <w:tcPr>
            <w:tcW w:w="27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6"/>
              </w:rPr>
              <w:t>144,326</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454</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699</w:t>
            </w: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2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0"/>
                <w:szCs w:val="20"/>
                <w:color w:val="auto"/>
              </w:rPr>
            </w:pPr>
            <w:r>
              <w:rPr>
                <w:rFonts w:ascii="Arial" w:cs="Arial" w:eastAsia="Arial" w:hAnsi="Arial"/>
                <w:sz w:val="20"/>
                <w:szCs w:val="20"/>
                <w:color w:val="auto"/>
              </w:rPr>
              <w:t>Amortization</w:t>
            </w:r>
          </w:p>
        </w:tc>
        <w:tc>
          <w:tcPr>
            <w:tcW w:w="2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20"/>
                <w:szCs w:val="20"/>
                <w:color w:val="auto"/>
              </w:rPr>
              <w:t>(46,491)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20"/>
                <w:szCs w:val="20"/>
                <w:color w:val="auto"/>
              </w:rPr>
              <w:t>(23,908)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w w:val="99"/>
              </w:rPr>
              <w:t>(31,864)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20"/>
                <w:szCs w:val="20"/>
                <w:color w:val="auto"/>
              </w:rPr>
              <w:t>(25,397)</w:t>
            </w:r>
          </w:p>
        </w:tc>
        <w:tc>
          <w:tcPr>
            <w:tcW w:w="1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20"/>
                <w:szCs w:val="20"/>
                <w:color w:val="auto"/>
              </w:rPr>
              <w:t>(25,711)</w:t>
            </w:r>
          </w:p>
        </w:tc>
        <w:tc>
          <w:tcPr>
            <w:tcW w:w="24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20"/>
                <w:szCs w:val="20"/>
                <w:color w:val="auto"/>
                <w:w w:val="99"/>
              </w:rPr>
              <w:t>(24,308)</w:t>
            </w:r>
          </w:p>
        </w:tc>
        <w:tc>
          <w:tcPr>
            <w:tcW w:w="0" w:type="dxa"/>
            <w:vAlign w:val="bottom"/>
          </w:tcPr>
          <w:p>
            <w:pPr>
              <w:spacing w:after="0"/>
              <w:rPr>
                <w:sz w:val="1"/>
                <w:szCs w:val="1"/>
                <w:color w:val="auto"/>
              </w:rPr>
            </w:pPr>
          </w:p>
        </w:tc>
      </w:tr>
      <w:tr>
        <w:trPr>
          <w:trHeight w:val="243"/>
        </w:trPr>
        <w:tc>
          <w:tcPr>
            <w:tcW w:w="2040" w:type="dxa"/>
            <w:vAlign w:val="bottom"/>
            <w:tcBorders>
              <w:top w:val="single" w:sz="8" w:color="CFF0FC"/>
            </w:tcBorders>
            <w:shd w:val="clear" w:color="auto" w:fill="CFF0FC"/>
          </w:tcPr>
          <w:p>
            <w:pPr>
              <w:spacing w:after="0"/>
              <w:rPr>
                <w:sz w:val="21"/>
                <w:szCs w:val="21"/>
                <w:color w:val="auto"/>
              </w:rPr>
            </w:pPr>
          </w:p>
        </w:tc>
        <w:tc>
          <w:tcPr>
            <w:tcW w:w="272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244,411</w:t>
            </w:r>
          </w:p>
        </w:tc>
        <w:tc>
          <w:tcPr>
            <w:tcW w:w="140" w:type="dxa"/>
            <w:vAlign w:val="bottom"/>
            <w:tcBorders>
              <w:top w:val="single" w:sz="8" w:color="CFF0FC"/>
            </w:tcBorders>
            <w:shd w:val="clear" w:color="auto" w:fill="CFF0FC"/>
          </w:tcPr>
          <w:p>
            <w:pPr>
              <w:spacing w:after="0"/>
              <w:rPr>
                <w:sz w:val="21"/>
                <w:szCs w:val="21"/>
                <w:color w:val="auto"/>
              </w:rPr>
            </w:pPr>
          </w:p>
        </w:tc>
        <w:tc>
          <w:tcPr>
            <w:tcW w:w="80" w:type="dxa"/>
            <w:vAlign w:val="bottom"/>
            <w:tcBorders>
              <w:top w:val="single" w:sz="8" w:color="CFF0FC"/>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9"/>
              </w:rPr>
              <w:t>120,509</w:t>
            </w:r>
          </w:p>
        </w:tc>
        <w:tc>
          <w:tcPr>
            <w:tcW w:w="140" w:type="dxa"/>
            <w:vAlign w:val="bottom"/>
            <w:tcBorders>
              <w:top w:val="single" w:sz="8" w:color="CFF0FC"/>
            </w:tcBorders>
            <w:shd w:val="clear" w:color="auto" w:fill="CFF0FC"/>
          </w:tcPr>
          <w:p>
            <w:pPr>
              <w:spacing w:after="0"/>
              <w:rPr>
                <w:sz w:val="21"/>
                <w:szCs w:val="21"/>
                <w:color w:val="auto"/>
              </w:rPr>
            </w:pPr>
          </w:p>
        </w:tc>
        <w:tc>
          <w:tcPr>
            <w:tcW w:w="80" w:type="dxa"/>
            <w:vAlign w:val="bottom"/>
            <w:tcBorders>
              <w:top w:val="single" w:sz="8" w:color="CFF0FC"/>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1"/>
              </w:rPr>
              <w:t>114,978</w:t>
            </w:r>
          </w:p>
        </w:tc>
        <w:tc>
          <w:tcPr>
            <w:tcW w:w="140" w:type="dxa"/>
            <w:vAlign w:val="bottom"/>
            <w:tcBorders>
              <w:top w:val="single" w:sz="8" w:color="CFF0FC"/>
            </w:tcBorders>
            <w:shd w:val="clear" w:color="auto" w:fill="CFF0FC"/>
          </w:tcPr>
          <w:p>
            <w:pPr>
              <w:spacing w:after="0"/>
              <w:rPr>
                <w:sz w:val="21"/>
                <w:szCs w:val="21"/>
                <w:color w:val="auto"/>
              </w:rPr>
            </w:pPr>
          </w:p>
        </w:tc>
        <w:tc>
          <w:tcPr>
            <w:tcW w:w="6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9"/>
              </w:rPr>
              <w:t>130,636</w:t>
            </w:r>
          </w:p>
        </w:tc>
        <w:tc>
          <w:tcPr>
            <w:tcW w:w="22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114,663</w:t>
            </w:r>
          </w:p>
        </w:tc>
        <w:tc>
          <w:tcPr>
            <w:tcW w:w="200" w:type="dxa"/>
            <w:vAlign w:val="bottom"/>
            <w:tcBorders>
              <w:top w:val="single" w:sz="8" w:color="CFF0FC"/>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1"/>
              </w:rPr>
              <w:t>114,076</w:t>
            </w:r>
          </w:p>
        </w:tc>
        <w:tc>
          <w:tcPr>
            <w:tcW w:w="100" w:type="dxa"/>
            <w:vAlign w:val="bottom"/>
            <w:tcBorders>
              <w:top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0"/>
                <w:szCs w:val="20"/>
                <w:color w:val="auto"/>
              </w:rPr>
            </w:pPr>
            <w:r>
              <w:rPr>
                <w:rFonts w:ascii="Arial" w:cs="Arial" w:eastAsia="Arial" w:hAnsi="Arial"/>
                <w:sz w:val="20"/>
                <w:szCs w:val="20"/>
                <w:color w:val="auto"/>
              </w:rPr>
              <w:t>Valuation allowance</w:t>
            </w:r>
          </w:p>
        </w:tc>
        <w:tc>
          <w:tcPr>
            <w:tcW w:w="2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20"/>
                <w:szCs w:val="20"/>
                <w:color w:val="auto"/>
              </w:rPr>
              <w:t>(7,000)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Ending balance, net</w:t>
            </w:r>
          </w:p>
        </w:tc>
        <w:tc>
          <w:tcPr>
            <w:tcW w:w="27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237,411</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9"/>
              </w:rPr>
              <w:t>120,509</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1"/>
              </w:rPr>
              <w:t>114,978</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6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9"/>
              </w:rPr>
              <w:t>130,636</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114,663</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20"/>
                <w:szCs w:val="20"/>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1"/>
              </w:rPr>
              <w:t>114,076</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100" w:firstLine="598"/>
        <w:spacing w:after="0" w:line="249" w:lineRule="auto"/>
        <w:rPr>
          <w:sz w:val="20"/>
          <w:szCs w:val="20"/>
          <w:color w:val="auto"/>
        </w:rPr>
      </w:pPr>
      <w:r>
        <w:rPr>
          <w:rFonts w:ascii="Arial" w:cs="Arial" w:eastAsia="Arial" w:hAnsi="Arial"/>
          <w:sz w:val="20"/>
          <w:szCs w:val="20"/>
          <w:color w:val="auto"/>
        </w:rPr>
        <w:t>Residential mortgage loans serviced for others were $32.3 billion at December 31, 2019, $22.2 billion at December 31, 2018 and $22.6 billion at December 31, 2017. Excluded from residential mortgage loans serviced for others were loans sub-serviced for others of $62.8 billion, $56.8 billion and $56.6 billion at December 31, 2019, 2018, and 2017, respectively. On January 31, 2019, the Company purchased servicing rights for residential real estate loans that had outstanding principal balances at that date of approximately $13.3 billion. The purchase price of such servicing rights was approximately $144 million. Commercial mortgage loans serviced for others were $17.6 billion at December 31, 2019, $15.5 billion at December 31, 2018 and $13.6 billion at December 31, 2017. Excluded from commercial mortgage loans serviced for others were loans sub-serviced for others of $3.4 billion at December 31, 2019, $2.7 billion at December 31, 2018 and $2.6 billion at December 31, 2017.</w:t>
      </w:r>
    </w:p>
    <w:p>
      <w:pPr>
        <w:spacing w:after="0" w:line="1" w:lineRule="exact"/>
        <w:rPr>
          <w:sz w:val="20"/>
          <w:szCs w:val="20"/>
          <w:color w:val="auto"/>
        </w:rPr>
      </w:pPr>
    </w:p>
    <w:p>
      <w:pPr>
        <w:ind w:right="20" w:firstLine="598"/>
        <w:spacing w:after="0" w:line="274" w:lineRule="auto"/>
        <w:rPr>
          <w:sz w:val="20"/>
          <w:szCs w:val="20"/>
          <w:color w:val="auto"/>
        </w:rPr>
      </w:pPr>
      <w:r>
        <w:rPr>
          <w:rFonts w:ascii="Arial" w:cs="Arial" w:eastAsia="Arial" w:hAnsi="Arial"/>
          <w:sz w:val="18"/>
          <w:szCs w:val="18"/>
          <w:color w:val="auto"/>
        </w:rPr>
        <w:t>The estimated fair value of capitalized residential mortgage loan servicing assets was approximately $297 million at December 31, 2019 and $240 million at December 31, 2018. The fair value of capitalized residential mortgage loan servicing assets was estimated using weighted-average discount rates of 10.6% and 11.4% at December 31, 2019 and 2018, respectively, and contemporaneous prepayment assumptions that vary by loan type. At December 31, 2019 and 2018, the discount rate represented a weighted-average option-adjusted spread (“OAS”) of 928 basis points (hundredths of one percent) and 963 basis points, respectively, over market implied forward London Interbank Offered Rates (“LIBOR”). The estimated fair value of capitalized residential mortgage loan servicing rights may vary significantly in subsequent periods due to changing interest rates and the effect thereof on prepayment speeds. The estimated fair value of capitalized commercial mortgage loan servicing assets was approximately $153 million and $135 million at December 31, 2019 and 2018, respectively. An 18% discount rate was used to estimate the fair value of capitalized commercial mortgage loan servicing rights at December 31, 2019 and 2018 with no prepayment assumptions because, in general, the servicing agreements allow the Company to share in customer loan prepayment fees and thereby recover the remaining carrying value of the capitalized servicing rights associated with such loan. The Company’s ability to realize the carrying value of capitalized commercial mortgage servicing rights is more dependent on the borrowers’ abilities to repay the underlying loans than on prepayments or changes in interest rates.</w:t>
      </w:r>
    </w:p>
    <w:p>
      <w:pPr>
        <w:spacing w:after="0" w:line="3" w:lineRule="exact"/>
        <w:rPr>
          <w:sz w:val="20"/>
          <w:szCs w:val="20"/>
          <w:color w:val="auto"/>
        </w:rPr>
      </w:pPr>
    </w:p>
    <w:p>
      <w:pPr>
        <w:ind w:right="240" w:firstLine="598"/>
        <w:spacing w:after="0" w:line="249" w:lineRule="auto"/>
        <w:rPr>
          <w:sz w:val="20"/>
          <w:szCs w:val="20"/>
          <w:color w:val="auto"/>
        </w:rPr>
      </w:pPr>
      <w:r>
        <w:rPr>
          <w:rFonts w:ascii="Arial" w:cs="Arial" w:eastAsia="Arial" w:hAnsi="Arial"/>
          <w:sz w:val="20"/>
          <w:szCs w:val="20"/>
          <w:color w:val="auto"/>
        </w:rPr>
        <w:t>The key economic assumptions used to determine the fair value of significant portfolios of capitalized servicing rights at December 31, 2019 and the sensitivity of such value to changes in those assumptions are summarized in the table that follows. Those calculated sensitivities are hypothetical and actual changes in the fair value of capitalized servicing rights may differ significantly from the amounts presented herein. The effect of a variation in a particular assumption on the fair value of the servicing rights is calculated without changing any other assumption. In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41" w:name="page142"/>
    <w:bookmarkEnd w:id="141"/>
    <w:p>
      <w:pPr>
        <w:spacing w:after="0" w:line="275" w:lineRule="auto"/>
        <w:rPr>
          <w:sz w:val="20"/>
          <w:szCs w:val="20"/>
          <w:color w:val="auto"/>
        </w:rPr>
      </w:pPr>
      <w:r>
        <w:rPr>
          <w:rFonts w:ascii="Arial" w:cs="Arial" w:eastAsia="Arial" w:hAnsi="Arial"/>
          <w:sz w:val="20"/>
          <w:szCs w:val="20"/>
          <w:color w:val="auto"/>
        </w:rPr>
        <w:t>reality, changes in one factor may result in changes in another which may magnify or counteract the sensitivities. The changes in assumptions are presumed to be instantaneous.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jc w:val="right"/>
              <w:ind w:right="986"/>
              <w:spacing w:after="0"/>
              <w:rPr>
                <w:sz w:val="20"/>
                <w:szCs w:val="20"/>
                <w:color w:val="auto"/>
              </w:rPr>
            </w:pPr>
            <w:r>
              <w:rPr>
                <w:rFonts w:ascii="Arial" w:cs="Arial" w:eastAsia="Arial" w:hAnsi="Arial"/>
                <w:sz w:val="14"/>
                <w:szCs w:val="14"/>
                <w:b w:val="1"/>
                <w:bCs w:val="1"/>
                <w:color w:val="auto"/>
              </w:rPr>
              <w:t>Residential</w:t>
            </w:r>
          </w:p>
        </w:tc>
        <w:tc>
          <w:tcPr>
            <w:tcW w:w="15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Commercial</w:t>
            </w:r>
          </w:p>
        </w:tc>
      </w:tr>
      <w:tr>
        <w:trPr>
          <w:trHeight w:val="176"/>
        </w:trPr>
        <w:tc>
          <w:tcPr>
            <w:tcW w:w="57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240" w:type="dxa"/>
            <w:vAlign w:val="bottom"/>
            <w:tcBorders>
              <w:top w:val="single" w:sz="8" w:color="auto"/>
            </w:tcBorders>
            <w:gridSpan w:val="2"/>
          </w:tcPr>
          <w:p>
            <w:pPr>
              <w:jc w:val="right"/>
              <w:ind w:right="1007"/>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5"/>
                <w:szCs w:val="15"/>
                <w:color w:val="auto"/>
              </w:rPr>
            </w:pPr>
          </w:p>
        </w:tc>
      </w:tr>
      <w:tr>
        <w:trPr>
          <w:trHeight w:val="133"/>
        </w:trPr>
        <w:tc>
          <w:tcPr>
            <w:tcW w:w="57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50"/>
        </w:trPr>
        <w:tc>
          <w:tcPr>
            <w:tcW w:w="5760" w:type="dxa"/>
            <w:vAlign w:val="bottom"/>
            <w:shd w:val="clear" w:color="auto" w:fill="CFF0FC"/>
          </w:tcPr>
          <w:p>
            <w:pPr>
              <w:spacing w:after="0"/>
              <w:rPr>
                <w:sz w:val="20"/>
                <w:szCs w:val="20"/>
                <w:color w:val="auto"/>
              </w:rPr>
            </w:pPr>
            <w:r>
              <w:rPr>
                <w:rFonts w:ascii="Arial" w:cs="Arial" w:eastAsia="Arial" w:hAnsi="Arial"/>
                <w:sz w:val="20"/>
                <w:szCs w:val="20"/>
                <w:color w:val="auto"/>
              </w:rPr>
              <w:t>Weighted-average prepayment speeds</w:t>
            </w:r>
          </w:p>
        </w:tc>
        <w:tc>
          <w:tcPr>
            <w:tcW w:w="1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920" w:type="dxa"/>
            <w:vAlign w:val="bottom"/>
            <w:shd w:val="clear" w:color="auto" w:fill="CFF0FC"/>
          </w:tcPr>
          <w:p>
            <w:pPr>
              <w:jc w:val="right"/>
              <w:ind w:right="366"/>
              <w:spacing w:after="0"/>
              <w:rPr>
                <w:sz w:val="20"/>
                <w:szCs w:val="20"/>
                <w:color w:val="auto"/>
              </w:rPr>
            </w:pPr>
            <w:r>
              <w:rPr>
                <w:rFonts w:ascii="Arial" w:cs="Arial" w:eastAsia="Arial" w:hAnsi="Arial"/>
                <w:sz w:val="20"/>
                <w:szCs w:val="20"/>
                <w:color w:val="auto"/>
              </w:rPr>
              <w:t>15.84%</w:t>
            </w:r>
          </w:p>
        </w:tc>
        <w:tc>
          <w:tcPr>
            <w:tcW w:w="1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50"/>
        </w:trPr>
        <w:tc>
          <w:tcPr>
            <w:tcW w:w="5760" w:type="dxa"/>
            <w:vAlign w:val="bottom"/>
          </w:tcPr>
          <w:p>
            <w:pPr>
              <w:ind w:left="240"/>
              <w:spacing w:after="0"/>
              <w:rPr>
                <w:sz w:val="20"/>
                <w:szCs w:val="20"/>
                <w:color w:val="auto"/>
              </w:rPr>
            </w:pPr>
            <w:r>
              <w:rPr>
                <w:rFonts w:ascii="Arial" w:cs="Arial" w:eastAsia="Arial" w:hAnsi="Arial"/>
                <w:sz w:val="20"/>
                <w:szCs w:val="20"/>
                <w:color w:val="auto"/>
              </w:rPr>
              <w:t>Impact on fair value of 10% adverse change</w:t>
            </w:r>
          </w:p>
        </w:tc>
        <w:tc>
          <w:tcPr>
            <w:tcW w:w="22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920" w:type="dxa"/>
            <w:vAlign w:val="bottom"/>
          </w:tcPr>
          <w:p>
            <w:pPr>
              <w:jc w:val="right"/>
              <w:ind w:right="466"/>
              <w:spacing w:after="0"/>
              <w:rPr>
                <w:sz w:val="20"/>
                <w:szCs w:val="20"/>
                <w:color w:val="auto"/>
              </w:rPr>
            </w:pPr>
            <w:r>
              <w:rPr>
                <w:rFonts w:ascii="Arial" w:cs="Arial" w:eastAsia="Arial" w:hAnsi="Arial"/>
                <w:sz w:val="20"/>
                <w:szCs w:val="20"/>
                <w:color w:val="auto"/>
              </w:rPr>
              <w:t>(16,555)</w:t>
            </w: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0"/>
        </w:trPr>
        <w:tc>
          <w:tcPr>
            <w:tcW w:w="57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Impact on fair value of 20% adverse change</w:t>
            </w:r>
          </w:p>
        </w:tc>
        <w:tc>
          <w:tcPr>
            <w:tcW w:w="1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920" w:type="dxa"/>
            <w:vAlign w:val="bottom"/>
            <w:shd w:val="clear" w:color="auto" w:fill="CFF0FC"/>
          </w:tcPr>
          <w:p>
            <w:pPr>
              <w:jc w:val="right"/>
              <w:ind w:right="466"/>
              <w:spacing w:after="0"/>
              <w:rPr>
                <w:sz w:val="20"/>
                <w:szCs w:val="20"/>
                <w:color w:val="auto"/>
              </w:rPr>
            </w:pPr>
            <w:r>
              <w:rPr>
                <w:rFonts w:ascii="Arial" w:cs="Arial" w:eastAsia="Arial" w:hAnsi="Arial"/>
                <w:sz w:val="20"/>
                <w:szCs w:val="20"/>
                <w:color w:val="auto"/>
              </w:rPr>
              <w:t>(31,475)</w:t>
            </w:r>
          </w:p>
        </w:tc>
        <w:tc>
          <w:tcPr>
            <w:tcW w:w="1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50"/>
        </w:trPr>
        <w:tc>
          <w:tcPr>
            <w:tcW w:w="5760" w:type="dxa"/>
            <w:vAlign w:val="bottom"/>
          </w:tcPr>
          <w:p>
            <w:pPr>
              <w:spacing w:after="0"/>
              <w:rPr>
                <w:sz w:val="20"/>
                <w:szCs w:val="20"/>
                <w:color w:val="auto"/>
              </w:rPr>
            </w:pPr>
            <w:r>
              <w:rPr>
                <w:rFonts w:ascii="Arial" w:cs="Arial" w:eastAsia="Arial" w:hAnsi="Arial"/>
                <w:sz w:val="20"/>
                <w:szCs w:val="20"/>
                <w:color w:val="auto"/>
              </w:rPr>
              <w:t>Weighted-average OAS</w:t>
            </w:r>
          </w:p>
        </w:tc>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20" w:type="dxa"/>
            <w:vAlign w:val="bottom"/>
          </w:tcPr>
          <w:p>
            <w:pPr>
              <w:jc w:val="right"/>
              <w:ind w:right="366"/>
              <w:spacing w:after="0"/>
              <w:rPr>
                <w:sz w:val="20"/>
                <w:szCs w:val="20"/>
                <w:color w:val="auto"/>
              </w:rPr>
            </w:pPr>
            <w:r>
              <w:rPr>
                <w:rFonts w:ascii="Arial" w:cs="Arial" w:eastAsia="Arial" w:hAnsi="Arial"/>
                <w:sz w:val="20"/>
                <w:szCs w:val="20"/>
                <w:color w:val="auto"/>
              </w:rPr>
              <w:t>9.28%</w:t>
            </w: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0"/>
        </w:trPr>
        <w:tc>
          <w:tcPr>
            <w:tcW w:w="57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Impact on fair value of 10% adverse change</w:t>
            </w:r>
          </w:p>
        </w:tc>
        <w:tc>
          <w:tcPr>
            <w:tcW w:w="224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920" w:type="dxa"/>
            <w:vAlign w:val="bottom"/>
            <w:shd w:val="clear" w:color="auto" w:fill="CFF0FC"/>
          </w:tcPr>
          <w:p>
            <w:pPr>
              <w:jc w:val="right"/>
              <w:ind w:right="466"/>
              <w:spacing w:after="0"/>
              <w:rPr>
                <w:sz w:val="20"/>
                <w:szCs w:val="20"/>
                <w:color w:val="auto"/>
              </w:rPr>
            </w:pPr>
            <w:r>
              <w:rPr>
                <w:rFonts w:ascii="Arial" w:cs="Arial" w:eastAsia="Arial" w:hAnsi="Arial"/>
                <w:sz w:val="20"/>
                <w:szCs w:val="20"/>
                <w:color w:val="auto"/>
              </w:rPr>
              <w:t>(8,070)</w:t>
            </w:r>
          </w:p>
        </w:tc>
        <w:tc>
          <w:tcPr>
            <w:tcW w:w="1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50"/>
        </w:trPr>
        <w:tc>
          <w:tcPr>
            <w:tcW w:w="5760" w:type="dxa"/>
            <w:vAlign w:val="bottom"/>
          </w:tcPr>
          <w:p>
            <w:pPr>
              <w:ind w:left="240"/>
              <w:spacing w:after="0"/>
              <w:rPr>
                <w:sz w:val="20"/>
                <w:szCs w:val="20"/>
                <w:color w:val="auto"/>
              </w:rPr>
            </w:pPr>
            <w:r>
              <w:rPr>
                <w:rFonts w:ascii="Arial" w:cs="Arial" w:eastAsia="Arial" w:hAnsi="Arial"/>
                <w:sz w:val="20"/>
                <w:szCs w:val="20"/>
                <w:color w:val="auto"/>
              </w:rPr>
              <w:t>Impact on fair value of 20% adverse change</w:t>
            </w:r>
          </w:p>
        </w:tc>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20" w:type="dxa"/>
            <w:vAlign w:val="bottom"/>
          </w:tcPr>
          <w:p>
            <w:pPr>
              <w:jc w:val="right"/>
              <w:ind w:right="466"/>
              <w:spacing w:after="0"/>
              <w:rPr>
                <w:sz w:val="20"/>
                <w:szCs w:val="20"/>
                <w:color w:val="auto"/>
              </w:rPr>
            </w:pPr>
            <w:r>
              <w:rPr>
                <w:rFonts w:ascii="Arial" w:cs="Arial" w:eastAsia="Arial" w:hAnsi="Arial"/>
                <w:sz w:val="20"/>
                <w:szCs w:val="20"/>
                <w:color w:val="auto"/>
              </w:rPr>
              <w:t>(15,663)</w:t>
            </w: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0"/>
        </w:trPr>
        <w:tc>
          <w:tcPr>
            <w:tcW w:w="5760" w:type="dxa"/>
            <w:vAlign w:val="bottom"/>
            <w:shd w:val="clear" w:color="auto" w:fill="CFF0FC"/>
          </w:tcPr>
          <w:p>
            <w:pPr>
              <w:spacing w:after="0"/>
              <w:rPr>
                <w:sz w:val="20"/>
                <w:szCs w:val="20"/>
                <w:color w:val="auto"/>
              </w:rPr>
            </w:pPr>
            <w:r>
              <w:rPr>
                <w:rFonts w:ascii="Arial" w:cs="Arial" w:eastAsia="Arial" w:hAnsi="Arial"/>
                <w:sz w:val="20"/>
                <w:szCs w:val="20"/>
                <w:color w:val="auto"/>
              </w:rPr>
              <w:t>Weighted-average discount rate</w:t>
            </w:r>
          </w:p>
        </w:tc>
        <w:tc>
          <w:tcPr>
            <w:tcW w:w="1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9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18.00%</w:t>
            </w:r>
          </w:p>
        </w:tc>
      </w:tr>
      <w:tr>
        <w:trPr>
          <w:trHeight w:val="250"/>
        </w:trPr>
        <w:tc>
          <w:tcPr>
            <w:tcW w:w="5760" w:type="dxa"/>
            <w:vAlign w:val="bottom"/>
          </w:tcPr>
          <w:p>
            <w:pPr>
              <w:ind w:left="240"/>
              <w:spacing w:after="0"/>
              <w:rPr>
                <w:sz w:val="20"/>
                <w:szCs w:val="20"/>
                <w:color w:val="auto"/>
              </w:rPr>
            </w:pPr>
            <w:r>
              <w:rPr>
                <w:rFonts w:ascii="Arial" w:cs="Arial" w:eastAsia="Arial" w:hAnsi="Arial"/>
                <w:sz w:val="20"/>
                <w:szCs w:val="20"/>
                <w:color w:val="auto"/>
              </w:rPr>
              <w:t>Impact on fair value of 10% adverse change</w:t>
            </w:r>
          </w:p>
        </w:tc>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20" w:type="dxa"/>
            <w:vAlign w:val="bottom"/>
          </w:tcPr>
          <w:p>
            <w:pPr>
              <w:jc w:val="right"/>
              <w:ind w:right="66"/>
              <w:spacing w:after="0"/>
              <w:rPr>
                <w:sz w:val="20"/>
                <w:szCs w:val="20"/>
                <w:color w:val="auto"/>
              </w:rPr>
            </w:pPr>
            <w:r>
              <w:rPr>
                <w:rFonts w:ascii="Arial" w:cs="Arial" w:eastAsia="Arial" w:hAnsi="Arial"/>
                <w:sz w:val="20"/>
                <w:szCs w:val="20"/>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20"/>
                <w:szCs w:val="20"/>
                <w:color w:val="auto"/>
              </w:rPr>
              <w:t>(6,948)</w:t>
            </w:r>
          </w:p>
        </w:tc>
      </w:tr>
      <w:tr>
        <w:trPr>
          <w:trHeight w:val="250"/>
        </w:trPr>
        <w:tc>
          <w:tcPr>
            <w:tcW w:w="57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Impact on fair value of 20% adverse change</w:t>
            </w:r>
          </w:p>
        </w:tc>
        <w:tc>
          <w:tcPr>
            <w:tcW w:w="1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9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(13,395)</w:t>
            </w:r>
          </w:p>
        </w:tc>
      </w:tr>
    </w:tbl>
    <w:p>
      <w:pPr>
        <w:spacing w:after="0" w:line="35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7"/>
          <w:szCs w:val="17"/>
          <w:b w:val="1"/>
          <w:bCs w:val="1"/>
          <w:color w:val="auto"/>
        </w:rPr>
        <w:t>Goodwill and other intangible assets</w:t>
      </w:r>
    </w:p>
    <w:p>
      <w:pPr>
        <w:spacing w:after="0" w:line="29" w:lineRule="exact"/>
        <w:rPr>
          <w:sz w:val="20"/>
          <w:szCs w:val="20"/>
          <w:color w:val="auto"/>
        </w:rPr>
      </w:pPr>
    </w:p>
    <w:p>
      <w:pPr>
        <w:ind w:right="340"/>
        <w:spacing w:after="0" w:line="250" w:lineRule="auto"/>
        <w:rPr>
          <w:sz w:val="20"/>
          <w:szCs w:val="20"/>
          <w:color w:val="auto"/>
        </w:rPr>
      </w:pPr>
      <w:r>
        <w:rPr>
          <w:rFonts w:ascii="Arial" w:cs="Arial" w:eastAsia="Arial" w:hAnsi="Arial"/>
          <w:sz w:val="20"/>
          <w:szCs w:val="20"/>
          <w:color w:val="auto"/>
        </w:rPr>
        <w:t>The Company does not amortize goodwill, however, core deposit and other intangible assets are amortized over the estimated life of each respective asset. At December 31, 2019 the Company reduced by $933 million the gross carrying amount and accumulated amortization associated with intangible assets that had been fully amortized and, therefore, had no remaining net carrying amount. Total amortizing intangible assets were comprised of the following: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Gross Carrying</w:t>
            </w:r>
          </w:p>
        </w:tc>
        <w:tc>
          <w:tcPr>
            <w:tcW w:w="240" w:type="dxa"/>
            <w:vAlign w:val="bottom"/>
          </w:tcPr>
          <w:p>
            <w:pPr>
              <w:spacing w:after="0"/>
              <w:rPr>
                <w:sz w:val="14"/>
                <w:szCs w:val="14"/>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Net Carrying</w:t>
            </w:r>
          </w:p>
        </w:tc>
      </w:tr>
      <w:tr>
        <w:trPr>
          <w:trHeight w:val="167"/>
        </w:trPr>
        <w:tc>
          <w:tcPr>
            <w:tcW w:w="3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4"/>
                <w:szCs w:val="14"/>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Amortization</w:t>
            </w:r>
          </w:p>
        </w:tc>
        <w:tc>
          <w:tcPr>
            <w:tcW w:w="26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Amount</w:t>
            </w:r>
          </w:p>
        </w:tc>
      </w:tr>
      <w:tr>
        <w:trPr>
          <w:trHeight w:val="151"/>
        </w:trPr>
        <w:tc>
          <w:tcPr>
            <w:tcW w:w="37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jc w:val="center"/>
              <w:ind w:right="52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2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50"/>
        </w:trPr>
        <w:tc>
          <w:tcPr>
            <w:tcW w:w="3740" w:type="dxa"/>
            <w:vAlign w:val="bottom"/>
            <w:shd w:val="clear" w:color="auto" w:fill="CFF0FC"/>
          </w:tcPr>
          <w:p>
            <w:pPr>
              <w:spacing w:after="0"/>
              <w:rPr>
                <w:sz w:val="20"/>
                <w:szCs w:val="20"/>
                <w:color w:val="auto"/>
              </w:rPr>
            </w:pPr>
            <w:r>
              <w:rPr>
                <w:rFonts w:ascii="Arial" w:cs="Arial" w:eastAsia="Arial" w:hAnsi="Arial"/>
                <w:sz w:val="20"/>
                <w:szCs w:val="20"/>
                <w:color w:val="auto"/>
              </w:rPr>
              <w:t>December 31, 2019</w:t>
            </w:r>
          </w:p>
        </w:tc>
        <w:tc>
          <w:tcPr>
            <w:tcW w:w="2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3740" w:type="dxa"/>
            <w:vAlign w:val="bottom"/>
          </w:tcPr>
          <w:p>
            <w:pPr>
              <w:ind w:left="240"/>
              <w:spacing w:after="0"/>
              <w:rPr>
                <w:sz w:val="20"/>
                <w:szCs w:val="20"/>
                <w:color w:val="auto"/>
              </w:rPr>
            </w:pPr>
            <w:r>
              <w:rPr>
                <w:rFonts w:ascii="Arial" w:cs="Arial" w:eastAsia="Arial" w:hAnsi="Arial"/>
                <w:sz w:val="20"/>
                <w:szCs w:val="20"/>
                <w:color w:val="auto"/>
              </w:rPr>
              <w:t>Core deposit</w:t>
            </w:r>
          </w:p>
        </w:tc>
        <w:tc>
          <w:tcPr>
            <w:tcW w:w="236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131,664</w:t>
            </w:r>
          </w:p>
        </w:tc>
        <w:tc>
          <w:tcPr>
            <w:tcW w:w="28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20"/>
                <w:szCs w:val="20"/>
                <w:color w:val="auto"/>
                <w:w w:val="71"/>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105,802</w:t>
            </w:r>
          </w:p>
        </w:tc>
        <w:tc>
          <w:tcPr>
            <w:tcW w:w="28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20"/>
                <w:szCs w:val="20"/>
                <w:color w:val="auto"/>
                <w:w w:val="71"/>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25,862</w:t>
            </w:r>
          </w:p>
        </w:tc>
        <w:tc>
          <w:tcPr>
            <w:tcW w:w="100" w:type="dxa"/>
            <w:vAlign w:val="bottom"/>
          </w:tcPr>
          <w:p>
            <w:pPr>
              <w:spacing w:after="0"/>
              <w:rPr>
                <w:sz w:val="21"/>
                <w:szCs w:val="21"/>
                <w:color w:val="auto"/>
              </w:rPr>
            </w:pPr>
          </w:p>
        </w:tc>
      </w:tr>
      <w:tr>
        <w:trPr>
          <w:trHeight w:val="250"/>
        </w:trPr>
        <w:tc>
          <w:tcPr>
            <w:tcW w:w="3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Other</w:t>
            </w:r>
          </w:p>
        </w:tc>
        <w:tc>
          <w:tcPr>
            <w:tcW w:w="21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6,757</w:t>
            </w:r>
          </w:p>
        </w:tc>
        <w:tc>
          <w:tcPr>
            <w:tcW w:w="28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3,585</w:t>
            </w:r>
          </w:p>
        </w:tc>
        <w:tc>
          <w:tcPr>
            <w:tcW w:w="2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3,172</w:t>
            </w:r>
          </w:p>
        </w:tc>
        <w:tc>
          <w:tcPr>
            <w:tcW w:w="100" w:type="dxa"/>
            <w:vAlign w:val="bottom"/>
            <w:shd w:val="clear" w:color="auto" w:fill="CFF0FC"/>
          </w:tcPr>
          <w:p>
            <w:pPr>
              <w:spacing w:after="0"/>
              <w:rPr>
                <w:sz w:val="21"/>
                <w:szCs w:val="21"/>
                <w:color w:val="auto"/>
              </w:rPr>
            </w:pPr>
          </w:p>
        </w:tc>
      </w:tr>
      <w:tr>
        <w:trPr>
          <w:trHeight w:val="283"/>
        </w:trPr>
        <w:tc>
          <w:tcPr>
            <w:tcW w:w="374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Total</w:t>
            </w:r>
          </w:p>
        </w:tc>
        <w:tc>
          <w:tcPr>
            <w:tcW w:w="21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138,421</w:t>
            </w:r>
          </w:p>
        </w:tc>
        <w:tc>
          <w:tcPr>
            <w:tcW w:w="28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20"/>
                <w:szCs w:val="2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109,387</w:t>
            </w:r>
          </w:p>
        </w:tc>
        <w:tc>
          <w:tcPr>
            <w:tcW w:w="28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20"/>
                <w:szCs w:val="2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29,034</w:t>
            </w:r>
          </w:p>
        </w:tc>
        <w:tc>
          <w:tcPr>
            <w:tcW w:w="100" w:type="dxa"/>
            <w:vAlign w:val="bottom"/>
            <w:tcBorders>
              <w:bottom w:val="single" w:sz="8" w:color="CFF0FC"/>
            </w:tcBorders>
          </w:tcPr>
          <w:p>
            <w:pPr>
              <w:spacing w:after="0"/>
              <w:rPr>
                <w:sz w:val="24"/>
                <w:szCs w:val="24"/>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20"/>
                <w:szCs w:val="20"/>
                <w:color w:val="auto"/>
              </w:rPr>
              <w:t>December 31, 2018</w:t>
            </w:r>
          </w:p>
        </w:tc>
        <w:tc>
          <w:tcPr>
            <w:tcW w:w="2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50"/>
        </w:trPr>
        <w:tc>
          <w:tcPr>
            <w:tcW w:w="3740" w:type="dxa"/>
            <w:vAlign w:val="bottom"/>
          </w:tcPr>
          <w:p>
            <w:pPr>
              <w:ind w:left="240"/>
              <w:spacing w:after="0"/>
              <w:rPr>
                <w:sz w:val="20"/>
                <w:szCs w:val="20"/>
                <w:color w:val="auto"/>
              </w:rPr>
            </w:pPr>
            <w:r>
              <w:rPr>
                <w:rFonts w:ascii="Arial" w:cs="Arial" w:eastAsia="Arial" w:hAnsi="Arial"/>
                <w:sz w:val="20"/>
                <w:szCs w:val="20"/>
                <w:color w:val="auto"/>
              </w:rPr>
              <w:t>Core deposit</w:t>
            </w:r>
          </w:p>
        </w:tc>
        <w:tc>
          <w:tcPr>
            <w:tcW w:w="236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887,459</w:t>
            </w:r>
          </w:p>
        </w:tc>
        <w:tc>
          <w:tcPr>
            <w:tcW w:w="28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20"/>
                <w:szCs w:val="20"/>
                <w:color w:val="auto"/>
                <w:w w:val="71"/>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843,572</w:t>
            </w:r>
          </w:p>
        </w:tc>
        <w:tc>
          <w:tcPr>
            <w:tcW w:w="28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20"/>
                <w:szCs w:val="20"/>
                <w:color w:val="auto"/>
                <w:w w:val="71"/>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43,887</w:t>
            </w:r>
          </w:p>
        </w:tc>
        <w:tc>
          <w:tcPr>
            <w:tcW w:w="100" w:type="dxa"/>
            <w:vAlign w:val="bottom"/>
          </w:tcPr>
          <w:p>
            <w:pPr>
              <w:spacing w:after="0"/>
              <w:rPr>
                <w:sz w:val="21"/>
                <w:szCs w:val="21"/>
                <w:color w:val="auto"/>
              </w:rPr>
            </w:pPr>
          </w:p>
        </w:tc>
      </w:tr>
      <w:tr>
        <w:trPr>
          <w:trHeight w:val="250"/>
        </w:trPr>
        <w:tc>
          <w:tcPr>
            <w:tcW w:w="3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Other</w:t>
            </w:r>
          </w:p>
        </w:tc>
        <w:tc>
          <w:tcPr>
            <w:tcW w:w="21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182,568</w:t>
            </w:r>
          </w:p>
        </w:tc>
        <w:tc>
          <w:tcPr>
            <w:tcW w:w="28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179,388</w:t>
            </w:r>
          </w:p>
        </w:tc>
        <w:tc>
          <w:tcPr>
            <w:tcW w:w="2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3,180</w:t>
            </w:r>
          </w:p>
        </w:tc>
        <w:tc>
          <w:tcPr>
            <w:tcW w:w="100" w:type="dxa"/>
            <w:vAlign w:val="bottom"/>
            <w:shd w:val="clear" w:color="auto" w:fill="CFF0FC"/>
          </w:tcPr>
          <w:p>
            <w:pPr>
              <w:spacing w:after="0"/>
              <w:rPr>
                <w:sz w:val="21"/>
                <w:szCs w:val="21"/>
                <w:color w:val="auto"/>
              </w:rPr>
            </w:pPr>
          </w:p>
        </w:tc>
      </w:tr>
      <w:tr>
        <w:trPr>
          <w:trHeight w:val="243"/>
        </w:trPr>
        <w:tc>
          <w:tcPr>
            <w:tcW w:w="3740" w:type="dxa"/>
            <w:vAlign w:val="bottom"/>
          </w:tcPr>
          <w:p>
            <w:pPr>
              <w:ind w:left="240"/>
              <w:spacing w:after="0"/>
              <w:rPr>
                <w:sz w:val="20"/>
                <w:szCs w:val="20"/>
                <w:color w:val="auto"/>
              </w:rPr>
            </w:pPr>
            <w:r>
              <w:rPr>
                <w:rFonts w:ascii="Arial" w:cs="Arial" w:eastAsia="Arial" w:hAnsi="Arial"/>
                <w:sz w:val="20"/>
                <w:szCs w:val="20"/>
                <w:color w:val="auto"/>
              </w:rPr>
              <w:t>Total</w:t>
            </w:r>
          </w:p>
        </w:tc>
        <w:tc>
          <w:tcPr>
            <w:tcW w:w="214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1,070,027</w:t>
            </w:r>
          </w:p>
        </w:tc>
        <w:tc>
          <w:tcPr>
            <w:tcW w:w="28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20"/>
                <w:szCs w:val="2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1,022,960</w:t>
            </w:r>
          </w:p>
        </w:tc>
        <w:tc>
          <w:tcPr>
            <w:tcW w:w="28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20"/>
                <w:szCs w:val="2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47,067</w:t>
            </w:r>
          </w:p>
        </w:tc>
        <w:tc>
          <w:tcPr>
            <w:tcW w:w="100" w:type="dxa"/>
            <w:vAlign w:val="bottom"/>
          </w:tcPr>
          <w:p>
            <w:pPr>
              <w:spacing w:after="0"/>
              <w:rPr>
                <w:sz w:val="21"/>
                <w:szCs w:val="21"/>
                <w:color w:val="auto"/>
              </w:rPr>
            </w:pPr>
          </w:p>
        </w:tc>
      </w:tr>
      <w:tr>
        <w:trPr>
          <w:trHeight w:val="20"/>
        </w:trPr>
        <w:tc>
          <w:tcPr>
            <w:tcW w:w="3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2" w:lineRule="exact"/>
        <w:rPr>
          <w:sz w:val="20"/>
          <w:szCs w:val="20"/>
          <w:color w:val="auto"/>
        </w:rPr>
      </w:pPr>
    </w:p>
    <w:p>
      <w:pPr>
        <w:ind w:right="220" w:firstLine="598"/>
        <w:spacing w:after="0" w:line="293" w:lineRule="auto"/>
        <w:rPr>
          <w:sz w:val="20"/>
          <w:szCs w:val="20"/>
          <w:color w:val="auto"/>
        </w:rPr>
      </w:pPr>
      <w:r>
        <w:rPr>
          <w:rFonts w:ascii="Arial" w:cs="Arial" w:eastAsia="Arial" w:hAnsi="Arial"/>
          <w:sz w:val="18"/>
          <w:szCs w:val="18"/>
          <w:color w:val="auto"/>
        </w:rPr>
        <w:t>Amortization of core deposit and other intangible assets was generally computed using accelerated methods over original amortization periods of three to ten years. The weighted-average original amortization period was approximately eight years. Amortization expense for core deposit and other intangible assets was $19 million, $25 million and $31 million for the years ended December 31, 2019, 2018 and 2017, respectively. Estimated amortization expense in future years for such intangible assets is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8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0"/>
        </w:trPr>
        <w:tc>
          <w:tcPr>
            <w:tcW w:w="3880" w:type="dxa"/>
            <w:vAlign w:val="bottom"/>
            <w:shd w:val="clear" w:color="auto" w:fill="CFF0FC"/>
          </w:tcPr>
          <w:p>
            <w:pPr>
              <w:jc w:val="right"/>
              <w:ind w:right="1619"/>
              <w:spacing w:after="0"/>
              <w:rPr>
                <w:sz w:val="20"/>
                <w:szCs w:val="20"/>
                <w:color w:val="auto"/>
              </w:rPr>
            </w:pPr>
            <w:r>
              <w:rPr>
                <w:rFonts w:ascii="Arial" w:cs="Arial" w:eastAsia="Arial" w:hAnsi="Arial"/>
                <w:sz w:val="20"/>
                <w:szCs w:val="20"/>
                <w:color w:val="auto"/>
                <w:w w:val="89"/>
              </w:rPr>
              <w:t>Year ending December 31:</w:t>
            </w:r>
          </w:p>
        </w:tc>
        <w:tc>
          <w:tcPr>
            <w:tcW w:w="6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80" w:type="dxa"/>
            <w:vAlign w:val="bottom"/>
          </w:tcPr>
          <w:p>
            <w:pPr>
              <w:jc w:val="right"/>
              <w:ind w:right="3139"/>
              <w:spacing w:after="0"/>
              <w:rPr>
                <w:sz w:val="20"/>
                <w:szCs w:val="20"/>
                <w:color w:val="auto"/>
              </w:rPr>
            </w:pPr>
            <w:r>
              <w:rPr>
                <w:rFonts w:ascii="Arial" w:cs="Arial" w:eastAsia="Arial" w:hAnsi="Arial"/>
                <w:sz w:val="20"/>
                <w:szCs w:val="20"/>
                <w:color w:val="auto"/>
              </w:rPr>
              <w:t>2020</w:t>
            </w:r>
          </w:p>
        </w:tc>
        <w:tc>
          <w:tcPr>
            <w:tcW w:w="6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14,869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80" w:type="dxa"/>
            <w:vAlign w:val="bottom"/>
            <w:shd w:val="clear" w:color="auto" w:fill="CFF0FC"/>
          </w:tcPr>
          <w:p>
            <w:pPr>
              <w:jc w:val="right"/>
              <w:ind w:right="3139"/>
              <w:spacing w:after="0"/>
              <w:rPr>
                <w:sz w:val="20"/>
                <w:szCs w:val="20"/>
                <w:color w:val="auto"/>
              </w:rPr>
            </w:pPr>
            <w:r>
              <w:rPr>
                <w:rFonts w:ascii="Arial" w:cs="Arial" w:eastAsia="Arial" w:hAnsi="Arial"/>
                <w:sz w:val="20"/>
                <w:szCs w:val="20"/>
                <w:color w:val="auto"/>
              </w:rPr>
              <w:t>2021</w:t>
            </w:r>
          </w:p>
        </w:tc>
        <w:tc>
          <w:tcPr>
            <w:tcW w:w="6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10,167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FF0FC"/>
            </w:tcBorders>
          </w:tcPr>
          <w:p>
            <w:pPr>
              <w:jc w:val="right"/>
              <w:ind w:right="3139"/>
              <w:spacing w:after="0"/>
              <w:rPr>
                <w:sz w:val="20"/>
                <w:szCs w:val="20"/>
                <w:color w:val="auto"/>
              </w:rPr>
            </w:pPr>
            <w:r>
              <w:rPr>
                <w:rFonts w:ascii="Arial" w:cs="Arial" w:eastAsia="Arial" w:hAnsi="Arial"/>
                <w:sz w:val="20"/>
                <w:szCs w:val="20"/>
                <w:color w:val="auto"/>
              </w:rPr>
              <w:t>2022</w:t>
            </w:r>
          </w:p>
        </w:tc>
        <w:tc>
          <w:tcPr>
            <w:tcW w:w="61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3,998</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Borders>
              <w:bottom w:val="single" w:sz="8" w:color="CFF0FC"/>
            </w:tcBorders>
            <w:shd w:val="clear" w:color="auto" w:fill="CFF0FC"/>
          </w:tcPr>
          <w:p>
            <w:pPr>
              <w:spacing w:after="0"/>
              <w:rPr>
                <w:sz w:val="21"/>
                <w:szCs w:val="21"/>
                <w:color w:val="auto"/>
              </w:rPr>
            </w:pPr>
          </w:p>
        </w:tc>
        <w:tc>
          <w:tcPr>
            <w:tcW w:w="6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29,034</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6140" w:type="dxa"/>
            <w:vAlign w:val="bottom"/>
            <w:vMerge w:val="restart"/>
          </w:tcPr>
          <w:p>
            <w:pPr>
              <w:jc w:val="right"/>
              <w:ind w:right="4086"/>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3880" w:type="dxa"/>
            <w:vAlign w:val="bottom"/>
          </w:tcPr>
          <w:p>
            <w:pPr>
              <w:spacing w:after="0"/>
              <w:rPr>
                <w:sz w:val="24"/>
                <w:szCs w:val="24"/>
                <w:color w:val="auto"/>
              </w:rPr>
            </w:pPr>
          </w:p>
        </w:tc>
        <w:tc>
          <w:tcPr>
            <w:tcW w:w="6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880" w:type="dxa"/>
            <w:vAlign w:val="bottom"/>
            <w:tcBorders>
              <w:bottom w:val="single" w:sz="8" w:color="9A9A9A"/>
            </w:tcBorders>
          </w:tcPr>
          <w:p>
            <w:pPr>
              <w:spacing w:after="0"/>
              <w:rPr>
                <w:sz w:val="9"/>
                <w:szCs w:val="9"/>
                <w:color w:val="auto"/>
              </w:rPr>
            </w:pPr>
          </w:p>
        </w:tc>
        <w:tc>
          <w:tcPr>
            <w:tcW w:w="6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42" w:name="page143"/>
    <w:bookmarkEnd w:id="142"/>
    <w:p>
      <w:pPr>
        <w:ind w:right="40" w:firstLine="598"/>
        <w:spacing w:after="0" w:line="261" w:lineRule="auto"/>
        <w:rPr>
          <w:sz w:val="20"/>
          <w:szCs w:val="20"/>
          <w:color w:val="auto"/>
        </w:rPr>
      </w:pPr>
      <w:r>
        <w:rPr>
          <w:rFonts w:ascii="Arial" w:cs="Arial" w:eastAsia="Arial" w:hAnsi="Arial"/>
          <w:sz w:val="19"/>
          <w:szCs w:val="19"/>
          <w:color w:val="auto"/>
        </w:rPr>
        <w:t>The Company completed annual goodwill impairment tests as of October 1, 2019, 2018 and 2017. For purposes of testing for impairment, the Company assigned all recorded goodwill to the reporting units originally intended to benefit from past business combinations, which has historically been the Company’s core relationship business reporting units. Goodwill was generally assigned based on the implied fair value of the acquired goodwill applicable to the benefited reporting units at the time of each respective acquisition. The implied fair value of the goodwill was determined as the difference between the estimated incremental overall fair value of the reporting unit and the estimated fair value of the net assets assigned to the reporting unit as of each respective acquisition date. To test for goodwill impairment at each evaluation date, the Company compared the estimated fair value of each of its reporting units to their respective carrying amounts and certain other assets and liabilities assigned to the reporting unit, including goodwill and core deposit and other intangible assets. The methodologies used to estimate fair values of reporting units as of the acquisition dates and as of the evaluation dates were similar. For the Company’s core customer relationship business reporting units, fair value was estimated as the present value of the expected future cash flows of the reporting unit. Based on the results of the goodwill impairment tests, the Company concluded that the amount of recorded goodwill was not impaired at the respective testing dates.</w:t>
      </w:r>
    </w:p>
    <w:p>
      <w:pPr>
        <w:spacing w:after="0" w:line="5" w:lineRule="exact"/>
        <w:rPr>
          <w:sz w:val="20"/>
          <w:szCs w:val="20"/>
          <w:color w:val="auto"/>
        </w:rPr>
      </w:pPr>
    </w:p>
    <w:p>
      <w:pPr>
        <w:ind w:right="240" w:firstLine="598"/>
        <w:spacing w:after="0" w:line="256" w:lineRule="auto"/>
        <w:rPr>
          <w:sz w:val="20"/>
          <w:szCs w:val="20"/>
          <w:color w:val="auto"/>
        </w:rPr>
      </w:pPr>
      <w:r>
        <w:rPr>
          <w:rFonts w:ascii="Arial" w:cs="Arial" w:eastAsia="Arial" w:hAnsi="Arial"/>
          <w:sz w:val="20"/>
          <w:szCs w:val="20"/>
          <w:color w:val="auto"/>
        </w:rPr>
        <w:t>A summary of goodwill assigned to each of the Company’s reportable segments as of December 31, 2019 and 2018 for purposes of testing for impairment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4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040" w:type="dxa"/>
            <w:vAlign w:val="bottom"/>
            <w:shd w:val="clear" w:color="auto" w:fill="CFF0FC"/>
          </w:tcPr>
          <w:p>
            <w:pPr>
              <w:spacing w:after="0"/>
              <w:rPr>
                <w:sz w:val="20"/>
                <w:szCs w:val="20"/>
                <w:color w:val="auto"/>
              </w:rPr>
            </w:pPr>
            <w:r>
              <w:rPr>
                <w:rFonts w:ascii="Arial" w:cs="Arial" w:eastAsia="Arial" w:hAnsi="Arial"/>
                <w:sz w:val="20"/>
                <w:szCs w:val="20"/>
                <w:color w:val="auto"/>
              </w:rPr>
              <w:t>Business Banking</w:t>
            </w:r>
          </w:p>
        </w:tc>
        <w:tc>
          <w:tcPr>
            <w:tcW w:w="60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864,366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0"/>
                <w:szCs w:val="20"/>
                <w:color w:val="auto"/>
              </w:rPr>
            </w:pPr>
            <w:r>
              <w:rPr>
                <w:rFonts w:ascii="Arial" w:cs="Arial" w:eastAsia="Arial" w:hAnsi="Arial"/>
                <w:sz w:val="20"/>
                <w:szCs w:val="20"/>
                <w:color w:val="auto"/>
              </w:rPr>
              <w:t>Commercial Banking</w:t>
            </w:r>
          </w:p>
        </w:tc>
        <w:tc>
          <w:tcPr>
            <w:tcW w:w="5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1,401,873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40" w:type="dxa"/>
            <w:vAlign w:val="bottom"/>
            <w:shd w:val="clear" w:color="auto" w:fill="CFF0FC"/>
          </w:tcPr>
          <w:p>
            <w:pPr>
              <w:spacing w:after="0"/>
              <w:rPr>
                <w:sz w:val="20"/>
                <w:szCs w:val="20"/>
                <w:color w:val="auto"/>
              </w:rPr>
            </w:pPr>
            <w:r>
              <w:rPr>
                <w:rFonts w:ascii="Arial" w:cs="Arial" w:eastAsia="Arial" w:hAnsi="Arial"/>
                <w:sz w:val="20"/>
                <w:szCs w:val="20"/>
                <w:color w:val="auto"/>
              </w:rPr>
              <w:t>Commercial Real Estate</w:t>
            </w:r>
          </w:p>
        </w:tc>
        <w:tc>
          <w:tcPr>
            <w:tcW w:w="5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654,389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0"/>
                <w:szCs w:val="20"/>
                <w:color w:val="auto"/>
              </w:rPr>
            </w:pPr>
            <w:r>
              <w:rPr>
                <w:rFonts w:ascii="Arial" w:cs="Arial" w:eastAsia="Arial" w:hAnsi="Arial"/>
                <w:sz w:val="20"/>
                <w:szCs w:val="20"/>
                <w:color w:val="auto"/>
              </w:rPr>
              <w:t>Discretionary Portfolio</w:t>
            </w:r>
          </w:p>
        </w:tc>
        <w:tc>
          <w:tcPr>
            <w:tcW w:w="5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4040" w:type="dxa"/>
            <w:vAlign w:val="bottom"/>
            <w:shd w:val="clear" w:color="auto" w:fill="CFF0FC"/>
          </w:tcPr>
          <w:p>
            <w:pPr>
              <w:spacing w:after="0"/>
              <w:rPr>
                <w:sz w:val="20"/>
                <w:szCs w:val="20"/>
                <w:color w:val="auto"/>
              </w:rPr>
            </w:pPr>
            <w:r>
              <w:rPr>
                <w:rFonts w:ascii="Arial" w:cs="Arial" w:eastAsia="Arial" w:hAnsi="Arial"/>
                <w:sz w:val="20"/>
                <w:szCs w:val="20"/>
                <w:color w:val="auto"/>
              </w:rPr>
              <w:t>Residential Mortgage Banking</w:t>
            </w:r>
          </w:p>
        </w:tc>
        <w:tc>
          <w:tcPr>
            <w:tcW w:w="5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0"/>
                <w:szCs w:val="20"/>
                <w:color w:val="auto"/>
              </w:rPr>
            </w:pPr>
            <w:r>
              <w:rPr>
                <w:rFonts w:ascii="Arial" w:cs="Arial" w:eastAsia="Arial" w:hAnsi="Arial"/>
                <w:sz w:val="20"/>
                <w:szCs w:val="20"/>
                <w:color w:val="auto"/>
              </w:rPr>
              <w:t>Retail Banking</w:t>
            </w:r>
          </w:p>
        </w:tc>
        <w:tc>
          <w:tcPr>
            <w:tcW w:w="5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1,309,191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40" w:type="dxa"/>
            <w:vAlign w:val="bottom"/>
            <w:shd w:val="clear" w:color="auto" w:fill="CFF0FC"/>
          </w:tcPr>
          <w:p>
            <w:pPr>
              <w:spacing w:after="0"/>
              <w:rPr>
                <w:sz w:val="20"/>
                <w:szCs w:val="20"/>
                <w:color w:val="auto"/>
              </w:rPr>
            </w:pPr>
            <w:r>
              <w:rPr>
                <w:rFonts w:ascii="Arial" w:cs="Arial" w:eastAsia="Arial" w:hAnsi="Arial"/>
                <w:sz w:val="20"/>
                <w:szCs w:val="20"/>
                <w:color w:val="auto"/>
              </w:rPr>
              <w:t>All Other</w:t>
            </w:r>
          </w:p>
        </w:tc>
        <w:tc>
          <w:tcPr>
            <w:tcW w:w="588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363,293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20"/>
                <w:szCs w:val="20"/>
                <w:color w:val="auto"/>
              </w:rPr>
              <w:t>Total</w:t>
            </w:r>
          </w:p>
        </w:tc>
        <w:tc>
          <w:tcPr>
            <w:tcW w:w="58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4,593,112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5880" w:type="dxa"/>
            <w:vAlign w:val="bottom"/>
            <w:vMerge w:val="restart"/>
          </w:tcPr>
          <w:p>
            <w:pPr>
              <w:jc w:val="right"/>
              <w:ind w:right="3986"/>
              <w:spacing w:after="0"/>
              <w:rPr>
                <w:sz w:val="20"/>
                <w:szCs w:val="20"/>
                <w:color w:val="auto"/>
              </w:rPr>
            </w:pPr>
            <w:r>
              <w:rPr>
                <w:rFonts w:ascii="Arial" w:cs="Arial" w:eastAsia="Arial" w:hAnsi="Arial"/>
                <w:sz w:val="18"/>
                <w:szCs w:val="18"/>
                <w:color w:val="auto"/>
              </w:rPr>
              <w:t>143</w:t>
            </w: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404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40" w:type="dxa"/>
            <w:vAlign w:val="bottom"/>
            <w:tcBorders>
              <w:bottom w:val="single" w:sz="8" w:color="9A9A9A"/>
            </w:tcBorders>
          </w:tcPr>
          <w:p>
            <w:pPr>
              <w:spacing w:after="0"/>
              <w:rPr>
                <w:sz w:val="9"/>
                <w:szCs w:val="9"/>
                <w:color w:val="auto"/>
              </w:rPr>
            </w:pPr>
          </w:p>
        </w:tc>
        <w:tc>
          <w:tcPr>
            <w:tcW w:w="58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43" w:name="page144"/>
    <w:bookmarkEnd w:id="143"/>
    <w:p>
      <w:pPr>
        <w:spacing w:after="0"/>
        <w:tabs>
          <w:tab w:leader="none" w:pos="34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7"/>
          <w:szCs w:val="17"/>
          <w:b w:val="1"/>
          <w:bCs w:val="1"/>
          <w:color w:val="auto"/>
        </w:rPr>
        <w:t>Borrowings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The amounts and interest rates of short-term borrowings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307"/>
              <w:spacing w:after="0"/>
              <w:rPr>
                <w:sz w:val="20"/>
                <w:szCs w:val="20"/>
                <w:color w:val="auto"/>
              </w:rPr>
            </w:pPr>
            <w:r>
              <w:rPr>
                <w:rFonts w:ascii="Arial" w:cs="Arial" w:eastAsia="Arial" w:hAnsi="Arial"/>
                <w:sz w:val="14"/>
                <w:szCs w:val="14"/>
                <w:b w:val="1"/>
                <w:bCs w:val="1"/>
                <w:color w:val="auto"/>
                <w:w w:val="89"/>
              </w:rPr>
              <w:t>Federal Funds</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307"/>
              <w:spacing w:after="0" w:line="145" w:lineRule="exact"/>
              <w:rPr>
                <w:sz w:val="20"/>
                <w:szCs w:val="20"/>
                <w:color w:val="auto"/>
              </w:rPr>
            </w:pPr>
            <w:r>
              <w:rPr>
                <w:rFonts w:ascii="Arial" w:cs="Arial" w:eastAsia="Arial" w:hAnsi="Arial"/>
                <w:sz w:val="14"/>
                <w:szCs w:val="14"/>
                <w:b w:val="1"/>
                <w:bCs w:val="1"/>
                <w:color w:val="auto"/>
                <w:w w:val="86"/>
              </w:rPr>
              <w:t>Purchased</w:t>
            </w:r>
          </w:p>
        </w:tc>
        <w:tc>
          <w:tcPr>
            <w:tcW w:w="300" w:type="dxa"/>
            <w:vAlign w:val="bottom"/>
          </w:tcPr>
          <w:p>
            <w:pPr>
              <w:spacing w:after="0"/>
              <w:rPr>
                <w:sz w:val="12"/>
                <w:szCs w:val="12"/>
                <w:color w:val="auto"/>
              </w:rPr>
            </w:pPr>
          </w:p>
        </w:tc>
        <w:tc>
          <w:tcPr>
            <w:tcW w:w="1380" w:type="dxa"/>
            <w:vAlign w:val="bottom"/>
            <w:vMerge w:val="restart"/>
          </w:tcPr>
          <w:p>
            <w:pPr>
              <w:jc w:val="center"/>
              <w:ind w:right="364"/>
              <w:spacing w:after="0"/>
              <w:rPr>
                <w:sz w:val="20"/>
                <w:szCs w:val="20"/>
                <w:color w:val="auto"/>
              </w:rPr>
            </w:pPr>
            <w:r>
              <w:rPr>
                <w:rFonts w:ascii="Arial" w:cs="Arial" w:eastAsia="Arial" w:hAnsi="Arial"/>
                <w:sz w:val="14"/>
                <w:szCs w:val="14"/>
                <w:b w:val="1"/>
                <w:bCs w:val="1"/>
                <w:color w:val="auto"/>
                <w:w w:val="96"/>
              </w:rPr>
              <w:t>Other</w:t>
            </w: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307"/>
              <w:spacing w:after="0" w:line="145" w:lineRule="exact"/>
              <w:rPr>
                <w:sz w:val="20"/>
                <w:szCs w:val="20"/>
                <w:color w:val="auto"/>
              </w:rPr>
            </w:pPr>
            <w:r>
              <w:rPr>
                <w:rFonts w:ascii="Arial" w:cs="Arial" w:eastAsia="Arial" w:hAnsi="Arial"/>
                <w:sz w:val="14"/>
                <w:szCs w:val="14"/>
                <w:b w:val="1"/>
                <w:bCs w:val="1"/>
                <w:color w:val="auto"/>
                <w:w w:val="88"/>
              </w:rPr>
              <w:t>and</w:t>
            </w:r>
          </w:p>
        </w:tc>
        <w:tc>
          <w:tcPr>
            <w:tcW w:w="3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307"/>
              <w:spacing w:after="0" w:line="145" w:lineRule="exact"/>
              <w:rPr>
                <w:sz w:val="20"/>
                <w:szCs w:val="20"/>
                <w:color w:val="auto"/>
              </w:rPr>
            </w:pPr>
            <w:r>
              <w:rPr>
                <w:rFonts w:ascii="Arial" w:cs="Arial" w:eastAsia="Arial" w:hAnsi="Arial"/>
                <w:sz w:val="14"/>
                <w:szCs w:val="14"/>
                <w:b w:val="1"/>
                <w:bCs w:val="1"/>
                <w:color w:val="auto"/>
                <w:w w:val="87"/>
              </w:rPr>
              <w:t>Repurchase</w:t>
            </w:r>
          </w:p>
        </w:tc>
        <w:tc>
          <w:tcPr>
            <w:tcW w:w="300" w:type="dxa"/>
            <w:vAlign w:val="bottom"/>
          </w:tcPr>
          <w:p>
            <w:pPr>
              <w:spacing w:after="0"/>
              <w:rPr>
                <w:sz w:val="12"/>
                <w:szCs w:val="12"/>
                <w:color w:val="auto"/>
              </w:rPr>
            </w:pPr>
          </w:p>
        </w:tc>
        <w:tc>
          <w:tcPr>
            <w:tcW w:w="1380" w:type="dxa"/>
            <w:vAlign w:val="bottom"/>
          </w:tcPr>
          <w:p>
            <w:pPr>
              <w:jc w:val="center"/>
              <w:ind w:right="384"/>
              <w:spacing w:after="0" w:line="145" w:lineRule="exact"/>
              <w:rPr>
                <w:sz w:val="20"/>
                <w:szCs w:val="20"/>
                <w:color w:val="auto"/>
              </w:rPr>
            </w:pPr>
            <w:r>
              <w:rPr>
                <w:rFonts w:ascii="Arial" w:cs="Arial" w:eastAsia="Arial" w:hAnsi="Arial"/>
                <w:sz w:val="14"/>
                <w:szCs w:val="14"/>
                <w:b w:val="1"/>
                <w:bCs w:val="1"/>
                <w:color w:val="auto"/>
                <w:w w:val="92"/>
              </w:rPr>
              <w:t>Short-term</w:t>
            </w:r>
          </w:p>
        </w:tc>
        <w:tc>
          <w:tcPr>
            <w:tcW w:w="380" w:type="dxa"/>
            <w:vAlign w:val="bottom"/>
          </w:tcPr>
          <w:p>
            <w:pPr>
              <w:spacing w:after="0"/>
              <w:rPr>
                <w:sz w:val="12"/>
                <w:szCs w:val="12"/>
                <w:color w:val="auto"/>
              </w:rPr>
            </w:pPr>
          </w:p>
        </w:tc>
        <w:tc>
          <w:tcPr>
            <w:tcW w:w="122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4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327"/>
              <w:spacing w:after="0"/>
              <w:rPr>
                <w:sz w:val="20"/>
                <w:szCs w:val="20"/>
                <w:color w:val="auto"/>
              </w:rPr>
            </w:pPr>
            <w:r>
              <w:rPr>
                <w:rFonts w:ascii="Arial" w:cs="Arial" w:eastAsia="Arial" w:hAnsi="Arial"/>
                <w:sz w:val="14"/>
                <w:szCs w:val="14"/>
                <w:b w:val="1"/>
                <w:bCs w:val="1"/>
                <w:color w:val="auto"/>
                <w:w w:val="88"/>
              </w:rPr>
              <w:t>Agreements</w:t>
            </w:r>
          </w:p>
        </w:tc>
        <w:tc>
          <w:tcPr>
            <w:tcW w:w="300" w:type="dxa"/>
            <w:vAlign w:val="bottom"/>
          </w:tcPr>
          <w:p>
            <w:pPr>
              <w:spacing w:after="0"/>
              <w:rPr>
                <w:sz w:val="14"/>
                <w:szCs w:val="14"/>
                <w:color w:val="auto"/>
              </w:rPr>
            </w:pPr>
          </w:p>
        </w:tc>
        <w:tc>
          <w:tcPr>
            <w:tcW w:w="1380" w:type="dxa"/>
            <w:vAlign w:val="bottom"/>
          </w:tcPr>
          <w:p>
            <w:pPr>
              <w:jc w:val="center"/>
              <w:ind w:right="384"/>
              <w:spacing w:after="0"/>
              <w:rPr>
                <w:sz w:val="20"/>
                <w:szCs w:val="20"/>
                <w:color w:val="auto"/>
              </w:rPr>
            </w:pPr>
            <w:r>
              <w:rPr>
                <w:rFonts w:ascii="Arial" w:cs="Arial" w:eastAsia="Arial" w:hAnsi="Arial"/>
                <w:sz w:val="14"/>
                <w:szCs w:val="14"/>
                <w:b w:val="1"/>
                <w:bCs w:val="1"/>
                <w:color w:val="auto"/>
                <w:w w:val="89"/>
              </w:rPr>
              <w:t>Borrowings</w:t>
            </w:r>
          </w:p>
        </w:tc>
        <w:tc>
          <w:tcPr>
            <w:tcW w:w="3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8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ind w:left="100"/>
              <w:spacing w:after="0" w:line="151" w:lineRule="exact"/>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FF0FC"/>
          </w:tcPr>
          <w:p>
            <w:pPr>
              <w:spacing w:after="0"/>
              <w:rPr>
                <w:sz w:val="20"/>
                <w:szCs w:val="20"/>
                <w:color w:val="auto"/>
              </w:rPr>
            </w:pPr>
            <w:r>
              <w:rPr>
                <w:rFonts w:ascii="Arial" w:cs="Arial" w:eastAsia="Arial" w:hAnsi="Arial"/>
                <w:sz w:val="20"/>
                <w:szCs w:val="20"/>
                <w:color w:val="auto"/>
              </w:rPr>
              <w:t>At December 31, 2019</w:t>
            </w:r>
          </w:p>
        </w:tc>
        <w:tc>
          <w:tcPr>
            <w:tcW w:w="1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40"/>
              <w:spacing w:after="0"/>
              <w:rPr>
                <w:sz w:val="20"/>
                <w:szCs w:val="20"/>
                <w:color w:val="auto"/>
              </w:rPr>
            </w:pPr>
            <w:r>
              <w:rPr>
                <w:rFonts w:ascii="Arial" w:cs="Arial" w:eastAsia="Arial" w:hAnsi="Arial"/>
                <w:sz w:val="20"/>
                <w:szCs w:val="20"/>
                <w:color w:val="auto"/>
              </w:rPr>
              <w:t>Amount outstanding</w:t>
            </w:r>
          </w:p>
        </w:tc>
        <w:tc>
          <w:tcPr>
            <w:tcW w:w="18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167"/>
              <w:spacing w:after="0"/>
              <w:rPr>
                <w:sz w:val="20"/>
                <w:szCs w:val="20"/>
                <w:color w:val="auto"/>
              </w:rPr>
            </w:pPr>
            <w:r>
              <w:rPr>
                <w:rFonts w:ascii="Arial" w:cs="Arial" w:eastAsia="Arial" w:hAnsi="Arial"/>
                <w:sz w:val="20"/>
                <w:szCs w:val="20"/>
                <w:color w:val="auto"/>
              </w:rPr>
              <w:t>62,363</w:t>
            </w:r>
          </w:p>
        </w:tc>
        <w:tc>
          <w:tcPr>
            <w:tcW w:w="300" w:type="dxa"/>
            <w:vAlign w:val="bottom"/>
          </w:tcPr>
          <w:p>
            <w:pPr>
              <w:ind w:left="100"/>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164"/>
              <w:spacing w:after="0"/>
              <w:rPr>
                <w:sz w:val="20"/>
                <w:szCs w:val="20"/>
                <w:color w:val="auto"/>
              </w:rPr>
            </w:pPr>
            <w:r>
              <w:rPr>
                <w:rFonts w:ascii="Arial" w:cs="Arial" w:eastAsia="Arial" w:hAnsi="Arial"/>
                <w:sz w:val="20"/>
                <w:szCs w:val="20"/>
                <w:color w:val="auto"/>
              </w:rPr>
              <w:t>—</w:t>
            </w:r>
          </w:p>
        </w:tc>
        <w:tc>
          <w:tcPr>
            <w:tcW w:w="380" w:type="dxa"/>
            <w:vAlign w:val="bottom"/>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62,363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Weighted-average interest rate</w:t>
            </w:r>
          </w:p>
        </w:tc>
        <w:tc>
          <w:tcPr>
            <w:tcW w:w="1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0.14%</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4"/>
              <w:spacing w:after="0"/>
              <w:rPr>
                <w:sz w:val="20"/>
                <w:szCs w:val="20"/>
                <w:color w:val="auto"/>
              </w:rPr>
            </w:pPr>
            <w:r>
              <w:rPr>
                <w:rFonts w:ascii="Arial" w:cs="Arial" w:eastAsia="Arial" w:hAnsi="Arial"/>
                <w:sz w:val="20"/>
                <w:szCs w:val="20"/>
                <w:color w:val="auto"/>
              </w:rPr>
              <w:t>—</w:t>
            </w:r>
          </w:p>
        </w:tc>
        <w:tc>
          <w:tcPr>
            <w:tcW w:w="3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0.14%</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0"/>
                <w:szCs w:val="20"/>
                <w:color w:val="auto"/>
              </w:rPr>
            </w:pPr>
            <w:r>
              <w:rPr>
                <w:rFonts w:ascii="Arial" w:cs="Arial" w:eastAsia="Arial" w:hAnsi="Arial"/>
                <w:sz w:val="20"/>
                <w:szCs w:val="20"/>
                <w:color w:val="auto"/>
              </w:rPr>
              <w:t>For the year ended December 31, 2019</w:t>
            </w:r>
          </w:p>
        </w:tc>
        <w:tc>
          <w:tcPr>
            <w:tcW w:w="1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Highest amount at a month-end</w:t>
            </w: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shd w:val="clear" w:color="auto" w:fill="CFF0FC"/>
          </w:tcPr>
          <w:p>
            <w:pPr>
              <w:jc w:val="right"/>
              <w:ind w:right="167"/>
              <w:spacing w:after="0"/>
              <w:rPr>
                <w:sz w:val="20"/>
                <w:szCs w:val="20"/>
                <w:color w:val="auto"/>
              </w:rPr>
            </w:pPr>
            <w:r>
              <w:rPr>
                <w:rFonts w:ascii="Arial" w:cs="Arial" w:eastAsia="Arial" w:hAnsi="Arial"/>
                <w:sz w:val="20"/>
                <w:szCs w:val="20"/>
                <w:color w:val="auto"/>
              </w:rPr>
              <w:t>3,402,566</w:t>
            </w:r>
          </w:p>
        </w:tc>
        <w:tc>
          <w:tcPr>
            <w:tcW w:w="3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FF0FC"/>
          </w:tcPr>
          <w:p>
            <w:pPr>
              <w:jc w:val="right"/>
              <w:ind w:right="164"/>
              <w:spacing w:after="0"/>
              <w:rPr>
                <w:sz w:val="20"/>
                <w:szCs w:val="20"/>
                <w:color w:val="auto"/>
              </w:rPr>
            </w:pPr>
            <w:r>
              <w:rPr>
                <w:rFonts w:ascii="Arial" w:cs="Arial" w:eastAsia="Arial" w:hAnsi="Arial"/>
                <w:sz w:val="20"/>
                <w:szCs w:val="20"/>
                <w:color w:val="auto"/>
              </w:rPr>
              <w:t>5,000,000</w:t>
            </w: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40"/>
              <w:spacing w:after="0"/>
              <w:rPr>
                <w:sz w:val="20"/>
                <w:szCs w:val="20"/>
                <w:color w:val="auto"/>
              </w:rPr>
            </w:pPr>
            <w:r>
              <w:rPr>
                <w:rFonts w:ascii="Arial" w:cs="Arial" w:eastAsia="Arial" w:hAnsi="Arial"/>
                <w:sz w:val="20"/>
                <w:szCs w:val="20"/>
                <w:color w:val="auto"/>
              </w:rPr>
              <w:t>Daily-average amount outstanding</w:t>
            </w:r>
          </w:p>
        </w:tc>
        <w:tc>
          <w:tcPr>
            <w:tcW w:w="1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7"/>
              <w:spacing w:after="0"/>
              <w:rPr>
                <w:sz w:val="20"/>
                <w:szCs w:val="20"/>
                <w:color w:val="auto"/>
              </w:rPr>
            </w:pPr>
            <w:r>
              <w:rPr>
                <w:rFonts w:ascii="Arial" w:cs="Arial" w:eastAsia="Arial" w:hAnsi="Arial"/>
                <w:sz w:val="20"/>
                <w:szCs w:val="20"/>
                <w:color w:val="auto"/>
              </w:rPr>
              <w:t>260,322</w:t>
            </w:r>
          </w:p>
        </w:tc>
        <w:tc>
          <w:tcPr>
            <w:tcW w:w="300" w:type="dxa"/>
            <w:vAlign w:val="bottom"/>
          </w:tcPr>
          <w:p>
            <w:pPr>
              <w:spacing w:after="0"/>
              <w:rPr>
                <w:sz w:val="21"/>
                <w:szCs w:val="21"/>
                <w:color w:val="auto"/>
              </w:rPr>
            </w:pPr>
          </w:p>
        </w:tc>
        <w:tc>
          <w:tcPr>
            <w:tcW w:w="1380" w:type="dxa"/>
            <w:vAlign w:val="bottom"/>
          </w:tcPr>
          <w:p>
            <w:pPr>
              <w:jc w:val="right"/>
              <w:ind w:right="164"/>
              <w:spacing w:after="0"/>
              <w:rPr>
                <w:sz w:val="20"/>
                <w:szCs w:val="20"/>
                <w:color w:val="auto"/>
              </w:rPr>
            </w:pPr>
            <w:r>
              <w:rPr>
                <w:rFonts w:ascii="Arial" w:cs="Arial" w:eastAsia="Arial" w:hAnsi="Arial"/>
                <w:sz w:val="20"/>
                <w:szCs w:val="20"/>
                <w:color w:val="auto"/>
              </w:rPr>
              <w:t>799,068</w:t>
            </w:r>
          </w:p>
        </w:tc>
        <w:tc>
          <w:tcPr>
            <w:tcW w:w="380" w:type="dxa"/>
            <w:vAlign w:val="bottom"/>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1,059,390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Weighted-average interest rate</w:t>
            </w:r>
          </w:p>
        </w:tc>
        <w:tc>
          <w:tcPr>
            <w:tcW w:w="1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1.86%</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2.49%</w:t>
            </w:r>
          </w:p>
        </w:tc>
        <w:tc>
          <w:tcPr>
            <w:tcW w:w="3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2.34%</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0"/>
                <w:szCs w:val="20"/>
                <w:color w:val="auto"/>
              </w:rPr>
            </w:pPr>
            <w:r>
              <w:rPr>
                <w:rFonts w:ascii="Arial" w:cs="Arial" w:eastAsia="Arial" w:hAnsi="Arial"/>
                <w:sz w:val="20"/>
                <w:szCs w:val="20"/>
                <w:color w:val="auto"/>
              </w:rPr>
              <w:t>At December 31, 2018</w:t>
            </w:r>
          </w:p>
        </w:tc>
        <w:tc>
          <w:tcPr>
            <w:tcW w:w="1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Amount outstanding</w:t>
            </w: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shd w:val="clear" w:color="auto" w:fill="CFF0FC"/>
          </w:tcPr>
          <w:p>
            <w:pPr>
              <w:jc w:val="right"/>
              <w:ind w:right="167"/>
              <w:spacing w:after="0"/>
              <w:rPr>
                <w:sz w:val="20"/>
                <w:szCs w:val="20"/>
                <w:color w:val="auto"/>
              </w:rPr>
            </w:pPr>
            <w:r>
              <w:rPr>
                <w:rFonts w:ascii="Arial" w:cs="Arial" w:eastAsia="Arial" w:hAnsi="Arial"/>
                <w:sz w:val="20"/>
                <w:szCs w:val="20"/>
                <w:color w:val="auto"/>
              </w:rPr>
              <w:t>198,378</w:t>
            </w:r>
          </w:p>
        </w:tc>
        <w:tc>
          <w:tcPr>
            <w:tcW w:w="3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FF0FC"/>
          </w:tcPr>
          <w:p>
            <w:pPr>
              <w:jc w:val="right"/>
              <w:ind w:right="164"/>
              <w:spacing w:after="0"/>
              <w:rPr>
                <w:sz w:val="20"/>
                <w:szCs w:val="20"/>
                <w:color w:val="auto"/>
              </w:rPr>
            </w:pPr>
            <w:r>
              <w:rPr>
                <w:rFonts w:ascii="Arial" w:cs="Arial" w:eastAsia="Arial" w:hAnsi="Arial"/>
                <w:sz w:val="20"/>
                <w:szCs w:val="20"/>
                <w:color w:val="auto"/>
              </w:rPr>
              <w:t>4,200,000</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4,398,378</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40"/>
              <w:spacing w:after="0"/>
              <w:rPr>
                <w:sz w:val="20"/>
                <w:szCs w:val="20"/>
                <w:color w:val="auto"/>
              </w:rPr>
            </w:pPr>
            <w:r>
              <w:rPr>
                <w:rFonts w:ascii="Arial" w:cs="Arial" w:eastAsia="Arial" w:hAnsi="Arial"/>
                <w:sz w:val="20"/>
                <w:szCs w:val="20"/>
                <w:color w:val="auto"/>
              </w:rPr>
              <w:t>Weighted-average interest rate</w:t>
            </w:r>
          </w:p>
        </w:tc>
        <w:tc>
          <w:tcPr>
            <w:tcW w:w="1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1.68%</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2.63%</w:t>
            </w:r>
          </w:p>
        </w:tc>
        <w:tc>
          <w:tcPr>
            <w:tcW w:w="38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20"/>
                <w:szCs w:val="20"/>
                <w:color w:val="auto"/>
              </w:rPr>
              <w:t>2.58%</w:t>
            </w:r>
          </w:p>
        </w:tc>
        <w:tc>
          <w:tcPr>
            <w:tcW w:w="0" w:type="dxa"/>
            <w:vAlign w:val="bottom"/>
          </w:tcPr>
          <w:p>
            <w:pPr>
              <w:spacing w:after="0"/>
              <w:rPr>
                <w:sz w:val="1"/>
                <w:szCs w:val="1"/>
                <w:color w:val="auto"/>
              </w:rPr>
            </w:pPr>
          </w:p>
        </w:tc>
      </w:tr>
      <w:tr>
        <w:trPr>
          <w:trHeight w:val="250"/>
        </w:trPr>
        <w:tc>
          <w:tcPr>
            <w:tcW w:w="4860" w:type="dxa"/>
            <w:vAlign w:val="bottom"/>
            <w:shd w:val="clear" w:color="auto" w:fill="CFF0FC"/>
          </w:tcPr>
          <w:p>
            <w:pPr>
              <w:spacing w:after="0"/>
              <w:rPr>
                <w:sz w:val="20"/>
                <w:szCs w:val="20"/>
                <w:color w:val="auto"/>
              </w:rPr>
            </w:pPr>
            <w:r>
              <w:rPr>
                <w:rFonts w:ascii="Arial" w:cs="Arial" w:eastAsia="Arial" w:hAnsi="Arial"/>
                <w:sz w:val="20"/>
                <w:szCs w:val="20"/>
                <w:color w:val="auto"/>
              </w:rPr>
              <w:t>For the year ended December 31, 2018</w:t>
            </w:r>
          </w:p>
        </w:tc>
        <w:tc>
          <w:tcPr>
            <w:tcW w:w="1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40"/>
              <w:spacing w:after="0"/>
              <w:rPr>
                <w:sz w:val="20"/>
                <w:szCs w:val="20"/>
                <w:color w:val="auto"/>
              </w:rPr>
            </w:pPr>
            <w:r>
              <w:rPr>
                <w:rFonts w:ascii="Arial" w:cs="Arial" w:eastAsia="Arial" w:hAnsi="Arial"/>
                <w:sz w:val="20"/>
                <w:szCs w:val="20"/>
                <w:color w:val="auto"/>
              </w:rPr>
              <w:t>Highest amount at a month-end</w:t>
            </w:r>
          </w:p>
        </w:tc>
        <w:tc>
          <w:tcPr>
            <w:tcW w:w="18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167"/>
              <w:spacing w:after="0"/>
              <w:rPr>
                <w:sz w:val="20"/>
                <w:szCs w:val="20"/>
                <w:color w:val="auto"/>
              </w:rPr>
            </w:pPr>
            <w:r>
              <w:rPr>
                <w:rFonts w:ascii="Arial" w:cs="Arial" w:eastAsia="Arial" w:hAnsi="Arial"/>
                <w:sz w:val="20"/>
                <w:szCs w:val="20"/>
                <w:color w:val="auto"/>
              </w:rPr>
              <w:t>2,654,416</w:t>
            </w:r>
          </w:p>
        </w:tc>
        <w:tc>
          <w:tcPr>
            <w:tcW w:w="300" w:type="dxa"/>
            <w:vAlign w:val="bottom"/>
          </w:tcPr>
          <w:p>
            <w:pPr>
              <w:ind w:left="100"/>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164"/>
              <w:spacing w:after="0"/>
              <w:rPr>
                <w:sz w:val="20"/>
                <w:szCs w:val="20"/>
                <w:color w:val="auto"/>
              </w:rPr>
            </w:pPr>
            <w:r>
              <w:rPr>
                <w:rFonts w:ascii="Arial" w:cs="Arial" w:eastAsia="Arial" w:hAnsi="Arial"/>
                <w:sz w:val="20"/>
                <w:szCs w:val="20"/>
                <w:color w:val="auto"/>
              </w:rPr>
              <w:t>4,200,000</w:t>
            </w: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Daily-average amount outstanding</w:t>
            </w:r>
          </w:p>
        </w:tc>
        <w:tc>
          <w:tcPr>
            <w:tcW w:w="1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67"/>
              <w:spacing w:after="0"/>
              <w:rPr>
                <w:sz w:val="20"/>
                <w:szCs w:val="20"/>
                <w:color w:val="auto"/>
              </w:rPr>
            </w:pPr>
            <w:r>
              <w:rPr>
                <w:rFonts w:ascii="Arial" w:cs="Arial" w:eastAsia="Arial" w:hAnsi="Arial"/>
                <w:sz w:val="20"/>
                <w:szCs w:val="20"/>
                <w:color w:val="auto"/>
              </w:rPr>
              <w:t>261,200</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4"/>
              <w:spacing w:after="0"/>
              <w:rPr>
                <w:sz w:val="20"/>
                <w:szCs w:val="20"/>
                <w:color w:val="auto"/>
              </w:rPr>
            </w:pPr>
            <w:r>
              <w:rPr>
                <w:rFonts w:ascii="Arial" w:cs="Arial" w:eastAsia="Arial" w:hAnsi="Arial"/>
                <w:sz w:val="20"/>
                <w:szCs w:val="20"/>
                <w:color w:val="auto"/>
              </w:rPr>
              <w:t>69,465</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330,665</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40"/>
              <w:spacing w:after="0"/>
              <w:rPr>
                <w:sz w:val="20"/>
                <w:szCs w:val="20"/>
                <w:color w:val="auto"/>
              </w:rPr>
            </w:pPr>
            <w:r>
              <w:rPr>
                <w:rFonts w:ascii="Arial" w:cs="Arial" w:eastAsia="Arial" w:hAnsi="Arial"/>
                <w:sz w:val="20"/>
                <w:szCs w:val="20"/>
                <w:color w:val="auto"/>
              </w:rPr>
              <w:t>Weighted-average interest rate</w:t>
            </w:r>
          </w:p>
        </w:tc>
        <w:tc>
          <w:tcPr>
            <w:tcW w:w="1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1.49%</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2.16%</w:t>
            </w:r>
          </w:p>
        </w:tc>
        <w:tc>
          <w:tcPr>
            <w:tcW w:w="38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20"/>
                <w:szCs w:val="20"/>
                <w:color w:val="auto"/>
              </w:rPr>
              <w:t>1.63%</w:t>
            </w:r>
          </w:p>
        </w:tc>
        <w:tc>
          <w:tcPr>
            <w:tcW w:w="0" w:type="dxa"/>
            <w:vAlign w:val="bottom"/>
          </w:tcPr>
          <w:p>
            <w:pPr>
              <w:spacing w:after="0"/>
              <w:rPr>
                <w:sz w:val="1"/>
                <w:szCs w:val="1"/>
                <w:color w:val="auto"/>
              </w:rPr>
            </w:pPr>
          </w:p>
        </w:tc>
      </w:tr>
      <w:tr>
        <w:trPr>
          <w:trHeight w:val="250"/>
        </w:trPr>
        <w:tc>
          <w:tcPr>
            <w:tcW w:w="4860" w:type="dxa"/>
            <w:vAlign w:val="bottom"/>
            <w:shd w:val="clear" w:color="auto" w:fill="CFF0FC"/>
          </w:tcPr>
          <w:p>
            <w:pPr>
              <w:spacing w:after="0"/>
              <w:rPr>
                <w:sz w:val="20"/>
                <w:szCs w:val="20"/>
                <w:color w:val="auto"/>
              </w:rPr>
            </w:pPr>
            <w:r>
              <w:rPr>
                <w:rFonts w:ascii="Arial" w:cs="Arial" w:eastAsia="Arial" w:hAnsi="Arial"/>
                <w:sz w:val="20"/>
                <w:szCs w:val="20"/>
                <w:color w:val="auto"/>
              </w:rPr>
              <w:t>At December 31, 2017</w:t>
            </w:r>
          </w:p>
        </w:tc>
        <w:tc>
          <w:tcPr>
            <w:tcW w:w="1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40"/>
              <w:spacing w:after="0"/>
              <w:rPr>
                <w:sz w:val="20"/>
                <w:szCs w:val="20"/>
                <w:color w:val="auto"/>
              </w:rPr>
            </w:pPr>
            <w:r>
              <w:rPr>
                <w:rFonts w:ascii="Arial" w:cs="Arial" w:eastAsia="Arial" w:hAnsi="Arial"/>
                <w:sz w:val="20"/>
                <w:szCs w:val="20"/>
                <w:color w:val="auto"/>
              </w:rPr>
              <w:t>Amount outstanding</w:t>
            </w:r>
          </w:p>
        </w:tc>
        <w:tc>
          <w:tcPr>
            <w:tcW w:w="18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167"/>
              <w:spacing w:after="0"/>
              <w:rPr>
                <w:sz w:val="20"/>
                <w:szCs w:val="20"/>
                <w:color w:val="auto"/>
              </w:rPr>
            </w:pPr>
            <w:r>
              <w:rPr>
                <w:rFonts w:ascii="Arial" w:cs="Arial" w:eastAsia="Arial" w:hAnsi="Arial"/>
                <w:sz w:val="20"/>
                <w:szCs w:val="20"/>
                <w:color w:val="auto"/>
              </w:rPr>
              <w:t>175,099</w:t>
            </w:r>
          </w:p>
        </w:tc>
        <w:tc>
          <w:tcPr>
            <w:tcW w:w="300" w:type="dxa"/>
            <w:vAlign w:val="bottom"/>
          </w:tcPr>
          <w:p>
            <w:pPr>
              <w:ind w:left="100"/>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164"/>
              <w:spacing w:after="0"/>
              <w:rPr>
                <w:sz w:val="20"/>
                <w:szCs w:val="20"/>
                <w:color w:val="auto"/>
              </w:rPr>
            </w:pPr>
            <w:r>
              <w:rPr>
                <w:rFonts w:ascii="Arial" w:cs="Arial" w:eastAsia="Arial" w:hAnsi="Arial"/>
                <w:sz w:val="20"/>
                <w:szCs w:val="20"/>
                <w:color w:val="auto"/>
              </w:rPr>
              <w:t>—</w:t>
            </w:r>
          </w:p>
        </w:tc>
        <w:tc>
          <w:tcPr>
            <w:tcW w:w="380" w:type="dxa"/>
            <w:vAlign w:val="bottom"/>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175,099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Weighted-average interest rate</w:t>
            </w:r>
          </w:p>
        </w:tc>
        <w:tc>
          <w:tcPr>
            <w:tcW w:w="1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0.92%</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4"/>
              <w:spacing w:after="0"/>
              <w:rPr>
                <w:sz w:val="20"/>
                <w:szCs w:val="20"/>
                <w:color w:val="auto"/>
              </w:rPr>
            </w:pPr>
            <w:r>
              <w:rPr>
                <w:rFonts w:ascii="Arial" w:cs="Arial" w:eastAsia="Arial" w:hAnsi="Arial"/>
                <w:sz w:val="20"/>
                <w:szCs w:val="20"/>
                <w:color w:val="auto"/>
              </w:rPr>
              <w:t>—</w:t>
            </w:r>
          </w:p>
        </w:tc>
        <w:tc>
          <w:tcPr>
            <w:tcW w:w="3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0.92%</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0"/>
                <w:szCs w:val="20"/>
                <w:color w:val="auto"/>
              </w:rPr>
            </w:pPr>
            <w:r>
              <w:rPr>
                <w:rFonts w:ascii="Arial" w:cs="Arial" w:eastAsia="Arial" w:hAnsi="Arial"/>
                <w:sz w:val="20"/>
                <w:szCs w:val="20"/>
                <w:color w:val="auto"/>
              </w:rPr>
              <w:t>For the year ended December 31, 2017</w:t>
            </w:r>
          </w:p>
        </w:tc>
        <w:tc>
          <w:tcPr>
            <w:tcW w:w="1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Highest amount at a month-end</w:t>
            </w: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shd w:val="clear" w:color="auto" w:fill="CFF0FC"/>
          </w:tcPr>
          <w:p>
            <w:pPr>
              <w:jc w:val="right"/>
              <w:ind w:right="167"/>
              <w:spacing w:after="0"/>
              <w:rPr>
                <w:sz w:val="20"/>
                <w:szCs w:val="20"/>
                <w:color w:val="auto"/>
              </w:rPr>
            </w:pPr>
            <w:r>
              <w:rPr>
                <w:rFonts w:ascii="Arial" w:cs="Arial" w:eastAsia="Arial" w:hAnsi="Arial"/>
                <w:sz w:val="20"/>
                <w:szCs w:val="20"/>
                <w:color w:val="auto"/>
              </w:rPr>
              <w:t>204,977</w:t>
            </w:r>
          </w:p>
        </w:tc>
        <w:tc>
          <w:tcPr>
            <w:tcW w:w="3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FF0FC"/>
          </w:tcPr>
          <w:p>
            <w:pPr>
              <w:jc w:val="right"/>
              <w:ind w:right="164"/>
              <w:spacing w:after="0"/>
              <w:rPr>
                <w:sz w:val="20"/>
                <w:szCs w:val="20"/>
                <w:color w:val="auto"/>
              </w:rPr>
            </w:pPr>
            <w:r>
              <w:rPr>
                <w:rFonts w:ascii="Arial" w:cs="Arial" w:eastAsia="Arial" w:hAnsi="Arial"/>
                <w:sz w:val="20"/>
                <w:szCs w:val="20"/>
                <w:color w:val="auto"/>
              </w:rPr>
              <w:t>1,500,000</w:t>
            </w: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40"/>
              <w:spacing w:after="0"/>
              <w:rPr>
                <w:sz w:val="20"/>
                <w:szCs w:val="20"/>
                <w:color w:val="auto"/>
              </w:rPr>
            </w:pPr>
            <w:r>
              <w:rPr>
                <w:rFonts w:ascii="Arial" w:cs="Arial" w:eastAsia="Arial" w:hAnsi="Arial"/>
                <w:sz w:val="20"/>
                <w:szCs w:val="20"/>
                <w:color w:val="auto"/>
              </w:rPr>
              <w:t>Daily-average amount outstanding</w:t>
            </w:r>
          </w:p>
        </w:tc>
        <w:tc>
          <w:tcPr>
            <w:tcW w:w="1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7"/>
              <w:spacing w:after="0"/>
              <w:rPr>
                <w:sz w:val="20"/>
                <w:szCs w:val="20"/>
                <w:color w:val="auto"/>
              </w:rPr>
            </w:pPr>
            <w:r>
              <w:rPr>
                <w:rFonts w:ascii="Arial" w:cs="Arial" w:eastAsia="Arial" w:hAnsi="Arial"/>
                <w:sz w:val="20"/>
                <w:szCs w:val="20"/>
                <w:color w:val="auto"/>
              </w:rPr>
              <w:t>188,459</w:t>
            </w:r>
          </w:p>
        </w:tc>
        <w:tc>
          <w:tcPr>
            <w:tcW w:w="300" w:type="dxa"/>
            <w:vAlign w:val="bottom"/>
          </w:tcPr>
          <w:p>
            <w:pPr>
              <w:spacing w:after="0"/>
              <w:rPr>
                <w:sz w:val="21"/>
                <w:szCs w:val="21"/>
                <w:color w:val="auto"/>
              </w:rPr>
            </w:pPr>
          </w:p>
        </w:tc>
        <w:tc>
          <w:tcPr>
            <w:tcW w:w="1380" w:type="dxa"/>
            <w:vAlign w:val="bottom"/>
          </w:tcPr>
          <w:p>
            <w:pPr>
              <w:jc w:val="right"/>
              <w:ind w:right="164"/>
              <w:spacing w:after="0"/>
              <w:rPr>
                <w:sz w:val="20"/>
                <w:szCs w:val="20"/>
                <w:color w:val="auto"/>
              </w:rPr>
            </w:pPr>
            <w:r>
              <w:rPr>
                <w:rFonts w:ascii="Arial" w:cs="Arial" w:eastAsia="Arial" w:hAnsi="Arial"/>
                <w:sz w:val="20"/>
                <w:szCs w:val="20"/>
                <w:color w:val="auto"/>
              </w:rPr>
              <w:t>16,164</w:t>
            </w:r>
          </w:p>
        </w:tc>
        <w:tc>
          <w:tcPr>
            <w:tcW w:w="380" w:type="dxa"/>
            <w:vAlign w:val="bottom"/>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204,623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Weighted-average interest rate</w:t>
            </w:r>
          </w:p>
        </w:tc>
        <w:tc>
          <w:tcPr>
            <w:tcW w:w="1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0.69%</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1.27%</w:t>
            </w:r>
          </w:p>
        </w:tc>
        <w:tc>
          <w:tcPr>
            <w:tcW w:w="3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0.74%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ind w:right="80" w:firstLine="598"/>
        <w:spacing w:after="0" w:line="269" w:lineRule="auto"/>
        <w:rPr>
          <w:sz w:val="20"/>
          <w:szCs w:val="20"/>
          <w:color w:val="auto"/>
        </w:rPr>
      </w:pPr>
      <w:r>
        <w:rPr>
          <w:rFonts w:ascii="Arial" w:cs="Arial" w:eastAsia="Arial" w:hAnsi="Arial"/>
          <w:sz w:val="19"/>
          <w:szCs w:val="19"/>
          <w:color w:val="auto"/>
        </w:rPr>
        <w:t>Short-term borrowings have a stated maturity of one year or less at the date the Company enters into the obligation. In general, short-term repurchase agreements outstanding at December 31, 2019 matured on the next business day following year-end.</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At December 31, 2019, M&amp;T Bank had lines of credit under formal agreements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400" w:type="dxa"/>
            <w:vAlign w:val="bottom"/>
          </w:tcPr>
          <w:p>
            <w:pPr>
              <w:jc w:val="right"/>
              <w:ind w:right="350"/>
              <w:spacing w:after="0"/>
              <w:rPr>
                <w:sz w:val="20"/>
                <w:szCs w:val="20"/>
                <w:color w:val="auto"/>
              </w:rPr>
            </w:pPr>
            <w:r>
              <w:rPr>
                <w:rFonts w:ascii="Arial" w:cs="Arial" w:eastAsia="Arial" w:hAnsi="Arial"/>
                <w:sz w:val="14"/>
                <w:szCs w:val="14"/>
                <w:b w:val="1"/>
                <w:bCs w:val="1"/>
                <w:color w:val="auto"/>
                <w:w w:val="97"/>
              </w:rPr>
              <w:t>(In thousands)</w:t>
            </w:r>
          </w:p>
        </w:tc>
      </w:tr>
      <w:tr>
        <w:trPr>
          <w:trHeight w:val="142"/>
        </w:trPr>
        <w:tc>
          <w:tcPr>
            <w:tcW w:w="58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50"/>
        </w:trPr>
        <w:tc>
          <w:tcPr>
            <w:tcW w:w="5880" w:type="dxa"/>
            <w:vAlign w:val="bottom"/>
            <w:shd w:val="clear" w:color="auto" w:fill="CFF0FC"/>
          </w:tcPr>
          <w:p>
            <w:pPr>
              <w:spacing w:after="0"/>
              <w:rPr>
                <w:sz w:val="20"/>
                <w:szCs w:val="20"/>
                <w:color w:val="auto"/>
              </w:rPr>
            </w:pPr>
            <w:r>
              <w:rPr>
                <w:rFonts w:ascii="Arial" w:cs="Arial" w:eastAsia="Arial" w:hAnsi="Arial"/>
                <w:sz w:val="20"/>
                <w:szCs w:val="20"/>
                <w:color w:val="auto"/>
              </w:rPr>
              <w:t>Outstanding borrowings</w:t>
            </w:r>
          </w:p>
        </w:tc>
        <w:tc>
          <w:tcPr>
            <w:tcW w:w="4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20"/>
                <w:szCs w:val="20"/>
                <w:color w:val="auto"/>
              </w:rPr>
              <w:t>1,869</w:t>
            </w:r>
          </w:p>
        </w:tc>
      </w:tr>
      <w:tr>
        <w:trPr>
          <w:trHeight w:val="257"/>
        </w:trPr>
        <w:tc>
          <w:tcPr>
            <w:tcW w:w="5880" w:type="dxa"/>
            <w:vAlign w:val="bottom"/>
          </w:tcPr>
          <w:p>
            <w:pPr>
              <w:spacing w:after="0"/>
              <w:rPr>
                <w:sz w:val="20"/>
                <w:szCs w:val="20"/>
                <w:color w:val="auto"/>
              </w:rPr>
            </w:pPr>
            <w:r>
              <w:rPr>
                <w:rFonts w:ascii="Arial" w:cs="Arial" w:eastAsia="Arial" w:hAnsi="Arial"/>
                <w:sz w:val="20"/>
                <w:szCs w:val="20"/>
                <w:color w:val="auto"/>
              </w:rPr>
              <w:t>Unused</w:t>
            </w:r>
          </w:p>
        </w:tc>
        <w:tc>
          <w:tcPr>
            <w:tcW w:w="414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20"/>
                <w:szCs w:val="20"/>
                <w:color w:val="auto"/>
              </w:rPr>
              <w:t>32,578,083</w:t>
            </w:r>
          </w:p>
        </w:tc>
      </w:tr>
    </w:tbl>
    <w:p>
      <w:pPr>
        <w:spacing w:after="0" w:line="228" w:lineRule="exact"/>
        <w:rPr>
          <w:sz w:val="20"/>
          <w:szCs w:val="20"/>
          <w:color w:val="auto"/>
        </w:rPr>
      </w:pPr>
    </w:p>
    <w:p>
      <w:pPr>
        <w:ind w:right="300" w:firstLine="598"/>
        <w:spacing w:after="0" w:line="260" w:lineRule="auto"/>
        <w:rPr>
          <w:sz w:val="20"/>
          <w:szCs w:val="20"/>
          <w:color w:val="auto"/>
        </w:rPr>
      </w:pPr>
      <w:r>
        <w:rPr>
          <w:rFonts w:ascii="Arial" w:cs="Arial" w:eastAsia="Arial" w:hAnsi="Arial"/>
          <w:sz w:val="20"/>
          <w:szCs w:val="20"/>
          <w:color w:val="auto"/>
        </w:rPr>
        <w:t>At December 31, 2019, M&amp;T Bank had borrowing facilities available with the FHLBs whereby M&amp;T Bank could borrow up to approximately $18.2 billion. Additionally, M&amp;T Bank had an available line of credit with the Federal Reserve Bank of New York totaling approximately</w:t>
      </w:r>
    </w:p>
    <w:p>
      <w:pPr>
        <w:spacing w:after="0" w:line="1" w:lineRule="exact"/>
        <w:rPr>
          <w:sz w:val="20"/>
          <w:szCs w:val="20"/>
          <w:color w:val="auto"/>
        </w:rPr>
      </w:pPr>
    </w:p>
    <w:p>
      <w:pPr>
        <w:ind w:right="600"/>
        <w:spacing w:after="0" w:line="275" w:lineRule="auto"/>
        <w:rPr>
          <w:sz w:val="20"/>
          <w:szCs w:val="20"/>
          <w:color w:val="auto"/>
        </w:rPr>
      </w:pPr>
      <w:r>
        <w:rPr>
          <w:rFonts w:ascii="Arial" w:cs="Arial" w:eastAsia="Arial" w:hAnsi="Arial"/>
          <w:sz w:val="20"/>
          <w:szCs w:val="20"/>
          <w:color w:val="auto"/>
        </w:rPr>
        <w:t>$14.4 billion at December 31, 2019. M&amp;T Bank is required to pledge loans and investment securities as collateral for these borrowing facilities.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44" w:name="page145"/>
    <w:bookmarkEnd w:id="144"/>
    <w:p>
      <w:pPr>
        <w:ind w:left="600"/>
        <w:spacing w:after="0"/>
        <w:rPr>
          <w:sz w:val="20"/>
          <w:szCs w:val="20"/>
          <w:color w:val="auto"/>
        </w:rPr>
      </w:pPr>
      <w:r>
        <w:rPr>
          <w:rFonts w:ascii="Arial" w:cs="Arial" w:eastAsia="Arial" w:hAnsi="Arial"/>
          <w:sz w:val="20"/>
          <w:szCs w:val="20"/>
          <w:color w:val="auto"/>
        </w:rPr>
        <w:t>Long-term borrowings were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1"/>
        </w:trPr>
        <w:tc>
          <w:tcPr>
            <w:tcW w:w="8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2"/>
              <w:spacing w:after="0" w:line="151"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80"/>
              <w:spacing w:after="0" w:line="151"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1"/>
        </w:trPr>
        <w:tc>
          <w:tcPr>
            <w:tcW w:w="8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gridSpan w:val="3"/>
          </w:tcPr>
          <w:p>
            <w:pPr>
              <w:jc w:val="right"/>
              <w:ind w:right="39"/>
              <w:spacing w:after="0" w:line="151"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0"/>
        </w:trPr>
        <w:tc>
          <w:tcPr>
            <w:tcW w:w="8220" w:type="dxa"/>
            <w:vAlign w:val="bottom"/>
            <w:shd w:val="clear" w:color="auto" w:fill="CFF0FC"/>
          </w:tcPr>
          <w:p>
            <w:pPr>
              <w:spacing w:after="0"/>
              <w:rPr>
                <w:sz w:val="20"/>
                <w:szCs w:val="20"/>
                <w:color w:val="auto"/>
              </w:rPr>
            </w:pPr>
            <w:r>
              <w:rPr>
                <w:rFonts w:ascii="Arial" w:cs="Arial" w:eastAsia="Arial" w:hAnsi="Arial"/>
                <w:sz w:val="20"/>
                <w:szCs w:val="20"/>
                <w:color w:val="auto"/>
              </w:rPr>
              <w:t>Senior notes of M&amp;T:</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8220" w:type="dxa"/>
            <w:vAlign w:val="bottom"/>
          </w:tcPr>
          <w:p>
            <w:pPr>
              <w:ind w:left="240"/>
              <w:spacing w:after="0"/>
              <w:rPr>
                <w:sz w:val="20"/>
                <w:szCs w:val="20"/>
                <w:color w:val="auto"/>
              </w:rPr>
            </w:pPr>
            <w:r>
              <w:rPr>
                <w:rFonts w:ascii="Arial" w:cs="Arial" w:eastAsia="Arial" w:hAnsi="Arial"/>
                <w:sz w:val="20"/>
                <w:szCs w:val="20"/>
                <w:color w:val="auto"/>
              </w:rPr>
              <w:t>Variable rate due 2023</w:t>
            </w:r>
          </w:p>
        </w:tc>
        <w:tc>
          <w:tcPr>
            <w:tcW w:w="340" w:type="dxa"/>
            <w:vAlign w:val="bottom"/>
          </w:tcPr>
          <w:p>
            <w:pPr>
              <w:jc w:val="right"/>
              <w:ind w:right="139"/>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249,756</w:t>
            </w:r>
          </w:p>
        </w:tc>
        <w:tc>
          <w:tcPr>
            <w:tcW w:w="260" w:type="dxa"/>
            <w:vAlign w:val="bottom"/>
          </w:tcPr>
          <w:p>
            <w:pPr>
              <w:spacing w:after="0"/>
              <w:rPr>
                <w:sz w:val="21"/>
                <w:szCs w:val="21"/>
                <w:color w:val="auto"/>
              </w:rPr>
            </w:pPr>
          </w:p>
        </w:tc>
        <w:tc>
          <w:tcPr>
            <w:tcW w:w="420" w:type="dxa"/>
            <w:vAlign w:val="bottom"/>
          </w:tcPr>
          <w:p>
            <w:pPr>
              <w:jc w:val="right"/>
              <w:ind w:right="219"/>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249,688</w:t>
            </w:r>
          </w:p>
        </w:tc>
        <w:tc>
          <w:tcPr>
            <w:tcW w:w="80" w:type="dxa"/>
            <w:vAlign w:val="bottom"/>
          </w:tcPr>
          <w:p>
            <w:pPr>
              <w:spacing w:after="0"/>
              <w:rPr>
                <w:sz w:val="21"/>
                <w:szCs w:val="21"/>
                <w:color w:val="auto"/>
              </w:rPr>
            </w:pPr>
          </w:p>
        </w:tc>
      </w:tr>
      <w:tr>
        <w:trPr>
          <w:trHeight w:val="250"/>
        </w:trPr>
        <w:tc>
          <w:tcPr>
            <w:tcW w:w="82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3.55% due 2023</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520,454</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506,021</w:t>
            </w:r>
          </w:p>
        </w:tc>
        <w:tc>
          <w:tcPr>
            <w:tcW w:w="80" w:type="dxa"/>
            <w:vAlign w:val="bottom"/>
            <w:shd w:val="clear" w:color="auto" w:fill="CFF0FC"/>
          </w:tcPr>
          <w:p>
            <w:pPr>
              <w:spacing w:after="0"/>
              <w:rPr>
                <w:sz w:val="21"/>
                <w:szCs w:val="21"/>
                <w:color w:val="auto"/>
              </w:rPr>
            </w:pPr>
          </w:p>
        </w:tc>
      </w:tr>
      <w:tr>
        <w:trPr>
          <w:trHeight w:val="250"/>
        </w:trPr>
        <w:tc>
          <w:tcPr>
            <w:tcW w:w="8220" w:type="dxa"/>
            <w:vAlign w:val="bottom"/>
          </w:tcPr>
          <w:p>
            <w:pPr>
              <w:spacing w:after="0"/>
              <w:rPr>
                <w:sz w:val="20"/>
                <w:szCs w:val="20"/>
                <w:color w:val="auto"/>
              </w:rPr>
            </w:pPr>
            <w:r>
              <w:rPr>
                <w:rFonts w:ascii="Arial" w:cs="Arial" w:eastAsia="Arial" w:hAnsi="Arial"/>
                <w:sz w:val="20"/>
                <w:szCs w:val="20"/>
                <w:color w:val="auto"/>
              </w:rPr>
              <w:t>Senior notes of M&amp;T Bank:</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82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Variable rate due 2021</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349,893</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349,794</w:t>
            </w:r>
          </w:p>
        </w:tc>
        <w:tc>
          <w:tcPr>
            <w:tcW w:w="80" w:type="dxa"/>
            <w:vAlign w:val="bottom"/>
            <w:shd w:val="clear" w:color="auto" w:fill="CFF0FC"/>
          </w:tcPr>
          <w:p>
            <w:pPr>
              <w:spacing w:after="0"/>
              <w:rPr>
                <w:sz w:val="21"/>
                <w:szCs w:val="21"/>
                <w:color w:val="auto"/>
              </w:rPr>
            </w:pPr>
          </w:p>
        </w:tc>
      </w:tr>
      <w:tr>
        <w:trPr>
          <w:trHeight w:val="250"/>
        </w:trPr>
        <w:tc>
          <w:tcPr>
            <w:tcW w:w="8220" w:type="dxa"/>
            <w:vAlign w:val="bottom"/>
          </w:tcPr>
          <w:p>
            <w:pPr>
              <w:ind w:left="240"/>
              <w:spacing w:after="0"/>
              <w:rPr>
                <w:sz w:val="20"/>
                <w:szCs w:val="20"/>
                <w:color w:val="auto"/>
              </w:rPr>
            </w:pPr>
            <w:r>
              <w:rPr>
                <w:rFonts w:ascii="Arial" w:cs="Arial" w:eastAsia="Arial" w:hAnsi="Arial"/>
                <w:sz w:val="20"/>
                <w:szCs w:val="20"/>
                <w:color w:val="auto"/>
              </w:rPr>
              <w:t>Variable rate due 2022</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249,758</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249,658</w:t>
            </w:r>
          </w:p>
        </w:tc>
        <w:tc>
          <w:tcPr>
            <w:tcW w:w="80" w:type="dxa"/>
            <w:vAlign w:val="bottom"/>
          </w:tcPr>
          <w:p>
            <w:pPr>
              <w:spacing w:after="0"/>
              <w:rPr>
                <w:sz w:val="21"/>
                <w:szCs w:val="21"/>
                <w:color w:val="auto"/>
              </w:rPr>
            </w:pPr>
          </w:p>
        </w:tc>
      </w:tr>
      <w:tr>
        <w:trPr>
          <w:trHeight w:val="250"/>
        </w:trPr>
        <w:tc>
          <w:tcPr>
            <w:tcW w:w="82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2.25% due 2019</w:t>
            </w: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645,801</w:t>
            </w:r>
          </w:p>
        </w:tc>
        <w:tc>
          <w:tcPr>
            <w:tcW w:w="80" w:type="dxa"/>
            <w:vAlign w:val="bottom"/>
            <w:shd w:val="clear" w:color="auto" w:fill="CFF0FC"/>
          </w:tcPr>
          <w:p>
            <w:pPr>
              <w:spacing w:after="0"/>
              <w:rPr>
                <w:sz w:val="21"/>
                <w:szCs w:val="21"/>
                <w:color w:val="auto"/>
              </w:rPr>
            </w:pPr>
          </w:p>
        </w:tc>
      </w:tr>
      <w:tr>
        <w:trPr>
          <w:trHeight w:val="250"/>
        </w:trPr>
        <w:tc>
          <w:tcPr>
            <w:tcW w:w="8220" w:type="dxa"/>
            <w:vAlign w:val="bottom"/>
          </w:tcPr>
          <w:p>
            <w:pPr>
              <w:ind w:left="240"/>
              <w:spacing w:after="0"/>
              <w:rPr>
                <w:sz w:val="20"/>
                <w:szCs w:val="20"/>
                <w:color w:val="auto"/>
              </w:rPr>
            </w:pPr>
            <w:r>
              <w:rPr>
                <w:rFonts w:ascii="Arial" w:cs="Arial" w:eastAsia="Arial" w:hAnsi="Arial"/>
                <w:sz w:val="20"/>
                <w:szCs w:val="20"/>
                <w:color w:val="auto"/>
              </w:rPr>
              <w:t>2.05% due 2020</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749,254</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737,793</w:t>
            </w:r>
          </w:p>
        </w:tc>
        <w:tc>
          <w:tcPr>
            <w:tcW w:w="80" w:type="dxa"/>
            <w:vAlign w:val="bottom"/>
          </w:tcPr>
          <w:p>
            <w:pPr>
              <w:spacing w:after="0"/>
              <w:rPr>
                <w:sz w:val="21"/>
                <w:szCs w:val="21"/>
                <w:color w:val="auto"/>
              </w:rPr>
            </w:pPr>
          </w:p>
        </w:tc>
      </w:tr>
      <w:tr>
        <w:trPr>
          <w:trHeight w:val="250"/>
        </w:trPr>
        <w:tc>
          <w:tcPr>
            <w:tcW w:w="82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2.10% due 2020</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749,864</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741,965</w:t>
            </w:r>
          </w:p>
        </w:tc>
        <w:tc>
          <w:tcPr>
            <w:tcW w:w="80" w:type="dxa"/>
            <w:vAlign w:val="bottom"/>
            <w:shd w:val="clear" w:color="auto" w:fill="CFF0FC"/>
          </w:tcPr>
          <w:p>
            <w:pPr>
              <w:spacing w:after="0"/>
              <w:rPr>
                <w:sz w:val="21"/>
                <w:szCs w:val="21"/>
                <w:color w:val="auto"/>
              </w:rPr>
            </w:pPr>
          </w:p>
        </w:tc>
      </w:tr>
      <w:tr>
        <w:trPr>
          <w:trHeight w:val="250"/>
        </w:trPr>
        <w:tc>
          <w:tcPr>
            <w:tcW w:w="8220" w:type="dxa"/>
            <w:vAlign w:val="bottom"/>
          </w:tcPr>
          <w:p>
            <w:pPr>
              <w:ind w:left="240"/>
              <w:spacing w:after="0"/>
              <w:rPr>
                <w:sz w:val="20"/>
                <w:szCs w:val="20"/>
                <w:color w:val="auto"/>
              </w:rPr>
            </w:pPr>
            <w:r>
              <w:rPr>
                <w:rFonts w:ascii="Arial" w:cs="Arial" w:eastAsia="Arial" w:hAnsi="Arial"/>
                <w:sz w:val="20"/>
                <w:szCs w:val="20"/>
                <w:color w:val="auto"/>
              </w:rPr>
              <w:t>2.625% due 2021</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654,136</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646,301</w:t>
            </w:r>
          </w:p>
        </w:tc>
        <w:tc>
          <w:tcPr>
            <w:tcW w:w="80" w:type="dxa"/>
            <w:vAlign w:val="bottom"/>
          </w:tcPr>
          <w:p>
            <w:pPr>
              <w:spacing w:after="0"/>
              <w:rPr>
                <w:sz w:val="21"/>
                <w:szCs w:val="21"/>
                <w:color w:val="auto"/>
              </w:rPr>
            </w:pPr>
          </w:p>
        </w:tc>
      </w:tr>
      <w:tr>
        <w:trPr>
          <w:trHeight w:val="250"/>
        </w:trPr>
        <w:tc>
          <w:tcPr>
            <w:tcW w:w="82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2.50% due 2022</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652,714</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634,525</w:t>
            </w:r>
          </w:p>
        </w:tc>
        <w:tc>
          <w:tcPr>
            <w:tcW w:w="80" w:type="dxa"/>
            <w:vAlign w:val="bottom"/>
            <w:shd w:val="clear" w:color="auto" w:fill="CFF0FC"/>
          </w:tcPr>
          <w:p>
            <w:pPr>
              <w:spacing w:after="0"/>
              <w:rPr>
                <w:sz w:val="21"/>
                <w:szCs w:val="21"/>
                <w:color w:val="auto"/>
              </w:rPr>
            </w:pPr>
          </w:p>
        </w:tc>
      </w:tr>
      <w:tr>
        <w:trPr>
          <w:trHeight w:val="250"/>
        </w:trPr>
        <w:tc>
          <w:tcPr>
            <w:tcW w:w="8220" w:type="dxa"/>
            <w:vAlign w:val="bottom"/>
          </w:tcPr>
          <w:p>
            <w:pPr>
              <w:ind w:left="240"/>
              <w:spacing w:after="0"/>
              <w:rPr>
                <w:sz w:val="20"/>
                <w:szCs w:val="20"/>
                <w:color w:val="auto"/>
              </w:rPr>
            </w:pPr>
            <w:r>
              <w:rPr>
                <w:rFonts w:ascii="Arial" w:cs="Arial" w:eastAsia="Arial" w:hAnsi="Arial"/>
                <w:sz w:val="20"/>
                <w:szCs w:val="20"/>
                <w:color w:val="auto"/>
              </w:rPr>
              <w:t>2.90% due 2025</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749,572</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749,488</w:t>
            </w:r>
          </w:p>
        </w:tc>
        <w:tc>
          <w:tcPr>
            <w:tcW w:w="80" w:type="dxa"/>
            <w:vAlign w:val="bottom"/>
          </w:tcPr>
          <w:p>
            <w:pPr>
              <w:spacing w:after="0"/>
              <w:rPr>
                <w:sz w:val="21"/>
                <w:szCs w:val="21"/>
                <w:color w:val="auto"/>
              </w:rPr>
            </w:pPr>
          </w:p>
        </w:tc>
      </w:tr>
      <w:tr>
        <w:trPr>
          <w:trHeight w:val="250"/>
        </w:trPr>
        <w:tc>
          <w:tcPr>
            <w:tcW w:w="8220" w:type="dxa"/>
            <w:vAlign w:val="bottom"/>
            <w:shd w:val="clear" w:color="auto" w:fill="CFF0FC"/>
          </w:tcPr>
          <w:p>
            <w:pPr>
              <w:spacing w:after="0"/>
              <w:rPr>
                <w:sz w:val="20"/>
                <w:szCs w:val="20"/>
                <w:color w:val="auto"/>
              </w:rPr>
            </w:pPr>
            <w:r>
              <w:rPr>
                <w:rFonts w:ascii="Arial" w:cs="Arial" w:eastAsia="Arial" w:hAnsi="Arial"/>
                <w:sz w:val="20"/>
                <w:szCs w:val="20"/>
                <w:color w:val="auto"/>
              </w:rPr>
              <w:t>Advances from FHLB:</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8220" w:type="dxa"/>
            <w:vAlign w:val="bottom"/>
          </w:tcPr>
          <w:p>
            <w:pPr>
              <w:ind w:left="240"/>
              <w:spacing w:after="0"/>
              <w:rPr>
                <w:sz w:val="20"/>
                <w:szCs w:val="20"/>
                <w:color w:val="auto"/>
              </w:rPr>
            </w:pPr>
            <w:r>
              <w:rPr>
                <w:rFonts w:ascii="Arial" w:cs="Arial" w:eastAsia="Arial" w:hAnsi="Arial"/>
                <w:sz w:val="20"/>
                <w:szCs w:val="20"/>
                <w:color w:val="auto"/>
              </w:rPr>
              <w:t>Fixed rates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1,815</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576,446</w:t>
            </w:r>
          </w:p>
        </w:tc>
        <w:tc>
          <w:tcPr>
            <w:tcW w:w="80" w:type="dxa"/>
            <w:vAlign w:val="bottom"/>
          </w:tcPr>
          <w:p>
            <w:pPr>
              <w:spacing w:after="0"/>
              <w:rPr>
                <w:sz w:val="21"/>
                <w:szCs w:val="21"/>
                <w:color w:val="auto"/>
              </w:rPr>
            </w:pPr>
          </w:p>
        </w:tc>
      </w:tr>
      <w:tr>
        <w:trPr>
          <w:trHeight w:val="250"/>
        </w:trPr>
        <w:tc>
          <w:tcPr>
            <w:tcW w:w="8220" w:type="dxa"/>
            <w:vAlign w:val="bottom"/>
            <w:shd w:val="clear" w:color="auto" w:fill="CFF0FC"/>
          </w:tcPr>
          <w:p>
            <w:pPr>
              <w:spacing w:after="0"/>
              <w:rPr>
                <w:sz w:val="20"/>
                <w:szCs w:val="20"/>
                <w:color w:val="auto"/>
              </w:rPr>
            </w:pPr>
            <w:r>
              <w:rPr>
                <w:rFonts w:ascii="Arial" w:cs="Arial" w:eastAsia="Arial" w:hAnsi="Arial"/>
                <w:sz w:val="20"/>
                <w:szCs w:val="20"/>
                <w:color w:val="auto"/>
              </w:rPr>
              <w:t>Agreements to repurchase securities</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101,679</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409,154</w:t>
            </w:r>
          </w:p>
        </w:tc>
        <w:tc>
          <w:tcPr>
            <w:tcW w:w="80" w:type="dxa"/>
            <w:vAlign w:val="bottom"/>
            <w:shd w:val="clear" w:color="auto" w:fill="CFF0FC"/>
          </w:tcPr>
          <w:p>
            <w:pPr>
              <w:spacing w:after="0"/>
              <w:rPr>
                <w:sz w:val="21"/>
                <w:szCs w:val="21"/>
                <w:color w:val="auto"/>
              </w:rPr>
            </w:pPr>
          </w:p>
        </w:tc>
      </w:tr>
      <w:tr>
        <w:trPr>
          <w:trHeight w:val="250"/>
        </w:trPr>
        <w:tc>
          <w:tcPr>
            <w:tcW w:w="8220" w:type="dxa"/>
            <w:vAlign w:val="bottom"/>
          </w:tcPr>
          <w:p>
            <w:pPr>
              <w:spacing w:after="0"/>
              <w:rPr>
                <w:sz w:val="20"/>
                <w:szCs w:val="20"/>
                <w:color w:val="auto"/>
              </w:rPr>
            </w:pPr>
            <w:r>
              <w:rPr>
                <w:rFonts w:ascii="Arial" w:cs="Arial" w:eastAsia="Arial" w:hAnsi="Arial"/>
                <w:sz w:val="20"/>
                <w:szCs w:val="20"/>
                <w:color w:val="auto"/>
              </w:rPr>
              <w:t>Subordinated notes of M&amp;T Bank:</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82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Variable rate due 2020</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409,361</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409,361</w:t>
            </w:r>
          </w:p>
        </w:tc>
        <w:tc>
          <w:tcPr>
            <w:tcW w:w="80" w:type="dxa"/>
            <w:vAlign w:val="bottom"/>
            <w:shd w:val="clear" w:color="auto" w:fill="CFF0FC"/>
          </w:tcPr>
          <w:p>
            <w:pPr>
              <w:spacing w:after="0"/>
              <w:rPr>
                <w:sz w:val="21"/>
                <w:szCs w:val="21"/>
                <w:color w:val="auto"/>
              </w:rPr>
            </w:pPr>
          </w:p>
        </w:tc>
      </w:tr>
      <w:tr>
        <w:trPr>
          <w:trHeight w:val="250"/>
        </w:trPr>
        <w:tc>
          <w:tcPr>
            <w:tcW w:w="8220" w:type="dxa"/>
            <w:vAlign w:val="bottom"/>
          </w:tcPr>
          <w:p>
            <w:pPr>
              <w:ind w:left="240"/>
              <w:spacing w:after="0"/>
              <w:rPr>
                <w:sz w:val="20"/>
                <w:szCs w:val="20"/>
                <w:color w:val="auto"/>
              </w:rPr>
            </w:pPr>
            <w:r>
              <w:rPr>
                <w:rFonts w:ascii="Arial" w:cs="Arial" w:eastAsia="Arial" w:hAnsi="Arial"/>
                <w:sz w:val="20"/>
                <w:szCs w:val="20"/>
                <w:color w:val="auto"/>
              </w:rPr>
              <w:t>Variable rate due 2021</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500,000</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500,000</w:t>
            </w:r>
          </w:p>
        </w:tc>
        <w:tc>
          <w:tcPr>
            <w:tcW w:w="80" w:type="dxa"/>
            <w:vAlign w:val="bottom"/>
          </w:tcPr>
          <w:p>
            <w:pPr>
              <w:spacing w:after="0"/>
              <w:rPr>
                <w:sz w:val="21"/>
                <w:szCs w:val="21"/>
                <w:color w:val="auto"/>
              </w:rPr>
            </w:pPr>
          </w:p>
        </w:tc>
      </w:tr>
      <w:tr>
        <w:trPr>
          <w:trHeight w:val="250"/>
        </w:trPr>
        <w:tc>
          <w:tcPr>
            <w:tcW w:w="82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3.40% due 2027</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514,353</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481,692</w:t>
            </w:r>
          </w:p>
        </w:tc>
        <w:tc>
          <w:tcPr>
            <w:tcW w:w="80" w:type="dxa"/>
            <w:vAlign w:val="bottom"/>
            <w:shd w:val="clear" w:color="auto" w:fill="CFF0FC"/>
          </w:tcPr>
          <w:p>
            <w:pPr>
              <w:spacing w:after="0"/>
              <w:rPr>
                <w:sz w:val="21"/>
                <w:szCs w:val="21"/>
                <w:color w:val="auto"/>
              </w:rPr>
            </w:pPr>
          </w:p>
        </w:tc>
      </w:tr>
      <w:tr>
        <w:trPr>
          <w:trHeight w:val="236"/>
        </w:trPr>
        <w:tc>
          <w:tcPr>
            <w:tcW w:w="8220" w:type="dxa"/>
            <w:vAlign w:val="bottom"/>
          </w:tcPr>
          <w:p>
            <w:pPr>
              <w:spacing w:after="0"/>
              <w:rPr>
                <w:sz w:val="20"/>
                <w:szCs w:val="20"/>
                <w:color w:val="auto"/>
              </w:rPr>
            </w:pPr>
            <w:r>
              <w:rPr>
                <w:rFonts w:ascii="Arial" w:cs="Arial" w:eastAsia="Arial" w:hAnsi="Arial"/>
                <w:sz w:val="20"/>
                <w:szCs w:val="20"/>
                <w:color w:val="auto"/>
              </w:rPr>
              <w:t>Junior subordinated debentures of M&amp;T associated with</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8220" w:type="dxa"/>
            <w:vAlign w:val="bottom"/>
          </w:tcPr>
          <w:p>
            <w:pPr>
              <w:ind w:left="160"/>
              <w:spacing w:after="0"/>
              <w:rPr>
                <w:sz w:val="20"/>
                <w:szCs w:val="20"/>
                <w:color w:val="auto"/>
              </w:rPr>
            </w:pPr>
            <w:r>
              <w:rPr>
                <w:rFonts w:ascii="Arial" w:cs="Arial" w:eastAsia="Arial" w:hAnsi="Arial"/>
                <w:sz w:val="20"/>
                <w:szCs w:val="20"/>
                <w:color w:val="auto"/>
              </w:rPr>
              <w:t>preferred capital securities: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82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Fixed rates:</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8220" w:type="dxa"/>
            <w:vAlign w:val="bottom"/>
          </w:tcPr>
          <w:p>
            <w:pPr>
              <w:ind w:left="480"/>
              <w:spacing w:after="0"/>
              <w:rPr>
                <w:sz w:val="20"/>
                <w:szCs w:val="20"/>
                <w:color w:val="auto"/>
              </w:rPr>
            </w:pPr>
            <w:r>
              <w:rPr>
                <w:rFonts w:ascii="Arial" w:cs="Arial" w:eastAsia="Arial" w:hAnsi="Arial"/>
                <w:sz w:val="20"/>
                <w:szCs w:val="20"/>
                <w:color w:val="auto"/>
              </w:rPr>
              <w:t>BSB Capital Trust I — 8.125%, due 2028</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15,728</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15,705</w:t>
            </w:r>
          </w:p>
        </w:tc>
        <w:tc>
          <w:tcPr>
            <w:tcW w:w="80" w:type="dxa"/>
            <w:vAlign w:val="bottom"/>
          </w:tcPr>
          <w:p>
            <w:pPr>
              <w:spacing w:after="0"/>
              <w:rPr>
                <w:sz w:val="21"/>
                <w:szCs w:val="21"/>
                <w:color w:val="auto"/>
              </w:rPr>
            </w:pPr>
          </w:p>
        </w:tc>
      </w:tr>
      <w:tr>
        <w:trPr>
          <w:trHeight w:val="250"/>
        </w:trPr>
        <w:tc>
          <w:tcPr>
            <w:tcW w:w="8220" w:type="dxa"/>
            <w:vAlign w:val="bottom"/>
            <w:shd w:val="clear" w:color="auto" w:fill="CFF0FC"/>
          </w:tcPr>
          <w:p>
            <w:pPr>
              <w:ind w:left="480"/>
              <w:spacing w:after="0"/>
              <w:rPr>
                <w:sz w:val="20"/>
                <w:szCs w:val="20"/>
                <w:color w:val="auto"/>
              </w:rPr>
            </w:pPr>
            <w:r>
              <w:rPr>
                <w:rFonts w:ascii="Arial" w:cs="Arial" w:eastAsia="Arial" w:hAnsi="Arial"/>
                <w:sz w:val="20"/>
                <w:szCs w:val="20"/>
                <w:color w:val="auto"/>
              </w:rPr>
              <w:t>Provident Trust I — 8.29%, due 2028</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28,235</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27,489</w:t>
            </w:r>
          </w:p>
        </w:tc>
        <w:tc>
          <w:tcPr>
            <w:tcW w:w="80" w:type="dxa"/>
            <w:vAlign w:val="bottom"/>
            <w:shd w:val="clear" w:color="auto" w:fill="CFF0FC"/>
          </w:tcPr>
          <w:p>
            <w:pPr>
              <w:spacing w:after="0"/>
              <w:rPr>
                <w:sz w:val="21"/>
                <w:szCs w:val="21"/>
                <w:color w:val="auto"/>
              </w:rPr>
            </w:pPr>
          </w:p>
        </w:tc>
      </w:tr>
      <w:tr>
        <w:trPr>
          <w:trHeight w:val="250"/>
        </w:trPr>
        <w:tc>
          <w:tcPr>
            <w:tcW w:w="8220" w:type="dxa"/>
            <w:vAlign w:val="bottom"/>
          </w:tcPr>
          <w:p>
            <w:pPr>
              <w:ind w:left="480"/>
              <w:spacing w:after="0"/>
              <w:rPr>
                <w:sz w:val="20"/>
                <w:szCs w:val="20"/>
                <w:color w:val="auto"/>
              </w:rPr>
            </w:pPr>
            <w:r>
              <w:rPr>
                <w:rFonts w:ascii="Arial" w:cs="Arial" w:eastAsia="Arial" w:hAnsi="Arial"/>
                <w:sz w:val="20"/>
                <w:szCs w:val="20"/>
                <w:color w:val="auto"/>
              </w:rPr>
              <w:t>Southern Financial Statutory Trust I — 10.60%, due 2030</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6,770</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6,713</w:t>
            </w:r>
          </w:p>
        </w:tc>
        <w:tc>
          <w:tcPr>
            <w:tcW w:w="80" w:type="dxa"/>
            <w:vAlign w:val="bottom"/>
          </w:tcPr>
          <w:p>
            <w:pPr>
              <w:spacing w:after="0"/>
              <w:rPr>
                <w:sz w:val="21"/>
                <w:szCs w:val="21"/>
                <w:color w:val="auto"/>
              </w:rPr>
            </w:pPr>
          </w:p>
        </w:tc>
      </w:tr>
      <w:tr>
        <w:trPr>
          <w:trHeight w:val="250"/>
        </w:trPr>
        <w:tc>
          <w:tcPr>
            <w:tcW w:w="82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Variable rates:</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8220" w:type="dxa"/>
            <w:vAlign w:val="bottom"/>
          </w:tcPr>
          <w:p>
            <w:pPr>
              <w:ind w:left="480"/>
              <w:spacing w:after="0"/>
              <w:rPr>
                <w:sz w:val="20"/>
                <w:szCs w:val="20"/>
                <w:color w:val="auto"/>
              </w:rPr>
            </w:pPr>
            <w:r>
              <w:rPr>
                <w:rFonts w:ascii="Arial" w:cs="Arial" w:eastAsia="Arial" w:hAnsi="Arial"/>
                <w:sz w:val="20"/>
                <w:szCs w:val="20"/>
                <w:color w:val="auto"/>
              </w:rPr>
              <w:t>First Maryland Capital I — due 2027</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147,871</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147,333</w:t>
            </w:r>
          </w:p>
        </w:tc>
        <w:tc>
          <w:tcPr>
            <w:tcW w:w="80" w:type="dxa"/>
            <w:vAlign w:val="bottom"/>
          </w:tcPr>
          <w:p>
            <w:pPr>
              <w:spacing w:after="0"/>
              <w:rPr>
                <w:sz w:val="21"/>
                <w:szCs w:val="21"/>
                <w:color w:val="auto"/>
              </w:rPr>
            </w:pPr>
          </w:p>
        </w:tc>
      </w:tr>
      <w:tr>
        <w:trPr>
          <w:trHeight w:val="250"/>
        </w:trPr>
        <w:tc>
          <w:tcPr>
            <w:tcW w:w="8220" w:type="dxa"/>
            <w:vAlign w:val="bottom"/>
            <w:shd w:val="clear" w:color="auto" w:fill="CFF0FC"/>
          </w:tcPr>
          <w:p>
            <w:pPr>
              <w:ind w:left="480"/>
              <w:spacing w:after="0"/>
              <w:rPr>
                <w:sz w:val="20"/>
                <w:szCs w:val="20"/>
                <w:color w:val="auto"/>
              </w:rPr>
            </w:pPr>
            <w:r>
              <w:rPr>
                <w:rFonts w:ascii="Arial" w:cs="Arial" w:eastAsia="Arial" w:hAnsi="Arial"/>
                <w:sz w:val="20"/>
                <w:szCs w:val="20"/>
                <w:color w:val="auto"/>
              </w:rPr>
              <w:t>First Maryland Capital II — due 2027</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149,943</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149,280</w:t>
            </w:r>
          </w:p>
        </w:tc>
        <w:tc>
          <w:tcPr>
            <w:tcW w:w="80" w:type="dxa"/>
            <w:vAlign w:val="bottom"/>
            <w:shd w:val="clear" w:color="auto" w:fill="CFF0FC"/>
          </w:tcPr>
          <w:p>
            <w:pPr>
              <w:spacing w:after="0"/>
              <w:rPr>
                <w:sz w:val="21"/>
                <w:szCs w:val="21"/>
                <w:color w:val="auto"/>
              </w:rPr>
            </w:pPr>
          </w:p>
        </w:tc>
      </w:tr>
      <w:tr>
        <w:trPr>
          <w:trHeight w:val="250"/>
        </w:trPr>
        <w:tc>
          <w:tcPr>
            <w:tcW w:w="8220" w:type="dxa"/>
            <w:vAlign w:val="bottom"/>
          </w:tcPr>
          <w:p>
            <w:pPr>
              <w:ind w:left="480"/>
              <w:spacing w:after="0"/>
              <w:rPr>
                <w:sz w:val="20"/>
                <w:szCs w:val="20"/>
                <w:color w:val="auto"/>
              </w:rPr>
            </w:pPr>
            <w:r>
              <w:rPr>
                <w:rFonts w:ascii="Arial" w:cs="Arial" w:eastAsia="Arial" w:hAnsi="Arial"/>
                <w:sz w:val="20"/>
                <w:szCs w:val="20"/>
                <w:color w:val="auto"/>
              </w:rPr>
              <w:t>Allfirst Asset Trust — due 2029</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96,930</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96,785</w:t>
            </w:r>
          </w:p>
        </w:tc>
        <w:tc>
          <w:tcPr>
            <w:tcW w:w="80" w:type="dxa"/>
            <w:vAlign w:val="bottom"/>
          </w:tcPr>
          <w:p>
            <w:pPr>
              <w:spacing w:after="0"/>
              <w:rPr>
                <w:sz w:val="21"/>
                <w:szCs w:val="21"/>
                <w:color w:val="auto"/>
              </w:rPr>
            </w:pPr>
          </w:p>
        </w:tc>
      </w:tr>
      <w:tr>
        <w:trPr>
          <w:trHeight w:val="250"/>
        </w:trPr>
        <w:tc>
          <w:tcPr>
            <w:tcW w:w="8220" w:type="dxa"/>
            <w:vAlign w:val="bottom"/>
            <w:shd w:val="clear" w:color="auto" w:fill="CFF0FC"/>
          </w:tcPr>
          <w:p>
            <w:pPr>
              <w:ind w:left="480"/>
              <w:spacing w:after="0"/>
              <w:rPr>
                <w:sz w:val="20"/>
                <w:szCs w:val="20"/>
                <w:color w:val="auto"/>
              </w:rPr>
            </w:pPr>
            <w:r>
              <w:rPr>
                <w:rFonts w:ascii="Arial" w:cs="Arial" w:eastAsia="Arial" w:hAnsi="Arial"/>
                <w:sz w:val="20"/>
                <w:szCs w:val="20"/>
                <w:color w:val="auto"/>
              </w:rPr>
              <w:t>BSB Capital Trust III — due 2033</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15,464</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15,464</w:t>
            </w:r>
          </w:p>
        </w:tc>
        <w:tc>
          <w:tcPr>
            <w:tcW w:w="80" w:type="dxa"/>
            <w:vAlign w:val="bottom"/>
            <w:shd w:val="clear" w:color="auto" w:fill="CFF0FC"/>
          </w:tcPr>
          <w:p>
            <w:pPr>
              <w:spacing w:after="0"/>
              <w:rPr>
                <w:sz w:val="21"/>
                <w:szCs w:val="21"/>
                <w:color w:val="auto"/>
              </w:rPr>
            </w:pPr>
          </w:p>
        </w:tc>
      </w:tr>
      <w:tr>
        <w:trPr>
          <w:trHeight w:val="250"/>
        </w:trPr>
        <w:tc>
          <w:tcPr>
            <w:tcW w:w="8220" w:type="dxa"/>
            <w:vAlign w:val="bottom"/>
          </w:tcPr>
          <w:p>
            <w:pPr>
              <w:ind w:left="480"/>
              <w:spacing w:after="0"/>
              <w:rPr>
                <w:sz w:val="20"/>
                <w:szCs w:val="20"/>
                <w:color w:val="auto"/>
              </w:rPr>
            </w:pPr>
            <w:r>
              <w:rPr>
                <w:rFonts w:ascii="Arial" w:cs="Arial" w:eastAsia="Arial" w:hAnsi="Arial"/>
                <w:sz w:val="20"/>
                <w:szCs w:val="20"/>
                <w:color w:val="auto"/>
              </w:rPr>
              <w:t>Provident Statutory Trust III — due 2033</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55,867</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55,143</w:t>
            </w:r>
          </w:p>
        </w:tc>
        <w:tc>
          <w:tcPr>
            <w:tcW w:w="80" w:type="dxa"/>
            <w:vAlign w:val="bottom"/>
          </w:tcPr>
          <w:p>
            <w:pPr>
              <w:spacing w:after="0"/>
              <w:rPr>
                <w:sz w:val="21"/>
                <w:szCs w:val="21"/>
                <w:color w:val="auto"/>
              </w:rPr>
            </w:pPr>
          </w:p>
        </w:tc>
      </w:tr>
      <w:tr>
        <w:trPr>
          <w:trHeight w:val="250"/>
        </w:trPr>
        <w:tc>
          <w:tcPr>
            <w:tcW w:w="8220" w:type="dxa"/>
            <w:vAlign w:val="bottom"/>
            <w:shd w:val="clear" w:color="auto" w:fill="CFF0FC"/>
          </w:tcPr>
          <w:p>
            <w:pPr>
              <w:ind w:left="480"/>
              <w:spacing w:after="0"/>
              <w:rPr>
                <w:sz w:val="20"/>
                <w:szCs w:val="20"/>
                <w:color w:val="auto"/>
              </w:rPr>
            </w:pPr>
            <w:r>
              <w:rPr>
                <w:rFonts w:ascii="Arial" w:cs="Arial" w:eastAsia="Arial" w:hAnsi="Arial"/>
                <w:sz w:val="20"/>
                <w:szCs w:val="20"/>
                <w:color w:val="auto"/>
              </w:rPr>
              <w:t>Southern Financial Capital Trust III — due 2033</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8,236</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8,141</w:t>
            </w:r>
          </w:p>
        </w:tc>
        <w:tc>
          <w:tcPr>
            <w:tcW w:w="80" w:type="dxa"/>
            <w:vAlign w:val="bottom"/>
            <w:shd w:val="clear" w:color="auto" w:fill="CFF0FC"/>
          </w:tcPr>
          <w:p>
            <w:pPr>
              <w:spacing w:after="0"/>
              <w:rPr>
                <w:sz w:val="21"/>
                <w:szCs w:val="21"/>
                <w:color w:val="auto"/>
              </w:rPr>
            </w:pPr>
          </w:p>
        </w:tc>
      </w:tr>
      <w:tr>
        <w:trPr>
          <w:trHeight w:val="250"/>
        </w:trPr>
        <w:tc>
          <w:tcPr>
            <w:tcW w:w="822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8,533</w:t>
            </w:r>
          </w:p>
        </w:tc>
        <w:tc>
          <w:tcPr>
            <w:tcW w:w="26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35,174</w:t>
            </w:r>
          </w:p>
        </w:tc>
        <w:tc>
          <w:tcPr>
            <w:tcW w:w="80" w:type="dxa"/>
            <w:vAlign w:val="bottom"/>
            <w:tcBorders>
              <w:bottom w:val="single" w:sz="8" w:color="CFF0FC"/>
            </w:tcBorders>
          </w:tcPr>
          <w:p>
            <w:pPr>
              <w:spacing w:after="0"/>
              <w:rPr>
                <w:sz w:val="21"/>
                <w:szCs w:val="21"/>
                <w:color w:val="auto"/>
              </w:rPr>
            </w:pPr>
          </w:p>
        </w:tc>
      </w:tr>
      <w:tr>
        <w:trPr>
          <w:trHeight w:val="243"/>
        </w:trPr>
        <w:tc>
          <w:tcPr>
            <w:tcW w:w="8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6,986,186</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8,444,914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6" w:lineRule="exact"/>
        <w:rPr>
          <w:sz w:val="20"/>
          <w:szCs w:val="20"/>
          <w:color w:val="auto"/>
        </w:rPr>
      </w:pPr>
    </w:p>
    <w:p>
      <w:pPr>
        <w:ind w:right="80" w:firstLine="598"/>
        <w:spacing w:after="0" w:line="332" w:lineRule="auto"/>
        <w:rPr>
          <w:sz w:val="20"/>
          <w:szCs w:val="20"/>
          <w:color w:val="auto"/>
        </w:rPr>
      </w:pPr>
      <w:r>
        <w:rPr>
          <w:rFonts w:ascii="Arial" w:cs="Arial" w:eastAsia="Arial" w:hAnsi="Arial"/>
          <w:sz w:val="18"/>
          <w:szCs w:val="18"/>
          <w:color w:val="auto"/>
        </w:rPr>
        <w:t>The senior notes of M&amp;T were issued in July 2018. The variable rate notes pay interest quarterly at a rate that is indexed to the three-month LIBOR. The contractual interest rates for those notes were 2.62% at December 31, 2019 and 2.51% at December 31, 2018.</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45" w:name="page146"/>
    <w:bookmarkEnd w:id="145"/>
    <w:p>
      <w:pPr>
        <w:ind w:right="160" w:firstLine="598"/>
        <w:spacing w:after="0" w:line="266" w:lineRule="auto"/>
        <w:rPr>
          <w:sz w:val="20"/>
          <w:szCs w:val="20"/>
          <w:color w:val="auto"/>
        </w:rPr>
      </w:pPr>
      <w:r>
        <w:rPr>
          <w:rFonts w:ascii="Arial" w:cs="Arial" w:eastAsia="Arial" w:hAnsi="Arial"/>
          <w:sz w:val="19"/>
          <w:szCs w:val="19"/>
          <w:color w:val="auto"/>
        </w:rPr>
        <w:t>The variable rate senior notes of M&amp;T Bank pay interest quarterly at rates that are indexed to the three-month LIBOR. The contractual interest rates for those notes ranged from 2.21% to 2.54% at December 31, 2019 and 2.76% to 3.25% at December 31, 2018. The weighted-average contractual interest rate was 2.34% at December 31, 2019 and 2.96% at December 31, 2018.</w:t>
      </w:r>
    </w:p>
    <w:p>
      <w:pPr>
        <w:spacing w:after="0" w:line="1" w:lineRule="exact"/>
        <w:rPr>
          <w:sz w:val="20"/>
          <w:szCs w:val="20"/>
          <w:color w:val="auto"/>
        </w:rPr>
      </w:pPr>
    </w:p>
    <w:p>
      <w:pPr>
        <w:ind w:right="440" w:firstLine="598"/>
        <w:spacing w:after="0" w:line="246" w:lineRule="auto"/>
        <w:rPr>
          <w:sz w:val="20"/>
          <w:szCs w:val="20"/>
          <w:color w:val="auto"/>
        </w:rPr>
      </w:pPr>
      <w:r>
        <w:rPr>
          <w:rFonts w:ascii="Arial" w:cs="Arial" w:eastAsia="Arial" w:hAnsi="Arial"/>
          <w:sz w:val="20"/>
          <w:szCs w:val="20"/>
          <w:color w:val="auto"/>
        </w:rPr>
        <w:t>Long-term fixed rate advances from the FHLB had weighted-average contractual interest rates of 5.82% at December 31, 2019 and 2.06% at December 31, 2018. Advances from the FHLB outstanding at December 31, 2019 mature in 2029 and 2035 and are secured by residential real estate loans, commercial real estate loans and investment securities.</w:t>
      </w:r>
    </w:p>
    <w:p>
      <w:pPr>
        <w:spacing w:after="0" w:line="2"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The remaining long-term agreement to repurchase securities at December 31, 2019 had a contractual interest rate of 4.29%. Agreements to repurchase securities outstanding at December 31, 2018 had contractual interest rates that ranged from 4.09% to 4.58%. The outstanding agreement at December 31, 2019 has a repurchase date in 2020, however, the contractual maturities of the underlying investment securities extend beyond such repurchase date. The agreement is subject to legally enforceable master netting arrangements, however, the Company has not offset any amounts related to the agreement in its consolidated financial statements. The Company posted collateral consisting primarily of government guaranteed mortgage-backed securities of $108 million and $428 million at December 31, 2019 and 2018, respectively.</w:t>
      </w:r>
    </w:p>
    <w:p>
      <w:pPr>
        <w:spacing w:after="0" w:line="5" w:lineRule="exact"/>
        <w:rPr>
          <w:sz w:val="20"/>
          <w:szCs w:val="20"/>
          <w:color w:val="auto"/>
        </w:rPr>
      </w:pPr>
    </w:p>
    <w:p>
      <w:pPr>
        <w:ind w:right="100" w:firstLine="598"/>
        <w:spacing w:after="0" w:line="259" w:lineRule="auto"/>
        <w:rPr>
          <w:sz w:val="20"/>
          <w:szCs w:val="20"/>
          <w:color w:val="auto"/>
        </w:rPr>
      </w:pPr>
      <w:r>
        <w:rPr>
          <w:rFonts w:ascii="Arial" w:cs="Arial" w:eastAsia="Arial" w:hAnsi="Arial"/>
          <w:sz w:val="19"/>
          <w:szCs w:val="19"/>
          <w:color w:val="auto"/>
        </w:rPr>
        <w:t>The subordinated notes of M&amp;T Bank are unsecured and are subordinate to the claims of its other creditors. The notes that mature in 2020 pay interest monthly at a rate that is indexed to the one-month LIBOR. The contractual interest rate was 3.02% and 3.72% at December 31, 2019 and 2018, respectively. The notes that mature in 2021 pay interest quarterly at a rate that is indexed to the three-month LIBOR. The contractual interest rate was 2.55% at December 31, 2019 and 3.38% at December 31, 2018.</w:t>
      </w:r>
    </w:p>
    <w:p>
      <w:pPr>
        <w:spacing w:after="0" w:line="3"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The fixed and variable rate junior subordinated deferrable interest debentures of M&amp;T (“Junior Subordinated Debentures”) are held by various trusts and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risk-based capital guidelines, the Capital Securities qualify for inclusion in Tier 2 regulatory capital. The variable rate Junior Subordinated Debentures pay interest quarterly at rates that are indexed to the three-month LIBOR. Those rates ranged from 2.76% to 5.34% at December 31, 2019 and from 3.39% to 5.69% at December 31, 2018. The weighted-average variable rates payable on those Junior Subordinated Debentures were 3.37% at December 31, 2019 and 3.94% at December 31, 2018.</w:t>
      </w:r>
    </w:p>
    <w:p>
      <w:pPr>
        <w:spacing w:after="0" w:line="8" w:lineRule="exact"/>
        <w:rPr>
          <w:sz w:val="20"/>
          <w:szCs w:val="20"/>
          <w:color w:val="auto"/>
        </w:rPr>
      </w:pPr>
    </w:p>
    <w:p>
      <w:pPr>
        <w:ind w:right="100" w:firstLine="598"/>
        <w:spacing w:after="0" w:line="259" w:lineRule="auto"/>
        <w:rPr>
          <w:sz w:val="20"/>
          <w:szCs w:val="20"/>
          <w:color w:val="auto"/>
        </w:rPr>
      </w:pPr>
      <w:r>
        <w:rPr>
          <w:rFonts w:ascii="Arial" w:cs="Arial" w:eastAsia="Arial" w:hAnsi="Arial"/>
          <w:sz w:val="19"/>
          <w:szCs w:val="19"/>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5" w:lineRule="exact"/>
        <w:rPr>
          <w:sz w:val="20"/>
          <w:szCs w:val="20"/>
          <w:color w:val="auto"/>
        </w:rPr>
      </w:pPr>
    </w:p>
    <w:p>
      <w:pPr>
        <w:ind w:right="320" w:firstLine="598"/>
        <w:spacing w:after="0" w:line="251" w:lineRule="auto"/>
        <w:rPr>
          <w:sz w:val="20"/>
          <w:szCs w:val="20"/>
          <w:color w:val="auto"/>
        </w:rPr>
      </w:pPr>
      <w:r>
        <w:rPr>
          <w:rFonts w:ascii="Arial" w:cs="Arial" w:eastAsia="Arial" w:hAnsi="Arial"/>
          <w:sz w:val="20"/>
          <w:szCs w:val="20"/>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00"/>
          </w:cols>
          <w:pgMar w:left="240" w:top="376" w:right="259" w:bottom="1440" w:gutter="0" w:footer="0" w:header="0"/>
        </w:sectPr>
      </w:pPr>
    </w:p>
    <w:bookmarkStart w:id="146" w:name="page147"/>
    <w:bookmarkEnd w:id="146"/>
    <w:p>
      <w:pPr>
        <w:ind w:right="60"/>
        <w:spacing w:after="0" w:line="264" w:lineRule="auto"/>
        <w:rPr>
          <w:sz w:val="20"/>
          <w:szCs w:val="20"/>
          <w:color w:val="auto"/>
        </w:rPr>
      </w:pPr>
      <w:r>
        <w:rPr>
          <w:rFonts w:ascii="Arial" w:cs="Arial" w:eastAsia="Arial" w:hAnsi="Arial"/>
          <w:sz w:val="19"/>
          <w:szCs w:val="19"/>
          <w:color w:val="auto"/>
        </w:rPr>
        <w:t>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Long-term borrowings at December 31, 2019 mature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10020" w:type="dxa"/>
            <w:vAlign w:val="bottom"/>
            <w:shd w:val="clear" w:color="auto" w:fill="CFF0FC"/>
          </w:tcPr>
          <w:p>
            <w:pPr>
              <w:spacing w:after="0"/>
              <w:rPr>
                <w:sz w:val="20"/>
                <w:szCs w:val="20"/>
                <w:color w:val="auto"/>
              </w:rPr>
            </w:pPr>
            <w:r>
              <w:rPr>
                <w:rFonts w:ascii="Arial" w:cs="Arial" w:eastAsia="Arial" w:hAnsi="Arial"/>
                <w:sz w:val="20"/>
                <w:szCs w:val="20"/>
                <w:color w:val="auto"/>
              </w:rPr>
              <w:t>Year ending December 31:</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2020</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2,010,251</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2021</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1,506,667</w:t>
            </w: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2022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907,794</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2023</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770,211</w:t>
            </w: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2024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479</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Later years</w:t>
            </w:r>
          </w:p>
        </w:tc>
        <w:tc>
          <w:tcPr>
            <w:tcW w:w="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1,790,784</w:t>
            </w:r>
          </w:p>
        </w:tc>
        <w:tc>
          <w:tcPr>
            <w:tcW w:w="100" w:type="dxa"/>
            <w:vAlign w:val="bottom"/>
            <w:shd w:val="clear" w:color="auto" w:fill="CFF0FC"/>
          </w:tcPr>
          <w:p>
            <w:pPr>
              <w:spacing w:after="0"/>
              <w:rPr>
                <w:sz w:val="21"/>
                <w:szCs w:val="21"/>
                <w:color w:val="auto"/>
              </w:rPr>
            </w:pPr>
          </w:p>
        </w:tc>
      </w:tr>
      <w:tr>
        <w:trPr>
          <w:trHeight w:val="243"/>
        </w:trPr>
        <w:tc>
          <w:tcPr>
            <w:tcW w:w="100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6,986,186</w:t>
            </w:r>
          </w:p>
        </w:tc>
        <w:tc>
          <w:tcPr>
            <w:tcW w:w="100" w:type="dxa"/>
            <w:vAlign w:val="bottom"/>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7"/>
          <w:szCs w:val="17"/>
          <w:b w:val="1"/>
          <w:bCs w:val="1"/>
          <w:color w:val="auto"/>
        </w:rPr>
        <w:t>Shareholders’ equity</w:t>
      </w:r>
    </w:p>
    <w:p>
      <w:pPr>
        <w:spacing w:after="0" w:line="23" w:lineRule="exact"/>
        <w:rPr>
          <w:sz w:val="20"/>
          <w:szCs w:val="20"/>
          <w:color w:val="auto"/>
        </w:rPr>
      </w:pPr>
    </w:p>
    <w:p>
      <w:pPr>
        <w:ind w:right="640"/>
        <w:spacing w:after="0" w:line="245" w:lineRule="auto"/>
        <w:rPr>
          <w:sz w:val="20"/>
          <w:szCs w:val="20"/>
          <w:color w:val="auto"/>
        </w:rPr>
      </w:pPr>
      <w:r>
        <w:rPr>
          <w:rFonts w:ascii="Arial" w:cs="Arial" w:eastAsia="Arial" w:hAnsi="Arial"/>
          <w:sz w:val="19"/>
          <w:szCs w:val="19"/>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9"/>
          <w:szCs w:val="19"/>
          <w:color w:val="auto"/>
        </w:rPr>
        <w:t>Issued and outstanding preferred stock of M&amp;T as of December 31, 2019 and 2018 is presented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000" w:type="dxa"/>
            <w:vAlign w:val="bottom"/>
          </w:tcPr>
          <w:p>
            <w:pPr>
              <w:spacing w:after="0"/>
              <w:rPr>
                <w:sz w:val="14"/>
                <w:szCs w:val="14"/>
                <w:color w:val="auto"/>
              </w:rPr>
            </w:pPr>
          </w:p>
        </w:tc>
        <w:tc>
          <w:tcPr>
            <w:tcW w:w="212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4"/>
                <w:szCs w:val="14"/>
                <w:color w:val="auto"/>
              </w:rPr>
            </w:pPr>
          </w:p>
        </w:tc>
        <w:tc>
          <w:tcPr>
            <w:tcW w:w="212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4"/>
                <w:szCs w:val="14"/>
                <w:b w:val="1"/>
                <w:bCs w:val="1"/>
                <w:color w:val="auto"/>
              </w:rPr>
              <w:t>December 31, 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00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1"/>
                <w:szCs w:val="11"/>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11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1"/>
                <w:szCs w:val="11"/>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5"/>
        </w:trPr>
        <w:tc>
          <w:tcPr>
            <w:tcW w:w="7000" w:type="dxa"/>
            <w:vAlign w:val="bottom"/>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7"/>
              </w:rPr>
              <w:t>Issued and</w:t>
            </w: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7"/>
              </w:rPr>
              <w:t>Issued and</w:t>
            </w: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0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22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6"/>
        </w:trPr>
        <w:tc>
          <w:tcPr>
            <w:tcW w:w="7000" w:type="dxa"/>
            <w:vAlign w:val="bottom"/>
            <w:vMerge w:val="restart"/>
          </w:tcPr>
          <w:p>
            <w:pPr>
              <w:spacing w:after="0"/>
              <w:rPr>
                <w:sz w:val="20"/>
                <w:szCs w:val="20"/>
                <w:color w:val="auto"/>
              </w:rPr>
            </w:pPr>
            <w:r>
              <w:rPr>
                <w:rFonts w:ascii="Arial" w:cs="Arial" w:eastAsia="Arial" w:hAnsi="Arial"/>
                <w:sz w:val="18"/>
                <w:szCs w:val="18"/>
                <w:color w:val="auto"/>
              </w:rPr>
              <w:t>Series A (a)</w:t>
            </w:r>
          </w:p>
        </w:tc>
        <w:tc>
          <w:tcPr>
            <w:tcW w:w="1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00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Fixed Rate Cumulative Perpetual Preferred Stock,</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$1,000 liquidation preference per share</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Series C (a)</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Fixed Rate Cumulative Perpetual Preferred Stock,</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$1,000 liquidation preference per share</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151,500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Series E (b)</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Fixed-to-Floating Rate Non-cumulative Perpetual Preferred</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Stock, $1,000 liquidation preference per share</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Series F (c)</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Fixed-to-Floating Rate Non-cumulative Perpetual Preferred</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Stock, $10,000 liquidation preference per share</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Series G (d)</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Fixed-Rate Reset Non-cumulative Perpetual Preferred Stock,</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$10,000 liquidation preference per share</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45" w:lineRule="exact"/>
        <w:rPr>
          <w:sz w:val="20"/>
          <w:szCs w:val="20"/>
          <w:color w:val="auto"/>
        </w:rPr>
      </w:pPr>
    </w:p>
    <w:p>
      <w:pPr>
        <w:ind w:left="600" w:right="200" w:hanging="595"/>
        <w:spacing w:after="0" w:line="234" w:lineRule="auto"/>
        <w:tabs>
          <w:tab w:leader="none" w:pos="60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The shares were fully redeemed in August 2019, having received the approval of the Federal Reserve to redeem such shares after issuing the Series G preferred stock. Declared dividends per share were $47.8125 in 2019 and $63.75 in each of 2018 and 2017.</w:t>
      </w:r>
    </w:p>
    <w:p>
      <w:pPr>
        <w:jc w:val="both"/>
        <w:ind w:left="600" w:right="20" w:hanging="595"/>
        <w:spacing w:after="0" w:line="245" w:lineRule="auto"/>
        <w:tabs>
          <w:tab w:leader="none" w:pos="600" w:val="left"/>
        </w:tabs>
        <w:numPr>
          <w:ilvl w:val="0"/>
          <w:numId w:val="43"/>
        </w:numPr>
        <w:rPr>
          <w:rFonts w:ascii="Arial" w:cs="Arial" w:eastAsia="Arial" w:hAnsi="Arial"/>
          <w:sz w:val="13"/>
          <w:szCs w:val="13"/>
          <w:i w:val="1"/>
          <w:iCs w:val="1"/>
          <w:color w:val="auto"/>
        </w:rPr>
      </w:pPr>
      <w:r>
        <w:rPr>
          <w:rFonts w:ascii="Arial" w:cs="Arial" w:eastAsia="Arial" w:hAnsi="Arial"/>
          <w:sz w:val="13"/>
          <w:szCs w:val="13"/>
          <w:i w:val="1"/>
          <w:iCs w:val="1"/>
          <w:color w:val="auto"/>
        </w:rPr>
        <w:t>Dividends, if declared, are paid semi-annually at a rate of 6.45% through February 14, 2024 and thereafter will be paid quarterly at a rate of the three-month LIBOR plus 361 basis points. The shares are redeemable in whole or in part on or after February 15, 2024. Notwithstanding M&amp;T’s option to redeem the shares, if an event occurs such that the shares no longer qualify as Tier 1 capital, M&amp;T may redeem all of the shares within 90 days following that occurrence. Declared dividends per share were $64.50 in each of 2019, 2018 and 2017.</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47" w:name="page148"/>
    <w:bookmarkEnd w:id="147"/>
    <w:p>
      <w:pPr>
        <w:jc w:val="both"/>
        <w:ind w:left="600" w:hanging="595"/>
        <w:spacing w:after="0" w:line="238" w:lineRule="auto"/>
        <w:tabs>
          <w:tab w:leader="none" w:pos="600" w:val="left"/>
        </w:tabs>
        <w:numPr>
          <w:ilvl w:val="0"/>
          <w:numId w:val="44"/>
        </w:numPr>
        <w:rPr>
          <w:rFonts w:ascii="Arial" w:cs="Arial" w:eastAsia="Arial" w:hAnsi="Arial"/>
          <w:sz w:val="13"/>
          <w:szCs w:val="13"/>
          <w:i w:val="1"/>
          <w:iCs w:val="1"/>
          <w:color w:val="auto"/>
        </w:rPr>
      </w:pPr>
      <w:r>
        <w:rPr>
          <w:rFonts w:ascii="Arial" w:cs="Arial" w:eastAsia="Arial" w:hAnsi="Arial"/>
          <w:sz w:val="13"/>
          <w:szCs w:val="13"/>
          <w:i w:val="1"/>
          <w:iCs w:val="1"/>
          <w:color w:val="auto"/>
        </w:rPr>
        <w:t>Dividends, if declared, are paid semi-annually at a rate of 5.125% through October 31, 2026 and thereafter will be paid quarterly at a rate of the three-month LIBOR plus 352 basis points. The shares are redeemable in whole or in part on or after November 1, 2026. Notwithstanding M&amp;T’s option to redeem the shares, if an event occurs such that the shares no longer qualify as Tier 1 capital, M&amp;T may redeem all of the shares within 90 days following that occurrence. Declared dividends per share were $512.50 in each of 2019, 2018 and 2017.</w:t>
      </w:r>
    </w:p>
    <w:p>
      <w:pPr>
        <w:ind w:left="540" w:right="220" w:hanging="535"/>
        <w:spacing w:after="0" w:line="245" w:lineRule="auto"/>
        <w:tabs>
          <w:tab w:leader="none" w:pos="540" w:val="left"/>
        </w:tabs>
        <w:numPr>
          <w:ilvl w:val="0"/>
          <w:numId w:val="44"/>
        </w:numPr>
        <w:rPr>
          <w:rFonts w:ascii="Arial" w:cs="Arial" w:eastAsia="Arial" w:hAnsi="Arial"/>
          <w:sz w:val="13"/>
          <w:szCs w:val="13"/>
          <w:i w:val="1"/>
          <w:iCs w:val="1"/>
          <w:color w:val="auto"/>
        </w:rPr>
      </w:pPr>
      <w:r>
        <w:rPr>
          <w:rFonts w:ascii="Arial" w:cs="Arial" w:eastAsia="Arial" w:hAnsi="Arial"/>
          <w:sz w:val="13"/>
          <w:szCs w:val="13"/>
          <w:i w:val="1"/>
          <w:iCs w:val="1"/>
          <w:color w:val="auto"/>
        </w:rPr>
        <w:t>Dividends, if declared, are paid semi-annually at a rate of 5.0% through July 31, 2024 and thereafter will be paid semiannually at a rate of the five-year U.S. Treasury rate plus 3.174%. The shares are redeemable in whole or in part on or after August 1, 2024. Notwithstanding M&amp;T’s option to redeem the shares, if an event occurs such that the shares no longer qualify as Tier 1 capital, M&amp;T may redeem all of the shares within 90 days following that occurrence. Declared dividends per share were $125.694 in 2019.</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7"/>
          <w:szCs w:val="17"/>
          <w:b w:val="1"/>
          <w:bCs w:val="1"/>
          <w:color w:val="auto"/>
        </w:rPr>
        <w:t>Revenue from contracts with customers</w:t>
      </w:r>
    </w:p>
    <w:p>
      <w:pPr>
        <w:spacing w:after="0" w:line="29"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Effective January 1, 2018 the Company adopted amended accounting and disclosure guidance for revenue from contracts with customers under the modified retrospective approach. A significant amount of the Company’s revenues are derived from net interest income on financial assets and liabilities, mortgage banking revenues, trading account and foreign exchange gains, investment securities gains, loan and letter of credit fees, income from bank-owned life insurance, and certain other revenues that are generally excluded from the scope of the amended guidance for revenue from contracts with customers. As a result of the adoption, the Company began reporting credit card interchange revenue net of $25 million and $14 million of rewards in other revenues from operations for the years ended December 31, 2019 and 2018, respectively. Credit card rewards expense of $13 million for the year ended December 31, 2017 was included in other costs of operations. The adjustment to beginning retained earnings as well as the impact of any changes in timing of revenue recognition of noninterest income items within the scope of the guidance was not material to the Company’s consolidated financial position at December 31, 2017 or its consolidated results of operations for the year ended December 31, 2018.</w:t>
      </w:r>
    </w:p>
    <w:p>
      <w:pPr>
        <w:spacing w:after="0" w:line="2" w:lineRule="exact"/>
        <w:rPr>
          <w:sz w:val="20"/>
          <w:szCs w:val="20"/>
          <w:color w:val="auto"/>
        </w:rPr>
      </w:pPr>
    </w:p>
    <w:p>
      <w:pPr>
        <w:ind w:right="120" w:firstLine="598"/>
        <w:spacing w:after="0" w:line="246" w:lineRule="auto"/>
        <w:rPr>
          <w:sz w:val="20"/>
          <w:szCs w:val="20"/>
          <w:color w:val="auto"/>
        </w:rPr>
      </w:pPr>
      <w:r>
        <w:rPr>
          <w:rFonts w:ascii="Arial" w:cs="Arial" w:eastAsia="Arial" w:hAnsi="Arial"/>
          <w:sz w:val="20"/>
          <w:szCs w:val="20"/>
          <w:color w:val="auto"/>
        </w:rPr>
        <w:t>For noninterest income revenue streams, the Company recognizes the expected amount of consideration as revenue when the performance obligations related to the services under the terms of a contract are satisfied. The Company’s contracts generally do not contain terms that necessitate significant judgment to determine the amount of revenue to recognize.</w:t>
      </w:r>
    </w:p>
    <w:p>
      <w:pPr>
        <w:spacing w:after="0" w:line="2" w:lineRule="exact"/>
        <w:rPr>
          <w:sz w:val="20"/>
          <w:szCs w:val="20"/>
          <w:color w:val="auto"/>
        </w:rPr>
      </w:pPr>
    </w:p>
    <w:p>
      <w:pPr>
        <w:ind w:right="40" w:firstLine="631"/>
        <w:spacing w:after="0" w:line="262" w:lineRule="auto"/>
        <w:rPr>
          <w:sz w:val="20"/>
          <w:szCs w:val="20"/>
          <w:color w:val="auto"/>
        </w:rPr>
      </w:pPr>
      <w:r>
        <w:rPr>
          <w:rFonts w:ascii="Arial" w:cs="Arial" w:eastAsia="Arial" w:hAnsi="Arial"/>
          <w:sz w:val="19"/>
          <w:szCs w:val="19"/>
          <w:color w:val="auto"/>
        </w:rPr>
        <w:t>The Company generally charges customer accounts or otherwise bills customers upon completion of its services. Typically the Company’s contracts with customers have a duration of one year or less and payment for services is received at least annually, but oftentimes more frequently as services are provided. At December 31, 2019 and 2018, the Company had $62 million and $56 million, respectively, of uncollected amounts receivable related to recognized revenue from the sources in the accompanying tables. Such amounts are classified in accrued interest and other assets in the Company’s consolidated balance sheet. In certain situations the Company is paid in advance of providing services and defers the recognition of revenue until its service obligation is satisfied. At each of December 31, 2019 and 2018, the Company had deferred revenue of $43 million related to the sources in the accompanying tables and recorded such amounts in accrued interest and other liabilities on its consolidated balance sheet. The following tables summarize sources of the Company’s noninterest income during 2019 and 2018 that are subject to the amended guidance.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Business</w:t>
            </w: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Commercial</w:t>
            </w: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Commercial</w:t>
            </w: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Discretionary</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Residential</w:t>
            </w: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Retail</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Mortgage</w:t>
            </w:r>
          </w:p>
        </w:tc>
        <w:tc>
          <w:tcPr>
            <w:tcW w:w="900" w:type="dxa"/>
            <w:vAlign w:val="bottom"/>
            <w:gridSpan w:val="2"/>
            <w:vMerge w:val="continue"/>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2019</w:t>
            </w: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Banking</w:t>
            </w: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Banking</w:t>
            </w: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Real Estate</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Portfolio</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Banking</w:t>
            </w: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Banking</w:t>
            </w: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78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40" w:type="dxa"/>
            <w:vAlign w:val="bottom"/>
            <w:tcBorders>
              <w:top w:val="single" w:sz="8" w:color="auto"/>
            </w:tcBorders>
            <w:gridSpan w:val="4"/>
          </w:tcPr>
          <w:p>
            <w:pPr>
              <w:ind w:left="400"/>
              <w:spacing w:after="0" w:line="138" w:lineRule="exact"/>
              <w:rPr>
                <w:sz w:val="20"/>
                <w:szCs w:val="20"/>
                <w:color w:val="auto"/>
              </w:rPr>
            </w:pPr>
            <w:r>
              <w:rPr>
                <w:rFonts w:ascii="Arial" w:cs="Arial" w:eastAsia="Arial" w:hAnsi="Arial"/>
                <w:sz w:val="14"/>
                <w:szCs w:val="14"/>
                <w:b w:val="1"/>
                <w:bCs w:val="1"/>
                <w:color w:val="auto"/>
              </w:rPr>
              <w:t>(In thousands)</w:t>
            </w:r>
          </w:p>
        </w:tc>
        <w:tc>
          <w:tcPr>
            <w:tcW w:w="6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880" w:type="dxa"/>
            <w:vAlign w:val="bottom"/>
            <w:tcBorders>
              <w:top w:val="single" w:sz="8" w:color="auto"/>
            </w:tcBorders>
          </w:tcPr>
          <w:p>
            <w:pPr>
              <w:spacing w:after="0"/>
              <w:rPr>
                <w:sz w:val="7"/>
                <w:szCs w:val="7"/>
                <w:color w:val="auto"/>
              </w:rPr>
            </w:pPr>
          </w:p>
        </w:tc>
        <w:tc>
          <w:tcPr>
            <w:tcW w:w="1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7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Classification in consolidated</w:t>
            </w: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78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statement of income</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80" w:type="dxa"/>
            <w:vAlign w:val="bottom"/>
            <w:gridSpan w:val="2"/>
          </w:tcPr>
          <w:p>
            <w:pPr>
              <w:spacing w:after="0"/>
              <w:rPr>
                <w:sz w:val="20"/>
                <w:szCs w:val="20"/>
                <w:color w:val="auto"/>
              </w:rPr>
            </w:pPr>
            <w:r>
              <w:rPr>
                <w:rFonts w:ascii="Arial" w:cs="Arial" w:eastAsia="Arial" w:hAnsi="Arial"/>
                <w:sz w:val="16"/>
                <w:szCs w:val="16"/>
                <w:color w:val="auto"/>
              </w:rPr>
              <w:t>Service charges on deposit accounts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89"/>
              </w:rPr>
              <w:t>60,690</w:t>
            </w: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93,044</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9,828</w:t>
            </w:r>
          </w:p>
        </w:tc>
        <w:tc>
          <w:tcPr>
            <w:tcW w:w="2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263,659</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5,753</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432,978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Trust income</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963</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571,614</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572,608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80" w:type="dxa"/>
            <w:vAlign w:val="bottom"/>
            <w:gridSpan w:val="2"/>
          </w:tcPr>
          <w:p>
            <w:pPr>
              <w:spacing w:after="0"/>
              <w:rPr>
                <w:sz w:val="20"/>
                <w:szCs w:val="20"/>
                <w:color w:val="auto"/>
              </w:rPr>
            </w:pPr>
            <w:r>
              <w:rPr>
                <w:rFonts w:ascii="Arial" w:cs="Arial" w:eastAsia="Arial" w:hAnsi="Arial"/>
                <w:sz w:val="16"/>
                <w:szCs w:val="16"/>
                <w:color w:val="auto"/>
              </w:rPr>
              <w:t>Brokerage services income</w:t>
            </w:r>
          </w:p>
        </w:tc>
        <w:tc>
          <w:tcPr>
            <w:tcW w:w="120" w:type="dxa"/>
            <w:vAlign w:val="bottom"/>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48,922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48,922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revenues from operations:</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780" w:type="dxa"/>
            <w:vAlign w:val="bottom"/>
            <w:gridSpan w:val="2"/>
          </w:tcPr>
          <w:p>
            <w:pPr>
              <w:ind w:left="240"/>
              <w:spacing w:after="0"/>
              <w:rPr>
                <w:sz w:val="20"/>
                <w:szCs w:val="20"/>
                <w:color w:val="auto"/>
              </w:rPr>
            </w:pPr>
            <w:r>
              <w:rPr>
                <w:rFonts w:ascii="Arial" w:cs="Arial" w:eastAsia="Arial" w:hAnsi="Arial"/>
                <w:sz w:val="16"/>
                <w:szCs w:val="16"/>
                <w:color w:val="auto"/>
              </w:rPr>
              <w:t>Merchant discount and credit</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80" w:type="dxa"/>
            <w:vAlign w:val="bottom"/>
            <w:gridSpan w:val="2"/>
          </w:tcPr>
          <w:p>
            <w:pPr>
              <w:ind w:left="360"/>
              <w:spacing w:after="0"/>
              <w:rPr>
                <w:sz w:val="20"/>
                <w:szCs w:val="20"/>
                <w:color w:val="auto"/>
              </w:rPr>
            </w:pPr>
            <w:r>
              <w:rPr>
                <w:rFonts w:ascii="Arial" w:cs="Arial" w:eastAsia="Arial" w:hAnsi="Arial"/>
                <w:sz w:val="16"/>
                <w:szCs w:val="16"/>
                <w:color w:val="auto"/>
              </w:rPr>
              <w:t>card fees</w:t>
            </w: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89"/>
              </w:rPr>
              <w:t>36,844</w:t>
            </w: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52,161</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2,516</w:t>
            </w:r>
          </w:p>
        </w:tc>
        <w:tc>
          <w:tcPr>
            <w:tcW w:w="2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12,140</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3,381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107,042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7,498</w:t>
            </w: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8,615</w:t>
            </w: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1,776</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3,492</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36,144</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34,088</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91,613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97,565</w:t>
            </w:r>
          </w:p>
        </w:tc>
        <w:tc>
          <w:tcPr>
            <w:tcW w:w="2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153,666</w:t>
            </w:r>
          </w:p>
        </w:tc>
        <w:tc>
          <w:tcPr>
            <w:tcW w:w="2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20,959</w:t>
            </w:r>
          </w:p>
        </w:tc>
        <w:tc>
          <w:tcPr>
            <w:tcW w:w="26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1,776</w:t>
            </w:r>
          </w:p>
        </w:tc>
        <w:tc>
          <w:tcPr>
            <w:tcW w:w="2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3,496</w:t>
            </w:r>
          </w:p>
        </w:tc>
        <w:tc>
          <w:tcPr>
            <w:tcW w:w="2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311,943</w:t>
            </w:r>
          </w:p>
        </w:tc>
        <w:tc>
          <w:tcPr>
            <w:tcW w:w="26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663,758</w:t>
            </w: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1,253,163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2018</w:t>
            </w: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1880" w:type="dxa"/>
            <w:vAlign w:val="bottom"/>
            <w:tcBorders>
              <w:top w:val="single" w:sz="8" w:color="auto"/>
            </w:tcBorders>
          </w:tcPr>
          <w:p>
            <w:pPr>
              <w:spacing w:after="0"/>
              <w:rPr>
                <w:sz w:val="7"/>
                <w:szCs w:val="7"/>
                <w:color w:val="auto"/>
              </w:rPr>
            </w:pPr>
          </w:p>
        </w:tc>
        <w:tc>
          <w:tcPr>
            <w:tcW w:w="1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7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Classification in consolidated</w:t>
            </w: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78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statement of income</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80" w:type="dxa"/>
            <w:vAlign w:val="bottom"/>
            <w:gridSpan w:val="2"/>
          </w:tcPr>
          <w:p>
            <w:pPr>
              <w:spacing w:after="0"/>
              <w:rPr>
                <w:sz w:val="20"/>
                <w:szCs w:val="20"/>
                <w:color w:val="auto"/>
              </w:rPr>
            </w:pPr>
            <w:r>
              <w:rPr>
                <w:rFonts w:ascii="Arial" w:cs="Arial" w:eastAsia="Arial" w:hAnsi="Arial"/>
                <w:sz w:val="16"/>
                <w:szCs w:val="16"/>
                <w:color w:val="auto"/>
              </w:rPr>
              <w:t>Service charges on deposit accounts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89"/>
              </w:rPr>
              <w:t>62,323</w:t>
            </w: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96,407</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9,870</w:t>
            </w:r>
          </w:p>
        </w:tc>
        <w:tc>
          <w:tcPr>
            <w:tcW w:w="2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254,590</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6,137</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429,337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Trust income</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917</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536,659</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537,585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80" w:type="dxa"/>
            <w:vAlign w:val="bottom"/>
            <w:gridSpan w:val="2"/>
          </w:tcPr>
          <w:p>
            <w:pPr>
              <w:spacing w:after="0"/>
              <w:rPr>
                <w:sz w:val="20"/>
                <w:szCs w:val="20"/>
                <w:color w:val="auto"/>
              </w:rPr>
            </w:pPr>
            <w:r>
              <w:rPr>
                <w:rFonts w:ascii="Arial" w:cs="Arial" w:eastAsia="Arial" w:hAnsi="Arial"/>
                <w:sz w:val="16"/>
                <w:szCs w:val="16"/>
                <w:color w:val="auto"/>
              </w:rPr>
              <w:t>Brokerage services income</w:t>
            </w:r>
          </w:p>
        </w:tc>
        <w:tc>
          <w:tcPr>
            <w:tcW w:w="120" w:type="dxa"/>
            <w:vAlign w:val="bottom"/>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51,069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51,069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revenues from operations:</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780" w:type="dxa"/>
            <w:vAlign w:val="bottom"/>
            <w:gridSpan w:val="2"/>
          </w:tcPr>
          <w:p>
            <w:pPr>
              <w:ind w:left="240"/>
              <w:spacing w:after="0"/>
              <w:rPr>
                <w:sz w:val="20"/>
                <w:szCs w:val="20"/>
                <w:color w:val="auto"/>
              </w:rPr>
            </w:pPr>
            <w:r>
              <w:rPr>
                <w:rFonts w:ascii="Arial" w:cs="Arial" w:eastAsia="Arial" w:hAnsi="Arial"/>
                <w:sz w:val="16"/>
                <w:szCs w:val="16"/>
                <w:color w:val="auto"/>
              </w:rPr>
              <w:t>Merchant discount and credit</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80" w:type="dxa"/>
            <w:vAlign w:val="bottom"/>
            <w:gridSpan w:val="2"/>
          </w:tcPr>
          <w:p>
            <w:pPr>
              <w:ind w:left="360"/>
              <w:spacing w:after="0"/>
              <w:rPr>
                <w:sz w:val="20"/>
                <w:szCs w:val="20"/>
                <w:color w:val="auto"/>
              </w:rPr>
            </w:pPr>
            <w:r>
              <w:rPr>
                <w:rFonts w:ascii="Arial" w:cs="Arial" w:eastAsia="Arial" w:hAnsi="Arial"/>
                <w:sz w:val="16"/>
                <w:szCs w:val="16"/>
                <w:color w:val="auto"/>
              </w:rPr>
              <w:t>card fees</w:t>
            </w: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89"/>
              </w:rPr>
              <w:t>34,557</w:t>
            </w: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52,051</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2,213</w:t>
            </w:r>
          </w:p>
        </w:tc>
        <w:tc>
          <w:tcPr>
            <w:tcW w:w="2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14,924</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2,208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105,953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8,796</w:t>
            </w: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7,259</w:t>
            </w: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1,738</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3,814</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38,529</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30,233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90,369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96,889</w:t>
            </w:r>
          </w:p>
        </w:tc>
        <w:tc>
          <w:tcPr>
            <w:tcW w:w="2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158,171</w:t>
            </w:r>
          </w:p>
        </w:tc>
        <w:tc>
          <w:tcPr>
            <w:tcW w:w="2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19,342</w:t>
            </w:r>
          </w:p>
        </w:tc>
        <w:tc>
          <w:tcPr>
            <w:tcW w:w="26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1,738</w:t>
            </w:r>
          </w:p>
        </w:tc>
        <w:tc>
          <w:tcPr>
            <w:tcW w:w="2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3,824</w:t>
            </w:r>
          </w:p>
        </w:tc>
        <w:tc>
          <w:tcPr>
            <w:tcW w:w="2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308,043</w:t>
            </w:r>
          </w:p>
        </w:tc>
        <w:tc>
          <w:tcPr>
            <w:tcW w:w="26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626,306</w:t>
            </w: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1,214,313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160"/>
        <w:spacing w:after="0" w:line="256" w:lineRule="auto"/>
        <w:rPr>
          <w:sz w:val="20"/>
          <w:szCs w:val="20"/>
          <w:color w:val="auto"/>
        </w:rPr>
      </w:pPr>
      <w:r>
        <w:rPr>
          <w:rFonts w:ascii="Arial" w:cs="Arial" w:eastAsia="Arial" w:hAnsi="Arial"/>
          <w:sz w:val="20"/>
          <w:szCs w:val="20"/>
          <w:i w:val="1"/>
          <w:iCs w:val="1"/>
          <w:color w:val="auto"/>
        </w:rPr>
        <w:t xml:space="preserve">Service charges on deposit accounts </w:t>
      </w:r>
      <w:r>
        <w:rPr>
          <w:rFonts w:ascii="Arial" w:cs="Arial" w:eastAsia="Arial" w:hAnsi="Arial"/>
          <w:sz w:val="20"/>
          <w:szCs w:val="20"/>
          <w:color w:val="auto"/>
        </w:rPr>
        <w:t>include fees deducted directly from customer account balances, such as account maintenance,</w:t>
      </w:r>
      <w:r>
        <w:rPr>
          <w:rFonts w:ascii="Arial" w:cs="Arial" w:eastAsia="Arial" w:hAnsi="Arial"/>
          <w:sz w:val="20"/>
          <w:szCs w:val="20"/>
          <w:i w:val="1"/>
          <w:iCs w:val="1"/>
          <w:color w:val="auto"/>
        </w:rPr>
        <w:t xml:space="preserve"> </w:t>
      </w:r>
      <w:r>
        <w:rPr>
          <w:rFonts w:ascii="Arial" w:cs="Arial" w:eastAsia="Arial" w:hAnsi="Arial"/>
          <w:sz w:val="20"/>
          <w:szCs w:val="20"/>
          <w:color w:val="auto"/>
        </w:rPr>
        <w:t>insufficient funds and other transactional service charges, and also include debit card interchange revenue resulting from customer initiated transactions. Account maintenance charges are generally recognized as revenue on a monthly basis, whereas other fees are recognized after the respective service is provided.</w:t>
      </w:r>
    </w:p>
    <w:p>
      <w:pPr>
        <w:spacing w:after="0" w:line="175" w:lineRule="exact"/>
        <w:rPr>
          <w:sz w:val="20"/>
          <w:szCs w:val="20"/>
          <w:color w:val="auto"/>
        </w:rPr>
      </w:pPr>
    </w:p>
    <w:p>
      <w:pPr>
        <w:ind w:right="80"/>
        <w:spacing w:after="0" w:line="268" w:lineRule="auto"/>
        <w:rPr>
          <w:sz w:val="20"/>
          <w:szCs w:val="20"/>
          <w:color w:val="auto"/>
        </w:rPr>
      </w:pPr>
      <w:r>
        <w:rPr>
          <w:rFonts w:ascii="Arial" w:cs="Arial" w:eastAsia="Arial" w:hAnsi="Arial"/>
          <w:sz w:val="19"/>
          <w:szCs w:val="19"/>
          <w:i w:val="1"/>
          <w:iCs w:val="1"/>
          <w:color w:val="auto"/>
        </w:rPr>
        <w:t xml:space="preserve">Trust income </w:t>
      </w:r>
      <w:r>
        <w:rPr>
          <w:rFonts w:ascii="Arial" w:cs="Arial" w:eastAsia="Arial" w:hAnsi="Arial"/>
          <w:sz w:val="19"/>
          <w:szCs w:val="19"/>
          <w:color w:val="auto"/>
        </w:rPr>
        <w:t>includes fees related to the Institutional Client Services (“ICS”) business and the Wealth Advisory Services (“WAS”)</w:t>
      </w:r>
      <w:r>
        <w:rPr>
          <w:rFonts w:ascii="Arial" w:cs="Arial" w:eastAsia="Arial" w:hAnsi="Arial"/>
          <w:sz w:val="19"/>
          <w:szCs w:val="19"/>
          <w:i w:val="1"/>
          <w:iCs w:val="1"/>
          <w:color w:val="auto"/>
        </w:rPr>
        <w:t xml:space="preserve"> </w:t>
      </w:r>
      <w:r>
        <w:rPr>
          <w:rFonts w:ascii="Arial" w:cs="Arial" w:eastAsia="Arial" w:hAnsi="Arial"/>
          <w:sz w:val="19"/>
          <w:szCs w:val="19"/>
          <w:color w:val="auto"/>
        </w:rPr>
        <w:t>business. Revenues from the ICS business are largely derived from a variety of trustee, agency, investment, cash management and administrative services, whereas revenues from the WAS business are mainly derived from asset management, fiduciary services, and family office services. Trust fees may be billed in arrears or in advance and are recognized as revenues as the Company’s performance obligations are satisfied. Certain fees are based on a percentage of assets invested or under management and are recognized as the service is performed and constraints regarding the uncertainty of the amount of fees are resolved.</w:t>
      </w:r>
    </w:p>
    <w:p>
      <w:pPr>
        <w:spacing w:after="0" w:line="192" w:lineRule="exact"/>
        <w:rPr>
          <w:sz w:val="20"/>
          <w:szCs w:val="20"/>
          <w:color w:val="auto"/>
        </w:rPr>
      </w:pPr>
    </w:p>
    <w:p>
      <w:pPr>
        <w:jc w:val="both"/>
        <w:ind w:right="200"/>
        <w:spacing w:after="0" w:line="281" w:lineRule="auto"/>
        <w:rPr>
          <w:sz w:val="20"/>
          <w:szCs w:val="20"/>
          <w:color w:val="auto"/>
        </w:rPr>
      </w:pPr>
      <w:r>
        <w:rPr>
          <w:rFonts w:ascii="Arial" w:cs="Arial" w:eastAsia="Arial" w:hAnsi="Arial"/>
          <w:sz w:val="19"/>
          <w:szCs w:val="19"/>
          <w:i w:val="1"/>
          <w:iCs w:val="1"/>
          <w:color w:val="auto"/>
        </w:rPr>
        <w:t xml:space="preserve">Brokerage services income </w:t>
      </w:r>
      <w:r>
        <w:rPr>
          <w:rFonts w:ascii="Arial" w:cs="Arial" w:eastAsia="Arial" w:hAnsi="Arial"/>
          <w:sz w:val="19"/>
          <w:szCs w:val="19"/>
          <w:color w:val="auto"/>
        </w:rPr>
        <w:t>includes revenues from the sale of mutual funds and annuities and securities brokerage fees. Such revenues are</w:t>
      </w:r>
      <w:r>
        <w:rPr>
          <w:rFonts w:ascii="Arial" w:cs="Arial" w:eastAsia="Arial" w:hAnsi="Arial"/>
          <w:sz w:val="19"/>
          <w:szCs w:val="19"/>
          <w:i w:val="1"/>
          <w:iCs w:val="1"/>
          <w:color w:val="auto"/>
        </w:rPr>
        <w:t xml:space="preserve"> </w:t>
      </w:r>
      <w:r>
        <w:rPr>
          <w:rFonts w:ascii="Arial" w:cs="Arial" w:eastAsia="Arial" w:hAnsi="Arial"/>
          <w:sz w:val="19"/>
          <w:szCs w:val="19"/>
          <w:color w:val="auto"/>
        </w:rPr>
        <w:t>generally recognized at the time of transaction execution. Mutual fund and other distribution fees are recognized upon initial placement of customer funds as well as in future periods as such customers continue to hold amounts in those mutual funds.</w:t>
      </w:r>
    </w:p>
    <w:p>
      <w:pPr>
        <w:spacing w:after="0" w:line="179" w:lineRule="exact"/>
        <w:rPr>
          <w:sz w:val="20"/>
          <w:szCs w:val="20"/>
          <w:color w:val="auto"/>
        </w:rPr>
      </w:pPr>
    </w:p>
    <w:p>
      <w:pPr>
        <w:ind w:right="160"/>
        <w:spacing w:after="0" w:line="274" w:lineRule="auto"/>
        <w:rPr>
          <w:sz w:val="20"/>
          <w:szCs w:val="20"/>
          <w:color w:val="auto"/>
        </w:rPr>
      </w:pPr>
      <w:r>
        <w:rPr>
          <w:rFonts w:ascii="Arial" w:cs="Arial" w:eastAsia="Arial" w:hAnsi="Arial"/>
          <w:sz w:val="19"/>
          <w:szCs w:val="19"/>
          <w:i w:val="1"/>
          <w:iCs w:val="1"/>
          <w:color w:val="auto"/>
        </w:rPr>
        <w:t xml:space="preserve">Other revenues from operations </w:t>
      </w:r>
      <w:r>
        <w:rPr>
          <w:rFonts w:ascii="Arial" w:cs="Arial" w:eastAsia="Arial" w:hAnsi="Arial"/>
          <w:sz w:val="19"/>
          <w:szCs w:val="19"/>
          <w:color w:val="auto"/>
        </w:rPr>
        <w:t>include merchant discount and credit card fees such as interchange fees and merchant discount fees that are</w:t>
      </w:r>
      <w:r>
        <w:rPr>
          <w:rFonts w:ascii="Arial" w:cs="Arial" w:eastAsia="Arial" w:hAnsi="Arial"/>
          <w:sz w:val="19"/>
          <w:szCs w:val="19"/>
          <w:i w:val="1"/>
          <w:iCs w:val="1"/>
          <w:color w:val="auto"/>
        </w:rPr>
        <w:t xml:space="preserve"> </w:t>
      </w:r>
      <w:r>
        <w:rPr>
          <w:rFonts w:ascii="Arial" w:cs="Arial" w:eastAsia="Arial" w:hAnsi="Arial"/>
          <w:sz w:val="19"/>
          <w:szCs w:val="19"/>
          <w:color w:val="auto"/>
        </w:rPr>
        <w:t>generally recognized when the cardholder’s transaction is approved and settled. Beginning in 2018, credit card rewards accrued to cardholders are recognized as a reduction of interchange revenue. Also included in other revenues from operations are insurance commissions, ATM surcharge fees, and advisory fees. Insurance commissions are recognized at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149" w:name="page150"/>
    <w:bookmarkEnd w:id="149"/>
    <w:p>
      <w:pPr>
        <w:ind w:right="40"/>
        <w:spacing w:after="0" w:line="261" w:lineRule="auto"/>
        <w:rPr>
          <w:sz w:val="20"/>
          <w:szCs w:val="20"/>
          <w:color w:val="auto"/>
        </w:rPr>
      </w:pPr>
      <w:r>
        <w:rPr>
          <w:rFonts w:ascii="Arial" w:cs="Arial" w:eastAsia="Arial" w:hAnsi="Arial"/>
          <w:sz w:val="20"/>
          <w:szCs w:val="20"/>
          <w:color w:val="auto"/>
        </w:rPr>
        <w:t>time the insurance policy is executed with the customer. Insurance renewal commissions are recognized upon subsequent renewal of the policy. ATM surcharge fees are included in revenue at the time of the respective ATM transaction. Advisory fees are generally recognized at the conclusion of the advisory engagement when the Company has satisfied its service obligation.</w:t>
      </w:r>
    </w:p>
    <w:p>
      <w:pPr>
        <w:spacing w:after="0" w:line="34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7"/>
          <w:szCs w:val="17"/>
          <w:b w:val="1"/>
          <w:bCs w:val="1"/>
          <w:color w:val="auto"/>
        </w:rPr>
        <w:t>Stock-based compensation plans</w:t>
      </w:r>
    </w:p>
    <w:p>
      <w:pPr>
        <w:spacing w:after="0" w:line="2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Stock-based compensation expense was $76 million in 2019, $66 million in 2018 and $61 million in 2017. The Company recognized income tax benefits related to stock-based compensation of $19 million in 2019, $24 million in 2018 and $35 million in 2017.</w:t>
      </w:r>
    </w:p>
    <w:p>
      <w:pPr>
        <w:spacing w:after="0" w:line="1" w:lineRule="exact"/>
        <w:rPr>
          <w:sz w:val="20"/>
          <w:szCs w:val="20"/>
          <w:color w:val="auto"/>
        </w:rPr>
      </w:pPr>
    </w:p>
    <w:p>
      <w:pPr>
        <w:jc w:val="both"/>
        <w:ind w:right="40" w:firstLine="598"/>
        <w:spacing w:after="0" w:line="293" w:lineRule="auto"/>
        <w:rPr>
          <w:sz w:val="20"/>
          <w:szCs w:val="20"/>
          <w:color w:val="auto"/>
        </w:rPr>
      </w:pPr>
      <w:r>
        <w:rPr>
          <w:rFonts w:ascii="Arial" w:cs="Arial" w:eastAsia="Arial" w:hAnsi="Arial"/>
          <w:sz w:val="18"/>
          <w:szCs w:val="18"/>
          <w:color w:val="auto"/>
        </w:rPr>
        <w:t>The Company’s equity incentive compensation plan allows for the issuance of various forms of stock-based compensation, including stock options, restricted stock and restricted stock units, including performance-based awards. At December 31, 2019 and 2018, respectively, there were 3,742,478 and 2,833,428 shares available for future grant under the Company’s equity incentive compensation plan.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 awards</w:t>
      </w:r>
    </w:p>
    <w:p>
      <w:pPr>
        <w:spacing w:after="0" w:line="25"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Stock awards are comprised of restricted stock and restricted stock units. Stock awards granted since 2014 generally vest over three years. Stock awards granted prior to 2014 vested over four years. A portion of stock awards granted after 2013 require a performance condition to be met before such awards vest. The Company may issue shares from treasury stock to the extent available or issue new shares. The number of restricted shares issued was 181,939 in 2017 with a weighted-average grant date fair value of $30 million. There were no restricted shares issued in 2019 or 2018. The number of restricted stock units issued was 448,487 in 2019, 348,512 in 2018 and 235,983 in 2017, with a weighted-average grant date fair value of $74 million, $66 million and $38 million, respectively. Unrecognized compensation expense associated with restricted stock units was $22 million as of December 31, 2019 and is expected to be recognized over a weighted-average period of approximately one year.</w:t>
      </w:r>
    </w:p>
    <w:p>
      <w:pPr>
        <w:spacing w:after="0" w:line="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 summary of restricted stock and restricted stock unit activity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Restricted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Restricted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Weighted-</w:t>
            </w:r>
          </w:p>
        </w:tc>
      </w:tr>
      <w:tr>
        <w:trPr>
          <w:trHeight w:val="145"/>
        </w:trPr>
        <w:tc>
          <w:tcPr>
            <w:tcW w:w="5960" w:type="dxa"/>
            <w:vAlign w:val="bottom"/>
          </w:tcPr>
          <w:p>
            <w:pPr>
              <w:spacing w:after="0"/>
              <w:rPr>
                <w:sz w:val="12"/>
                <w:szCs w:val="12"/>
                <w:color w:val="auto"/>
              </w:rPr>
            </w:pPr>
          </w:p>
        </w:tc>
        <w:tc>
          <w:tcPr>
            <w:tcW w:w="13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88"/>
              </w:rPr>
              <w:t>Stock Units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86"/>
              </w:rPr>
              <w:t>Average</w:t>
            </w:r>
          </w:p>
        </w:tc>
        <w:tc>
          <w:tcPr>
            <w:tcW w:w="14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6"/>
              </w:rPr>
              <w:t>Average</w:t>
            </w:r>
          </w:p>
        </w:tc>
      </w:tr>
      <w:tr>
        <w:trPr>
          <w:trHeight w:val="167"/>
        </w:trPr>
        <w:tc>
          <w:tcPr>
            <w:tcW w:w="59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5"/>
              </w:rPr>
              <w:t>Grant Price</w:t>
            </w:r>
          </w:p>
        </w:tc>
        <w:tc>
          <w:tcPr>
            <w:tcW w:w="2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5"/>
              </w:rPr>
              <w:t>Grant Price</w:t>
            </w:r>
          </w:p>
        </w:tc>
        <w:tc>
          <w:tcPr>
            <w:tcW w:w="100" w:type="dxa"/>
            <w:vAlign w:val="bottom"/>
          </w:tcPr>
          <w:p>
            <w:pPr>
              <w:spacing w:after="0"/>
              <w:rPr>
                <w:sz w:val="14"/>
                <w:szCs w:val="14"/>
                <w:color w:val="auto"/>
              </w:rPr>
            </w:pPr>
          </w:p>
        </w:tc>
      </w:tr>
      <w:tr>
        <w:trPr>
          <w:trHeight w:val="400"/>
        </w:trPr>
        <w:tc>
          <w:tcPr>
            <w:tcW w:w="5960" w:type="dxa"/>
            <w:vAlign w:val="bottom"/>
          </w:tcPr>
          <w:p>
            <w:pPr>
              <w:spacing w:after="0"/>
              <w:rPr>
                <w:sz w:val="20"/>
                <w:szCs w:val="20"/>
                <w:color w:val="auto"/>
              </w:rPr>
            </w:pPr>
            <w:r>
              <w:rPr>
                <w:rFonts w:ascii="Arial" w:cs="Arial" w:eastAsia="Arial" w:hAnsi="Arial"/>
                <w:sz w:val="20"/>
                <w:szCs w:val="20"/>
                <w:color w:val="auto"/>
              </w:rPr>
              <w:t>Unvested at January 1, 2019</w:t>
            </w:r>
          </w:p>
        </w:tc>
        <w:tc>
          <w:tcPr>
            <w:tcW w:w="1140" w:type="dxa"/>
            <w:vAlign w:val="bottom"/>
          </w:tcPr>
          <w:p>
            <w:pPr>
              <w:jc w:val="right"/>
              <w:spacing w:after="0"/>
              <w:rPr>
                <w:sz w:val="20"/>
                <w:szCs w:val="20"/>
                <w:color w:val="auto"/>
              </w:rPr>
            </w:pPr>
            <w:r>
              <w:rPr>
                <w:rFonts w:ascii="Arial" w:cs="Arial" w:eastAsia="Arial" w:hAnsi="Arial"/>
                <w:sz w:val="20"/>
                <w:szCs w:val="20"/>
                <w:color w:val="auto"/>
              </w:rPr>
              <w:t>556,875</w:t>
            </w:r>
          </w:p>
        </w:tc>
        <w:tc>
          <w:tcPr>
            <w:tcW w:w="1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170.07</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179,439</w:t>
            </w:r>
          </w:p>
        </w:tc>
        <w:tc>
          <w:tcPr>
            <w:tcW w:w="2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144.18</w:t>
            </w:r>
          </w:p>
        </w:tc>
        <w:tc>
          <w:tcPr>
            <w:tcW w:w="100" w:type="dxa"/>
            <w:vAlign w:val="bottom"/>
          </w:tcPr>
          <w:p>
            <w:pPr>
              <w:spacing w:after="0"/>
              <w:rPr>
                <w:sz w:val="24"/>
                <w:szCs w:val="24"/>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Granted</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448,487</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164.63</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50"/>
        </w:trPr>
        <w:tc>
          <w:tcPr>
            <w:tcW w:w="5960" w:type="dxa"/>
            <w:vAlign w:val="bottom"/>
          </w:tcPr>
          <w:p>
            <w:pPr>
              <w:spacing w:after="0"/>
              <w:rPr>
                <w:sz w:val="20"/>
                <w:szCs w:val="20"/>
                <w:color w:val="auto"/>
              </w:rPr>
            </w:pPr>
            <w:r>
              <w:rPr>
                <w:rFonts w:ascii="Arial" w:cs="Arial" w:eastAsia="Arial" w:hAnsi="Arial"/>
                <w:sz w:val="20"/>
                <w:szCs w:val="20"/>
                <w:color w:val="auto"/>
              </w:rPr>
              <w:t>Vested</w:t>
            </w:r>
          </w:p>
        </w:tc>
        <w:tc>
          <w:tcPr>
            <w:tcW w:w="1300" w:type="dxa"/>
            <w:vAlign w:val="bottom"/>
            <w:gridSpan w:val="2"/>
          </w:tcPr>
          <w:p>
            <w:pPr>
              <w:jc w:val="right"/>
              <w:ind w:right="100"/>
              <w:spacing w:after="0"/>
              <w:rPr>
                <w:sz w:val="20"/>
                <w:szCs w:val="20"/>
                <w:color w:val="auto"/>
              </w:rPr>
            </w:pPr>
            <w:r>
              <w:rPr>
                <w:rFonts w:ascii="Arial" w:cs="Arial" w:eastAsia="Arial" w:hAnsi="Arial"/>
                <w:sz w:val="20"/>
                <w:szCs w:val="20"/>
                <w:color w:val="auto"/>
              </w:rPr>
              <w:t>(298,243)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157.90</w:t>
            </w:r>
          </w:p>
        </w:tc>
        <w:tc>
          <w:tcPr>
            <w:tcW w:w="24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(113,894)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133.69</w:t>
            </w:r>
          </w:p>
        </w:tc>
        <w:tc>
          <w:tcPr>
            <w:tcW w:w="100" w:type="dxa"/>
            <w:vAlign w:val="bottom"/>
          </w:tcPr>
          <w:p>
            <w:pPr>
              <w:spacing w:after="0"/>
              <w:rPr>
                <w:sz w:val="21"/>
                <w:szCs w:val="21"/>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Cancelled</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(15,892)</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173.48</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(1,954)</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161.42</w:t>
            </w:r>
          </w:p>
        </w:tc>
        <w:tc>
          <w:tcPr>
            <w:tcW w:w="100" w:type="dxa"/>
            <w:vAlign w:val="bottom"/>
            <w:shd w:val="clear" w:color="auto" w:fill="CFF0FC"/>
          </w:tcPr>
          <w:p>
            <w:pPr>
              <w:spacing w:after="0"/>
              <w:rPr>
                <w:sz w:val="21"/>
                <w:szCs w:val="21"/>
                <w:color w:val="auto"/>
              </w:rPr>
            </w:pPr>
          </w:p>
        </w:tc>
      </w:tr>
      <w:tr>
        <w:trPr>
          <w:trHeight w:val="243"/>
        </w:trPr>
        <w:tc>
          <w:tcPr>
            <w:tcW w:w="5960" w:type="dxa"/>
            <w:vAlign w:val="bottom"/>
          </w:tcPr>
          <w:p>
            <w:pPr>
              <w:spacing w:after="0"/>
              <w:rPr>
                <w:sz w:val="20"/>
                <w:szCs w:val="20"/>
                <w:color w:val="auto"/>
              </w:rPr>
            </w:pPr>
            <w:r>
              <w:rPr>
                <w:rFonts w:ascii="Arial" w:cs="Arial" w:eastAsia="Arial" w:hAnsi="Arial"/>
                <w:sz w:val="20"/>
                <w:szCs w:val="20"/>
                <w:color w:val="auto"/>
              </w:rPr>
              <w:t>Unvested at December 31, 2019</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691,227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171.72</w:t>
            </w:r>
          </w:p>
        </w:tc>
        <w:tc>
          <w:tcPr>
            <w:tcW w:w="24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63,591</w:t>
            </w: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162.45</w:t>
            </w:r>
          </w:p>
        </w:tc>
        <w:tc>
          <w:tcPr>
            <w:tcW w:w="100" w:type="dxa"/>
            <w:vAlign w:val="bottom"/>
          </w:tcPr>
          <w:p>
            <w:pPr>
              <w:spacing w:after="0"/>
              <w:rPr>
                <w:sz w:val="21"/>
                <w:szCs w:val="21"/>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 option awards</w:t>
      </w:r>
    </w:p>
    <w:p>
      <w:pPr>
        <w:spacing w:after="0" w:line="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Stock options issued generally vest over three years and are exercisable over terms not exceeding ten years and one day. The Company used an option pricing model to estimate the grant date present value of stock options granted. The Company granted 164,244 and 116,852 stock options in 2019 and 2018, respectively. Stock options granted in 2017 were not significant. The fair value of options granted in each of 2019,</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2018 and 2017 was not material.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50" w:name="page151"/>
    <w:bookmarkEnd w:id="150"/>
    <w:p>
      <w:pPr>
        <w:ind w:left="600"/>
        <w:spacing w:after="0"/>
        <w:rPr>
          <w:sz w:val="20"/>
          <w:szCs w:val="20"/>
          <w:color w:val="auto"/>
        </w:rPr>
      </w:pPr>
      <w:r>
        <w:rPr>
          <w:rFonts w:ascii="Arial" w:cs="Arial" w:eastAsia="Arial" w:hAnsi="Arial"/>
          <w:sz w:val="20"/>
          <w:szCs w:val="20"/>
          <w:color w:val="auto"/>
        </w:rPr>
        <w:t>A summary of stock option activity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60" w:type="dxa"/>
            <w:vAlign w:val="bottom"/>
          </w:tcPr>
          <w:p>
            <w:pPr>
              <w:spacing w:after="0"/>
              <w:rPr>
                <w:sz w:val="14"/>
                <w:szCs w:val="14"/>
                <w:color w:val="auto"/>
              </w:rPr>
            </w:pP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Weighted-Average</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28"/>
        </w:trPr>
        <w:tc>
          <w:tcPr>
            <w:tcW w:w="59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Exercise</w:t>
            </w:r>
          </w:p>
        </w:tc>
        <w:tc>
          <w:tcPr>
            <w:tcW w:w="880" w:type="dxa"/>
            <w:vAlign w:val="bottom"/>
            <w:vMerge w:val="restart"/>
          </w:tcPr>
          <w:p>
            <w:pPr>
              <w:jc w:val="center"/>
              <w:ind w:left="210"/>
              <w:spacing w:after="0"/>
              <w:rPr>
                <w:sz w:val="20"/>
                <w:szCs w:val="20"/>
                <w:color w:val="auto"/>
              </w:rPr>
            </w:pPr>
            <w:r>
              <w:rPr>
                <w:rFonts w:ascii="Arial" w:cs="Arial" w:eastAsia="Arial" w:hAnsi="Arial"/>
                <w:sz w:val="14"/>
                <w:szCs w:val="14"/>
                <w:b w:val="1"/>
                <w:bCs w:val="1"/>
                <w:color w:val="auto"/>
                <w:w w:val="96"/>
              </w:rPr>
              <w:t>Life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960" w:type="dxa"/>
            <w:vAlign w:val="bottom"/>
          </w:tcPr>
          <w:p>
            <w:pPr>
              <w:spacing w:after="0"/>
              <w:rPr>
                <w:sz w:val="12"/>
                <w:szCs w:val="12"/>
                <w:color w:val="auto"/>
              </w:rPr>
            </w:pPr>
          </w:p>
        </w:tc>
        <w:tc>
          <w:tcPr>
            <w:tcW w:w="13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167"/>
        </w:trPr>
        <w:tc>
          <w:tcPr>
            <w:tcW w:w="59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Price</w:t>
            </w:r>
          </w:p>
        </w:tc>
        <w:tc>
          <w:tcPr>
            <w:tcW w:w="240" w:type="dxa"/>
            <w:vAlign w:val="bottom"/>
          </w:tcPr>
          <w:p>
            <w:pPr>
              <w:spacing w:after="0"/>
              <w:rPr>
                <w:sz w:val="14"/>
                <w:szCs w:val="14"/>
                <w:color w:val="auto"/>
              </w:rPr>
            </w:pPr>
          </w:p>
        </w:tc>
        <w:tc>
          <w:tcPr>
            <w:tcW w:w="880" w:type="dxa"/>
            <w:vAlign w:val="bottom"/>
            <w:tcBorders>
              <w:bottom w:val="single" w:sz="8" w:color="auto"/>
            </w:tcBorders>
          </w:tcPr>
          <w:p>
            <w:pPr>
              <w:jc w:val="center"/>
              <w:ind w:left="210"/>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0"/>
        </w:trPr>
        <w:tc>
          <w:tcPr>
            <w:tcW w:w="5960" w:type="dxa"/>
            <w:vAlign w:val="bottom"/>
          </w:tcPr>
          <w:p>
            <w:pPr>
              <w:spacing w:after="0"/>
              <w:rPr>
                <w:sz w:val="20"/>
                <w:szCs w:val="20"/>
                <w:color w:val="auto"/>
              </w:rPr>
            </w:pPr>
            <w:r>
              <w:rPr>
                <w:rFonts w:ascii="Arial" w:cs="Arial" w:eastAsia="Arial" w:hAnsi="Arial"/>
                <w:sz w:val="20"/>
                <w:szCs w:val="20"/>
                <w:color w:val="auto"/>
              </w:rPr>
              <w:t>Outstanding at January 1, 2019</w:t>
            </w:r>
          </w:p>
        </w:tc>
        <w:tc>
          <w:tcPr>
            <w:tcW w:w="1140" w:type="dxa"/>
            <w:vAlign w:val="bottom"/>
          </w:tcPr>
          <w:p>
            <w:pPr>
              <w:jc w:val="right"/>
              <w:spacing w:after="0"/>
              <w:rPr>
                <w:sz w:val="20"/>
                <w:szCs w:val="20"/>
                <w:color w:val="auto"/>
              </w:rPr>
            </w:pPr>
            <w:r>
              <w:rPr>
                <w:rFonts w:ascii="Arial" w:cs="Arial" w:eastAsia="Arial" w:hAnsi="Arial"/>
                <w:sz w:val="20"/>
                <w:szCs w:val="20"/>
                <w:color w:val="auto"/>
              </w:rPr>
              <w:t>220,591</w:t>
            </w:r>
          </w:p>
        </w:tc>
        <w:tc>
          <w:tcPr>
            <w:tcW w:w="160" w:type="dxa"/>
            <w:vAlign w:val="bottom"/>
          </w:tcPr>
          <w:p>
            <w:pPr>
              <w:spacing w:after="0"/>
              <w:rPr>
                <w:sz w:val="24"/>
                <w:szCs w:val="24"/>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157.98</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Granted</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164,244</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164.54</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0"/>
                <w:szCs w:val="20"/>
                <w:color w:val="auto"/>
              </w:rPr>
            </w:pPr>
            <w:r>
              <w:rPr>
                <w:rFonts w:ascii="Arial" w:cs="Arial" w:eastAsia="Arial" w:hAnsi="Arial"/>
                <w:sz w:val="20"/>
                <w:szCs w:val="20"/>
                <w:color w:val="auto"/>
              </w:rPr>
              <w:t>Exercised</w:t>
            </w:r>
          </w:p>
        </w:tc>
        <w:tc>
          <w:tcPr>
            <w:tcW w:w="1300" w:type="dxa"/>
            <w:vAlign w:val="bottom"/>
            <w:gridSpan w:val="2"/>
          </w:tcPr>
          <w:p>
            <w:pPr>
              <w:jc w:val="right"/>
              <w:ind w:right="100"/>
              <w:spacing w:after="0"/>
              <w:rPr>
                <w:sz w:val="20"/>
                <w:szCs w:val="20"/>
                <w:color w:val="auto"/>
              </w:rPr>
            </w:pPr>
            <w:r>
              <w:rPr>
                <w:rFonts w:ascii="Arial" w:cs="Arial" w:eastAsia="Arial" w:hAnsi="Arial"/>
                <w:sz w:val="20"/>
                <w:szCs w:val="20"/>
                <w:color w:val="auto"/>
              </w:rPr>
              <w:t>(76,181)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122.55</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Expired</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(3,202)</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176.41</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960" w:type="dxa"/>
            <w:vAlign w:val="bottom"/>
          </w:tcPr>
          <w:p>
            <w:pPr>
              <w:spacing w:after="0"/>
              <w:rPr>
                <w:sz w:val="20"/>
                <w:szCs w:val="20"/>
                <w:color w:val="auto"/>
              </w:rPr>
            </w:pPr>
            <w:r>
              <w:rPr>
                <w:rFonts w:ascii="Arial" w:cs="Arial" w:eastAsia="Arial" w:hAnsi="Arial"/>
                <w:sz w:val="20"/>
                <w:szCs w:val="20"/>
                <w:color w:val="auto"/>
              </w:rPr>
              <w:t>Outstanding at December 31, 2019</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305,452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170.15</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0"/>
                <w:szCs w:val="20"/>
                <w:color w:val="auto"/>
                <w:w w:val="86"/>
              </w:rPr>
              <w:t>8.0</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2,301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Exercisable at December 31, 2019</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66,076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159.96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6"/>
              </w:rPr>
              <w:t>5.1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60" w:firstLine="598"/>
        <w:spacing w:after="0" w:line="252" w:lineRule="auto"/>
        <w:rPr>
          <w:sz w:val="20"/>
          <w:szCs w:val="20"/>
          <w:color w:val="auto"/>
        </w:rPr>
      </w:pPr>
      <w:r>
        <w:rPr>
          <w:rFonts w:ascii="Arial" w:cs="Arial" w:eastAsia="Arial" w:hAnsi="Arial"/>
          <w:sz w:val="20"/>
          <w:szCs w:val="20"/>
          <w:color w:val="auto"/>
        </w:rPr>
        <w:t>For 2019, 2018 and 2017, M&amp;T received $9 million, $60 million and $72 million, respectively, in cash and realized tax benefits from the exercise of stock options of $1 million, $3 million and $10 million, respectively. The intrinsic value of stock options exercised during those periods was $3 million, $16 million and $31 million, respectively. As of December 31, 2019, the amount of unrecognized compensation cost related to non-vested stock options was not material. The total grant date fair value of stock options vested during 2019, 2018 and 2017 was not material. Upon the exercise of stock options, the Company may issue shares from treasury stock to the extent available or issue new shares.</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 purchase plan</w:t>
      </w:r>
    </w:p>
    <w:p>
      <w:pPr>
        <w:spacing w:after="0" w:line="25" w:lineRule="exact"/>
        <w:rPr>
          <w:sz w:val="20"/>
          <w:szCs w:val="20"/>
          <w:color w:val="auto"/>
        </w:rPr>
      </w:pPr>
    </w:p>
    <w:p>
      <w:pPr>
        <w:ind w:right="120"/>
        <w:spacing w:after="0" w:line="283" w:lineRule="auto"/>
        <w:rPr>
          <w:sz w:val="20"/>
          <w:szCs w:val="20"/>
          <w:color w:val="auto"/>
        </w:rPr>
      </w:pPr>
      <w:r>
        <w:rPr>
          <w:rFonts w:ascii="Arial" w:cs="Arial" w:eastAsia="Arial" w:hAnsi="Arial"/>
          <w:sz w:val="18"/>
          <w:szCs w:val="18"/>
          <w:color w:val="auto"/>
        </w:rPr>
        <w:t>The stock purchase plan provides eligible employees of the Company with the right to purchase shares of M&amp;T common stock at a discount through accumulated payroll deductions. In connection with the employee stock purchase plan, shares of M&amp;T common stock issued were 71,676 in 2019, 58,167 in 2018 and 66,504 in 2017. As of December 31, 2019, there were 2,310,751 shares available for issuance under the plan. M&amp;T received cash for shares purchased through the employee stock purchase plan of $11 million in 2019 and $10 million in each of 2018 and 2017. Compensation expense recognized for the stock purchase plan was not significant in 2019, 2018 or 2017.</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Deferred bonus plan</w:t>
      </w:r>
    </w:p>
    <w:p>
      <w:pPr>
        <w:spacing w:after="0" w:line="25"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The Company provided a deferred bonus plan pursuant to which eligible employees could elect to defer all or a portion of their annual incentive compensation awards and allocate such awards to several investment options, including M&amp;T common stock. Participants could elect the timing of distributions from the plan. Such distributions are payable in cash with the exception of balances allocated to M&amp;T common stock which are distributable in the form of M&amp;T common stock. Shares of M&amp;T common stock distributable pursuant to the terms of the deferred bonus plan were 16,491 and 18,292 at December 31, 2019 and 2018, respectively. The obligation to issue shares is included in “common stock issuable” in the consolidated balance sheet.</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Directors’ stock plan</w:t>
      </w:r>
    </w:p>
    <w:p>
      <w:pPr>
        <w:spacing w:after="0" w:line="2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The Company maintains a compensation plan for non-employee members of the Company’s boards of directors and directors advisory councils that allows such members to receive all or a portion of their compensation in shares of M&amp;T common stock. Through December 31, 2019, 282,532 shares had been issued in connection with the directors’ stock plan.</w:t>
      </w:r>
    </w:p>
    <w:p>
      <w:pPr>
        <w:spacing w:after="0" w:line="2" w:lineRule="exact"/>
        <w:rPr>
          <w:sz w:val="20"/>
          <w:szCs w:val="20"/>
          <w:color w:val="auto"/>
        </w:rPr>
      </w:pPr>
    </w:p>
    <w:p>
      <w:pPr>
        <w:ind w:right="780" w:firstLine="598"/>
        <w:spacing w:after="0" w:line="256" w:lineRule="auto"/>
        <w:rPr>
          <w:sz w:val="20"/>
          <w:szCs w:val="20"/>
          <w:color w:val="auto"/>
        </w:rPr>
      </w:pPr>
      <w:r>
        <w:rPr>
          <w:rFonts w:ascii="Arial" w:cs="Arial" w:eastAsia="Arial" w:hAnsi="Arial"/>
          <w:sz w:val="20"/>
          <w:szCs w:val="20"/>
          <w:color w:val="auto"/>
        </w:rPr>
        <w:t>Through acquisitions, the Company assumed obligations to issue shares of M&amp;T common stock related to deferred directors compensation plans. Shares of common stock issuable under such plans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51" w:name="page152"/>
    <w:bookmarkEnd w:id="151"/>
    <w:p>
      <w:pPr>
        <w:ind w:right="40"/>
        <w:spacing w:after="0" w:line="275" w:lineRule="auto"/>
        <w:rPr>
          <w:sz w:val="20"/>
          <w:szCs w:val="20"/>
          <w:color w:val="auto"/>
        </w:rPr>
      </w:pPr>
      <w:r>
        <w:rPr>
          <w:rFonts w:ascii="Arial" w:cs="Arial" w:eastAsia="Arial" w:hAnsi="Arial"/>
          <w:sz w:val="20"/>
          <w:szCs w:val="20"/>
          <w:color w:val="auto"/>
        </w:rPr>
        <w:t>were 5,043 and 6,271 at December 31, 2019 and 2018, respectively. The obligation to issue shares is included in “common stock issuable” in the consolidated balance sheet.</w:t>
      </w:r>
    </w:p>
    <w:p>
      <w:pPr>
        <w:spacing w:after="0" w:line="33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7"/>
          <w:szCs w:val="17"/>
          <w:b w:val="1"/>
          <w:bCs w:val="1"/>
          <w:color w:val="auto"/>
        </w:rPr>
        <w:t>Pension plans and other postretirement benefits</w:t>
      </w:r>
    </w:p>
    <w:p>
      <w:pPr>
        <w:spacing w:after="0" w:line="29" w:lineRule="exact"/>
        <w:rPr>
          <w:sz w:val="20"/>
          <w:szCs w:val="20"/>
          <w:color w:val="auto"/>
        </w:rPr>
      </w:pPr>
    </w:p>
    <w:p>
      <w:pPr>
        <w:ind w:right="620"/>
        <w:spacing w:after="0" w:line="246" w:lineRule="auto"/>
        <w:rPr>
          <w:sz w:val="20"/>
          <w:szCs w:val="20"/>
          <w:color w:val="auto"/>
        </w:rPr>
      </w:pPr>
      <w:r>
        <w:rPr>
          <w:rFonts w:ascii="Arial" w:cs="Arial" w:eastAsia="Arial" w:hAnsi="Arial"/>
          <w:sz w:val="20"/>
          <w:szCs w:val="20"/>
          <w:color w:val="auto"/>
        </w:rPr>
        <w:t>The Company provides defined benefit pension and other postretirement benefits (including health care and life insurance benefits) to qualified retired employees. The Company uses a December 31 measurement date for all of its plans.</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Net periodic pension expense for defined benefit plans consisted of the following:</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0"/>
              </w:rPr>
              <w:t>Year Ended December 31</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47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4"/>
              <w:spacing w:after="0" w:line="151"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87"/>
              <w:spacing w:after="0" w:line="151"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4"/>
              <w:spacing w:after="0" w:line="151"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76"/>
        </w:trPr>
        <w:tc>
          <w:tcPr>
            <w:tcW w:w="47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33"/>
        </w:trPr>
        <w:tc>
          <w:tcPr>
            <w:tcW w:w="47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0"/>
        </w:trPr>
        <w:tc>
          <w:tcPr>
            <w:tcW w:w="4780" w:type="dxa"/>
            <w:vAlign w:val="bottom"/>
            <w:shd w:val="clear" w:color="auto" w:fill="CFF0FC"/>
          </w:tcPr>
          <w:p>
            <w:pPr>
              <w:spacing w:after="0"/>
              <w:rPr>
                <w:sz w:val="20"/>
                <w:szCs w:val="20"/>
                <w:color w:val="auto"/>
              </w:rPr>
            </w:pPr>
            <w:r>
              <w:rPr>
                <w:rFonts w:ascii="Arial" w:cs="Arial" w:eastAsia="Arial" w:hAnsi="Arial"/>
                <w:sz w:val="20"/>
                <w:szCs w:val="20"/>
                <w:color w:val="auto"/>
              </w:rPr>
              <w:t>Service cost</w:t>
            </w:r>
          </w:p>
        </w:tc>
        <w:tc>
          <w:tcPr>
            <w:tcW w:w="2300" w:type="dxa"/>
            <w:vAlign w:val="bottom"/>
            <w:gridSpan w:val="2"/>
            <w:shd w:val="clear" w:color="auto" w:fill="CFF0FC"/>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17,294</w:t>
            </w:r>
          </w:p>
        </w:tc>
        <w:tc>
          <w:tcPr>
            <w:tcW w:w="10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20,346</w:t>
            </w:r>
          </w:p>
        </w:tc>
        <w:tc>
          <w:tcPr>
            <w:tcW w:w="2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44"/>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20,193</w:t>
            </w:r>
          </w:p>
        </w:tc>
        <w:tc>
          <w:tcPr>
            <w:tcW w:w="100" w:type="dxa"/>
            <w:vAlign w:val="bottom"/>
            <w:shd w:val="clear" w:color="auto" w:fill="CFF0FC"/>
          </w:tcPr>
          <w:p>
            <w:pPr>
              <w:spacing w:after="0"/>
              <w:rPr>
                <w:sz w:val="21"/>
                <w:szCs w:val="21"/>
                <w:color w:val="auto"/>
              </w:rPr>
            </w:pPr>
          </w:p>
        </w:tc>
      </w:tr>
      <w:tr>
        <w:trPr>
          <w:trHeight w:val="250"/>
        </w:trPr>
        <w:tc>
          <w:tcPr>
            <w:tcW w:w="4780" w:type="dxa"/>
            <w:vAlign w:val="bottom"/>
          </w:tcPr>
          <w:p>
            <w:pPr>
              <w:spacing w:after="0"/>
              <w:rPr>
                <w:sz w:val="20"/>
                <w:szCs w:val="20"/>
                <w:color w:val="auto"/>
              </w:rPr>
            </w:pPr>
            <w:r>
              <w:rPr>
                <w:rFonts w:ascii="Arial" w:cs="Arial" w:eastAsia="Arial" w:hAnsi="Arial"/>
                <w:sz w:val="20"/>
                <w:szCs w:val="20"/>
                <w:color w:val="auto"/>
              </w:rPr>
              <w:t>Interest cost on benefit obligation</w:t>
            </w:r>
          </w:p>
        </w:tc>
        <w:tc>
          <w:tcPr>
            <w:tcW w:w="2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81,579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74,704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79,270</w:t>
            </w:r>
          </w:p>
        </w:tc>
        <w:tc>
          <w:tcPr>
            <w:tcW w:w="100" w:type="dxa"/>
            <w:vAlign w:val="bottom"/>
          </w:tcPr>
          <w:p>
            <w:pPr>
              <w:spacing w:after="0"/>
              <w:rPr>
                <w:sz w:val="21"/>
                <w:szCs w:val="21"/>
                <w:color w:val="auto"/>
              </w:rPr>
            </w:pPr>
          </w:p>
        </w:tc>
      </w:tr>
      <w:tr>
        <w:trPr>
          <w:trHeight w:val="250"/>
        </w:trPr>
        <w:tc>
          <w:tcPr>
            <w:tcW w:w="4780" w:type="dxa"/>
            <w:vAlign w:val="bottom"/>
            <w:shd w:val="clear" w:color="auto" w:fill="CFF0FC"/>
          </w:tcPr>
          <w:p>
            <w:pPr>
              <w:spacing w:after="0"/>
              <w:rPr>
                <w:sz w:val="20"/>
                <w:szCs w:val="20"/>
                <w:color w:val="auto"/>
              </w:rPr>
            </w:pPr>
            <w:r>
              <w:rPr>
                <w:rFonts w:ascii="Arial" w:cs="Arial" w:eastAsia="Arial" w:hAnsi="Arial"/>
                <w:sz w:val="20"/>
                <w:szCs w:val="20"/>
                <w:color w:val="auto"/>
              </w:rPr>
              <w:t>Expected return on plan assets</w:t>
            </w:r>
          </w:p>
        </w:tc>
        <w:tc>
          <w:tcPr>
            <w:tcW w:w="20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(122,139)</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(123,127)</w:t>
            </w: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(108,524)</w:t>
            </w:r>
          </w:p>
        </w:tc>
      </w:tr>
      <w:tr>
        <w:trPr>
          <w:trHeight w:val="250"/>
        </w:trPr>
        <w:tc>
          <w:tcPr>
            <w:tcW w:w="4780" w:type="dxa"/>
            <w:vAlign w:val="bottom"/>
          </w:tcPr>
          <w:p>
            <w:pPr>
              <w:spacing w:after="0"/>
              <w:rPr>
                <w:sz w:val="20"/>
                <w:szCs w:val="20"/>
                <w:color w:val="auto"/>
              </w:rPr>
            </w:pPr>
            <w:r>
              <w:rPr>
                <w:rFonts w:ascii="Arial" w:cs="Arial" w:eastAsia="Arial" w:hAnsi="Arial"/>
                <w:sz w:val="20"/>
                <w:szCs w:val="20"/>
                <w:color w:val="auto"/>
              </w:rPr>
              <w:t>Amortization of prior service cost</w:t>
            </w:r>
          </w:p>
        </w:tc>
        <w:tc>
          <w:tcPr>
            <w:tcW w:w="2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557</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557</w:t>
            </w:r>
          </w:p>
        </w:tc>
        <w:tc>
          <w:tcPr>
            <w:tcW w:w="100" w:type="dxa"/>
            <w:vAlign w:val="bottom"/>
          </w:tcPr>
          <w:p>
            <w:pPr>
              <w:spacing w:after="0"/>
              <w:rPr>
                <w:sz w:val="21"/>
                <w:szCs w:val="21"/>
                <w:color w:val="auto"/>
              </w:rPr>
            </w:pPr>
          </w:p>
        </w:tc>
      </w:tr>
      <w:tr>
        <w:trPr>
          <w:trHeight w:val="250"/>
        </w:trPr>
        <w:tc>
          <w:tcPr>
            <w:tcW w:w="4780" w:type="dxa"/>
            <w:vAlign w:val="bottom"/>
            <w:shd w:val="clear" w:color="auto" w:fill="CFF0FC"/>
          </w:tcPr>
          <w:p>
            <w:pPr>
              <w:spacing w:after="0"/>
              <w:rPr>
                <w:sz w:val="20"/>
                <w:szCs w:val="20"/>
                <w:color w:val="auto"/>
              </w:rPr>
            </w:pPr>
            <w:r>
              <w:rPr>
                <w:rFonts w:ascii="Arial" w:cs="Arial" w:eastAsia="Arial" w:hAnsi="Arial"/>
                <w:sz w:val="20"/>
                <w:szCs w:val="20"/>
                <w:color w:val="auto"/>
              </w:rPr>
              <w:t>Recognized net actuarial loss</w:t>
            </w:r>
          </w:p>
        </w:tc>
        <w:tc>
          <w:tcPr>
            <w:tcW w:w="200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21,992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43,793</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29,263</w:t>
            </w:r>
          </w:p>
        </w:tc>
        <w:tc>
          <w:tcPr>
            <w:tcW w:w="100" w:type="dxa"/>
            <w:vAlign w:val="bottom"/>
            <w:shd w:val="clear" w:color="auto" w:fill="CFF0FC"/>
          </w:tcPr>
          <w:p>
            <w:pPr>
              <w:spacing w:after="0"/>
              <w:rPr>
                <w:sz w:val="21"/>
                <w:szCs w:val="21"/>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20"/>
                <w:szCs w:val="20"/>
                <w:color w:val="auto"/>
              </w:rPr>
              <w:t>Net periodic pension cost (benefit)</w:t>
            </w:r>
          </w:p>
        </w:tc>
        <w:tc>
          <w:tcPr>
            <w:tcW w:w="20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16,273</w:t>
            </w: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20,759</w:t>
            </w:r>
          </w:p>
        </w:tc>
        <w:tc>
          <w:tcPr>
            <w:tcW w:w="100" w:type="dxa"/>
            <w:vAlign w:val="bottom"/>
          </w:tcPr>
          <w:p>
            <w:pPr>
              <w:spacing w:after="0"/>
              <w:rPr>
                <w:sz w:val="21"/>
                <w:szCs w:val="21"/>
                <w:color w:val="auto"/>
              </w:rPr>
            </w:pPr>
          </w:p>
        </w:tc>
      </w:tr>
      <w:tr>
        <w:trPr>
          <w:trHeight w:val="20"/>
        </w:trPr>
        <w:tc>
          <w:tcPr>
            <w:tcW w:w="4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Net other postretirement benefits expense for defined benefit plans consisted of the following:</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Year Ended December 31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5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88"/>
              <w:spacing w:after="0" w:line="151"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4"/>
              <w:spacing w:after="0" w:line="151"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76"/>
        </w:trPr>
        <w:tc>
          <w:tcPr>
            <w:tcW w:w="5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33"/>
        </w:trPr>
        <w:tc>
          <w:tcPr>
            <w:tcW w:w="52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0"/>
        </w:trPr>
        <w:tc>
          <w:tcPr>
            <w:tcW w:w="5280" w:type="dxa"/>
            <w:vAlign w:val="bottom"/>
            <w:shd w:val="clear" w:color="auto" w:fill="CFF0FC"/>
          </w:tcPr>
          <w:p>
            <w:pPr>
              <w:spacing w:after="0"/>
              <w:rPr>
                <w:sz w:val="20"/>
                <w:szCs w:val="20"/>
                <w:color w:val="auto"/>
              </w:rPr>
            </w:pPr>
            <w:r>
              <w:rPr>
                <w:rFonts w:ascii="Arial" w:cs="Arial" w:eastAsia="Arial" w:hAnsi="Arial"/>
                <w:sz w:val="20"/>
                <w:szCs w:val="20"/>
                <w:color w:val="auto"/>
              </w:rPr>
              <w:t>Service cost</w:t>
            </w:r>
          </w:p>
        </w:tc>
        <w:tc>
          <w:tcPr>
            <w:tcW w:w="2300" w:type="dxa"/>
            <w:vAlign w:val="bottom"/>
            <w:gridSpan w:val="2"/>
            <w:shd w:val="clear" w:color="auto" w:fill="CFF0FC"/>
          </w:tcPr>
          <w:p>
            <w:pPr>
              <w:jc w:val="right"/>
              <w:ind w:right="615"/>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859</w:t>
            </w:r>
          </w:p>
        </w:tc>
        <w:tc>
          <w:tcPr>
            <w:tcW w:w="10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938</w:t>
            </w:r>
          </w:p>
        </w:tc>
        <w:tc>
          <w:tcPr>
            <w:tcW w:w="16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1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1,172</w:t>
            </w:r>
          </w:p>
        </w:tc>
        <w:tc>
          <w:tcPr>
            <w:tcW w:w="100" w:type="dxa"/>
            <w:vAlign w:val="bottom"/>
            <w:shd w:val="clear" w:color="auto" w:fill="CFF0FC"/>
          </w:tcPr>
          <w:p>
            <w:pPr>
              <w:spacing w:after="0"/>
              <w:rPr>
                <w:sz w:val="21"/>
                <w:szCs w:val="21"/>
                <w:color w:val="auto"/>
              </w:rPr>
            </w:pPr>
          </w:p>
        </w:tc>
      </w:tr>
      <w:tr>
        <w:trPr>
          <w:trHeight w:val="250"/>
        </w:trPr>
        <w:tc>
          <w:tcPr>
            <w:tcW w:w="5280" w:type="dxa"/>
            <w:vAlign w:val="bottom"/>
          </w:tcPr>
          <w:p>
            <w:pPr>
              <w:spacing w:after="0"/>
              <w:rPr>
                <w:sz w:val="20"/>
                <w:szCs w:val="20"/>
                <w:color w:val="auto"/>
              </w:rPr>
            </w:pPr>
            <w:r>
              <w:rPr>
                <w:rFonts w:ascii="Arial" w:cs="Arial" w:eastAsia="Arial" w:hAnsi="Arial"/>
                <w:sz w:val="20"/>
                <w:szCs w:val="20"/>
                <w:color w:val="auto"/>
              </w:rPr>
              <w:t>Interest cost on benefit obligation</w:t>
            </w:r>
          </w:p>
        </w:tc>
        <w:tc>
          <w:tcPr>
            <w:tcW w:w="1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w w:val="99"/>
              </w:rPr>
              <w:t>2,344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2,293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3,716</w:t>
            </w:r>
          </w:p>
        </w:tc>
        <w:tc>
          <w:tcPr>
            <w:tcW w:w="100" w:type="dxa"/>
            <w:vAlign w:val="bottom"/>
          </w:tcPr>
          <w:p>
            <w:pPr>
              <w:spacing w:after="0"/>
              <w:rPr>
                <w:sz w:val="21"/>
                <w:szCs w:val="21"/>
                <w:color w:val="auto"/>
              </w:rPr>
            </w:pPr>
          </w:p>
        </w:tc>
      </w:tr>
      <w:tr>
        <w:trPr>
          <w:trHeight w:val="250"/>
        </w:trPr>
        <w:tc>
          <w:tcPr>
            <w:tcW w:w="5280" w:type="dxa"/>
            <w:vAlign w:val="bottom"/>
            <w:shd w:val="clear" w:color="auto" w:fill="CFF0FC"/>
          </w:tcPr>
          <w:p>
            <w:pPr>
              <w:spacing w:after="0"/>
              <w:rPr>
                <w:sz w:val="20"/>
                <w:szCs w:val="20"/>
                <w:color w:val="auto"/>
              </w:rPr>
            </w:pPr>
            <w:r>
              <w:rPr>
                <w:rFonts w:ascii="Arial" w:cs="Arial" w:eastAsia="Arial" w:hAnsi="Arial"/>
                <w:sz w:val="20"/>
                <w:szCs w:val="20"/>
                <w:color w:val="auto"/>
              </w:rPr>
              <w:t>Amortization of prior service credit</w:t>
            </w:r>
          </w:p>
        </w:tc>
        <w:tc>
          <w:tcPr>
            <w:tcW w:w="15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w w:val="91"/>
              </w:rPr>
              <w:t>(4,730)</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(4,729)</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(1,359)</w:t>
            </w:r>
          </w:p>
        </w:tc>
      </w:tr>
      <w:tr>
        <w:trPr>
          <w:trHeight w:val="250"/>
        </w:trPr>
        <w:tc>
          <w:tcPr>
            <w:tcW w:w="5280" w:type="dxa"/>
            <w:vAlign w:val="bottom"/>
          </w:tcPr>
          <w:p>
            <w:pPr>
              <w:spacing w:after="0"/>
              <w:rPr>
                <w:sz w:val="20"/>
                <w:szCs w:val="20"/>
                <w:color w:val="auto"/>
              </w:rPr>
            </w:pPr>
            <w:r>
              <w:rPr>
                <w:rFonts w:ascii="Arial" w:cs="Arial" w:eastAsia="Arial" w:hAnsi="Arial"/>
                <w:sz w:val="20"/>
                <w:szCs w:val="20"/>
                <w:color w:val="auto"/>
              </w:rPr>
              <w:t>Recognized net actuarial gain</w:t>
            </w:r>
          </w:p>
        </w:tc>
        <w:tc>
          <w:tcPr>
            <w:tcW w:w="1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20"/>
                <w:szCs w:val="20"/>
                <w:color w:val="auto"/>
                <w:w w:val="91"/>
              </w:rPr>
              <w:t>(1,247)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20"/>
                <w:szCs w:val="20"/>
                <w:color w:val="auto"/>
              </w:rPr>
              <w:t>(826)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(988)</w:t>
            </w:r>
          </w:p>
        </w:tc>
      </w:tr>
      <w:tr>
        <w:trPr>
          <w:trHeight w:val="24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other postretirement benefits cost (benefit)</w:t>
            </w:r>
          </w:p>
        </w:tc>
        <w:tc>
          <w:tcPr>
            <w:tcW w:w="1500" w:type="dxa"/>
            <w:vAlign w:val="bottom"/>
            <w:tcBorders>
              <w:top w:val="single" w:sz="8" w:color="CFF0FC"/>
              <w:bottom w:val="single" w:sz="8" w:color="CFF0FC"/>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jc w:val="right"/>
              <w:ind w:right="615"/>
              <w:spacing w:after="0"/>
              <w:rPr>
                <w:sz w:val="20"/>
                <w:szCs w:val="20"/>
                <w:color w:val="auto"/>
              </w:rPr>
            </w:pPr>
            <w:r>
              <w:rPr>
                <w:rFonts w:ascii="Arial" w:cs="Arial" w:eastAsia="Arial" w:hAnsi="Arial"/>
                <w:sz w:val="20"/>
                <w:szCs w:val="20"/>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1"/>
              </w:rPr>
              <w:t>(2,774)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(2,324)</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2,541</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20"/>
        </w:trPr>
        <w:tc>
          <w:tcPr>
            <w:tcW w:w="5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right="700" w:firstLine="598"/>
        <w:spacing w:after="0" w:line="275" w:lineRule="auto"/>
        <w:rPr>
          <w:sz w:val="20"/>
          <w:szCs w:val="20"/>
          <w:color w:val="auto"/>
        </w:rPr>
      </w:pPr>
      <w:r>
        <w:rPr>
          <w:rFonts w:ascii="Arial" w:cs="Arial" w:eastAsia="Arial" w:hAnsi="Arial"/>
          <w:sz w:val="20"/>
          <w:szCs w:val="20"/>
          <w:color w:val="auto"/>
        </w:rPr>
        <w:t>Service cost is reflected in salaries and employee benefits expense. The other components of net periodic benefit expense are reflected in other costs of operations.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52" w:name="page153"/>
    <w:bookmarkEnd w:id="152"/>
    <w:p>
      <w:pPr>
        <w:ind w:left="600"/>
        <w:spacing w:after="0"/>
        <w:rPr>
          <w:sz w:val="20"/>
          <w:szCs w:val="20"/>
          <w:color w:val="auto"/>
        </w:rPr>
      </w:pPr>
      <w:r>
        <w:rPr>
          <w:rFonts w:ascii="Arial" w:cs="Arial" w:eastAsia="Arial" w:hAnsi="Arial"/>
          <w:sz w:val="20"/>
          <w:szCs w:val="20"/>
          <w:color w:val="auto"/>
        </w:rPr>
        <w:t>Data relating to the funding position of the defined benefit plans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Pension Benefits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Other</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jc w:val="right"/>
              <w:ind w:right="439"/>
              <w:spacing w:after="0"/>
              <w:rPr>
                <w:sz w:val="20"/>
                <w:szCs w:val="20"/>
                <w:color w:val="auto"/>
              </w:rPr>
            </w:pPr>
            <w:r>
              <w:rPr>
                <w:rFonts w:ascii="Arial" w:cs="Arial" w:eastAsia="Arial" w:hAnsi="Arial"/>
                <w:sz w:val="14"/>
                <w:szCs w:val="14"/>
                <w:b w:val="1"/>
                <w:bCs w:val="1"/>
                <w:color w:val="auto"/>
                <w:w w:val="97"/>
              </w:rPr>
              <w:t>Postretirement Benefits</w:t>
            </w:r>
          </w:p>
        </w:tc>
        <w:tc>
          <w:tcPr>
            <w:tcW w:w="0" w:type="dxa"/>
            <w:vAlign w:val="bottom"/>
          </w:tcPr>
          <w:p>
            <w:pPr>
              <w:spacing w:after="0"/>
              <w:rPr>
                <w:sz w:val="1"/>
                <w:szCs w:val="1"/>
                <w:color w:val="auto"/>
              </w:rPr>
            </w:pPr>
          </w:p>
        </w:tc>
      </w:tr>
      <w:tr>
        <w:trPr>
          <w:trHeight w:val="151"/>
        </w:trPr>
        <w:tc>
          <w:tcPr>
            <w:tcW w:w="62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02"/>
              <w:spacing w:after="0" w:line="151"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402"/>
              <w:spacing w:after="0" w:line="151"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83"/>
              <w:spacing w:after="0" w:line="151"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81"/>
              <w:spacing w:after="0" w:line="151"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gridSpan w:val="4"/>
          </w:tcPr>
          <w:p>
            <w:pPr>
              <w:jc w:val="right"/>
              <w:ind w:right="59"/>
              <w:spacing w:after="0" w:line="151"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6200" w:type="dxa"/>
            <w:vAlign w:val="bottom"/>
            <w:shd w:val="clear" w:color="auto" w:fill="CFF0FC"/>
          </w:tcPr>
          <w:p>
            <w:pPr>
              <w:spacing w:after="0"/>
              <w:rPr>
                <w:sz w:val="20"/>
                <w:szCs w:val="20"/>
                <w:color w:val="auto"/>
              </w:rPr>
            </w:pPr>
            <w:r>
              <w:rPr>
                <w:rFonts w:ascii="Arial" w:cs="Arial" w:eastAsia="Arial" w:hAnsi="Arial"/>
                <w:sz w:val="20"/>
                <w:szCs w:val="20"/>
                <w:color w:val="auto"/>
              </w:rPr>
              <w:t>Change in benefit obligation:</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0" w:type="dxa"/>
            <w:vAlign w:val="bottom"/>
          </w:tcPr>
          <w:p>
            <w:pPr>
              <w:ind w:left="240"/>
              <w:spacing w:after="0"/>
              <w:rPr>
                <w:sz w:val="20"/>
                <w:szCs w:val="20"/>
                <w:color w:val="auto"/>
              </w:rPr>
            </w:pPr>
            <w:r>
              <w:rPr>
                <w:rFonts w:ascii="Arial" w:cs="Arial" w:eastAsia="Arial" w:hAnsi="Arial"/>
                <w:sz w:val="20"/>
                <w:szCs w:val="20"/>
                <w:color w:val="auto"/>
              </w:rPr>
              <w:t>Benefit obligation at beginning of year</w:t>
            </w:r>
          </w:p>
        </w:tc>
        <w:tc>
          <w:tcPr>
            <w:tcW w:w="280" w:type="dxa"/>
            <w:vAlign w:val="bottom"/>
          </w:tcPr>
          <w:p>
            <w:pPr>
              <w:jc w:val="right"/>
              <w:ind w:right="79"/>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1,949,613</w:t>
            </w:r>
          </w:p>
        </w:tc>
        <w:tc>
          <w:tcPr>
            <w:tcW w:w="180" w:type="dxa"/>
            <w:vAlign w:val="bottom"/>
          </w:tcPr>
          <w:p>
            <w:pPr>
              <w:spacing w:after="0"/>
              <w:rPr>
                <w:sz w:val="21"/>
                <w:szCs w:val="21"/>
                <w:color w:val="auto"/>
              </w:rPr>
            </w:pPr>
          </w:p>
        </w:tc>
        <w:tc>
          <w:tcPr>
            <w:tcW w:w="420" w:type="dxa"/>
            <w:vAlign w:val="bottom"/>
          </w:tcPr>
          <w:p>
            <w:pPr>
              <w:jc w:val="right"/>
              <w:ind w:right="219"/>
              <w:spacing w:after="0"/>
              <w:rPr>
                <w:sz w:val="20"/>
                <w:szCs w:val="20"/>
                <w:color w:val="auto"/>
              </w:rPr>
            </w:pPr>
            <w:r>
              <w:rPr>
                <w:rFonts w:ascii="Arial" w:cs="Arial" w:eastAsia="Arial" w:hAnsi="Arial"/>
                <w:sz w:val="20"/>
                <w:szCs w:val="20"/>
                <w:color w:val="auto"/>
                <w:w w:val="71"/>
              </w:rPr>
              <w:t>$</w:t>
            </w:r>
          </w:p>
        </w:tc>
        <w:tc>
          <w:tcPr>
            <w:tcW w:w="840" w:type="dxa"/>
            <w:vAlign w:val="bottom"/>
          </w:tcPr>
          <w:p>
            <w:pPr>
              <w:jc w:val="right"/>
              <w:spacing w:after="0"/>
              <w:rPr>
                <w:sz w:val="20"/>
                <w:szCs w:val="20"/>
                <w:color w:val="auto"/>
              </w:rPr>
            </w:pPr>
            <w:r>
              <w:rPr>
                <w:rFonts w:ascii="Arial" w:cs="Arial" w:eastAsia="Arial" w:hAnsi="Arial"/>
                <w:sz w:val="20"/>
                <w:szCs w:val="20"/>
                <w:color w:val="auto"/>
                <w:w w:val="92"/>
              </w:rPr>
              <w:t>2,188,736</w:t>
            </w:r>
          </w:p>
        </w:tc>
        <w:tc>
          <w:tcPr>
            <w:tcW w:w="120" w:type="dxa"/>
            <w:vAlign w:val="bottom"/>
          </w:tcPr>
          <w:p>
            <w:pPr>
              <w:spacing w:after="0"/>
              <w:rPr>
                <w:sz w:val="21"/>
                <w:szCs w:val="21"/>
                <w:color w:val="auto"/>
              </w:rPr>
            </w:pPr>
          </w:p>
        </w:tc>
        <w:tc>
          <w:tcPr>
            <w:tcW w:w="300" w:type="dxa"/>
            <w:vAlign w:val="bottom"/>
            <w:gridSpan w:val="2"/>
          </w:tcPr>
          <w:p>
            <w:pPr>
              <w:jc w:val="right"/>
              <w:ind w:right="39"/>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59,991</w:t>
            </w:r>
          </w:p>
        </w:tc>
        <w:tc>
          <w:tcPr>
            <w:tcW w:w="18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68,637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Service cost</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17,294</w:t>
            </w: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20,346</w:t>
            </w: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859</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0" w:type="dxa"/>
            <w:vAlign w:val="bottom"/>
          </w:tcPr>
          <w:p>
            <w:pPr>
              <w:ind w:left="240"/>
              <w:spacing w:after="0"/>
              <w:rPr>
                <w:sz w:val="20"/>
                <w:szCs w:val="20"/>
                <w:color w:val="auto"/>
              </w:rPr>
            </w:pPr>
            <w:r>
              <w:rPr>
                <w:rFonts w:ascii="Arial" w:cs="Arial" w:eastAsia="Arial" w:hAnsi="Arial"/>
                <w:sz w:val="20"/>
                <w:szCs w:val="20"/>
                <w:color w:val="auto"/>
              </w:rPr>
              <w:t>Interest cost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81,579</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74,704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2,344</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2,293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Plan participants’ contributions</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4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2,749</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0" w:type="dxa"/>
            <w:vAlign w:val="bottom"/>
          </w:tcPr>
          <w:p>
            <w:pPr>
              <w:ind w:left="240"/>
              <w:spacing w:after="0"/>
              <w:rPr>
                <w:sz w:val="20"/>
                <w:szCs w:val="20"/>
                <w:color w:val="auto"/>
              </w:rPr>
            </w:pPr>
            <w:r>
              <w:rPr>
                <w:rFonts w:ascii="Arial" w:cs="Arial" w:eastAsia="Arial" w:hAnsi="Arial"/>
                <w:sz w:val="20"/>
                <w:szCs w:val="20"/>
                <w:color w:val="auto"/>
              </w:rPr>
              <w:t>Actuarial (gain) loss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298,713</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20"/>
                <w:szCs w:val="20"/>
                <w:color w:val="auto"/>
              </w:rPr>
              <w:t>(228,897)</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39"/>
              <w:spacing w:after="0"/>
              <w:rPr>
                <w:sz w:val="20"/>
                <w:szCs w:val="20"/>
                <w:color w:val="auto"/>
              </w:rPr>
            </w:pPr>
            <w:r>
              <w:rPr>
                <w:rFonts w:ascii="Arial" w:cs="Arial" w:eastAsia="Arial" w:hAnsi="Arial"/>
                <w:sz w:val="20"/>
                <w:szCs w:val="20"/>
                <w:color w:val="auto"/>
              </w:rPr>
              <w:t>(687)</w:t>
            </w: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(4,758)</w:t>
            </w:r>
          </w:p>
        </w:tc>
        <w:tc>
          <w:tcPr>
            <w:tcW w:w="0" w:type="dxa"/>
            <w:vAlign w:val="bottom"/>
          </w:tcPr>
          <w:p>
            <w:pPr>
              <w:spacing w:after="0"/>
              <w:rPr>
                <w:sz w:val="1"/>
                <w:szCs w:val="1"/>
                <w:color w:val="auto"/>
              </w:rPr>
            </w:pPr>
          </w:p>
        </w:tc>
      </w:tr>
      <w:tr>
        <w:trPr>
          <w:trHeight w:val="250"/>
        </w:trPr>
        <w:tc>
          <w:tcPr>
            <w:tcW w:w="62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Medicare Part D reimbursement</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4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370</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0" w:type="dxa"/>
            <w:vAlign w:val="bottom"/>
          </w:tcPr>
          <w:p>
            <w:pPr>
              <w:ind w:left="240"/>
              <w:spacing w:after="0"/>
              <w:rPr>
                <w:sz w:val="20"/>
                <w:szCs w:val="20"/>
                <w:color w:val="auto"/>
              </w:rPr>
            </w:pPr>
            <w:r>
              <w:rPr>
                <w:rFonts w:ascii="Arial" w:cs="Arial" w:eastAsia="Arial" w:hAnsi="Arial"/>
                <w:sz w:val="20"/>
                <w:szCs w:val="20"/>
                <w:color w:val="auto"/>
              </w:rPr>
              <w:t>Benefits paid</w:t>
            </w:r>
          </w:p>
        </w:tc>
        <w:tc>
          <w:tcPr>
            <w:tcW w:w="2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0"/>
                <w:szCs w:val="20"/>
                <w:color w:val="auto"/>
              </w:rPr>
              <w:t>(99,870)</w:t>
            </w:r>
          </w:p>
        </w:tc>
        <w:tc>
          <w:tcPr>
            <w:tcW w:w="4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20"/>
                <w:szCs w:val="20"/>
                <w:color w:val="auto"/>
              </w:rPr>
              <w:t>(105,276)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39"/>
              <w:spacing w:after="0"/>
              <w:rPr>
                <w:sz w:val="20"/>
                <w:szCs w:val="20"/>
                <w:color w:val="auto"/>
              </w:rPr>
            </w:pPr>
            <w:r>
              <w:rPr>
                <w:rFonts w:ascii="Arial" w:cs="Arial" w:eastAsia="Arial" w:hAnsi="Arial"/>
                <w:sz w:val="20"/>
                <w:szCs w:val="20"/>
                <w:color w:val="auto"/>
              </w:rPr>
              <w:t>(9,134)</w:t>
            </w: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(10,601)</w:t>
            </w:r>
          </w:p>
        </w:tc>
        <w:tc>
          <w:tcPr>
            <w:tcW w:w="0" w:type="dxa"/>
            <w:vAlign w:val="bottom"/>
          </w:tcPr>
          <w:p>
            <w:pPr>
              <w:spacing w:after="0"/>
              <w:rPr>
                <w:sz w:val="1"/>
                <w:szCs w:val="1"/>
                <w:color w:val="auto"/>
              </w:rPr>
            </w:pPr>
          </w:p>
        </w:tc>
      </w:tr>
      <w:tr>
        <w:trPr>
          <w:trHeight w:val="243"/>
        </w:trPr>
        <w:tc>
          <w:tcPr>
            <w:tcW w:w="62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20"/>
                <w:szCs w:val="20"/>
                <w:color w:val="auto"/>
              </w:rPr>
              <w:t>Benefit obligation at end of year</w:t>
            </w: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2,247,329</w:t>
            </w:r>
          </w:p>
        </w:tc>
        <w:tc>
          <w:tcPr>
            <w:tcW w:w="180" w:type="dxa"/>
            <w:vAlign w:val="bottom"/>
            <w:tcBorders>
              <w:top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2"/>
              </w:rPr>
              <w:t>1,949,613</w:t>
            </w:r>
          </w:p>
        </w:tc>
        <w:tc>
          <w:tcPr>
            <w:tcW w:w="120" w:type="dxa"/>
            <w:vAlign w:val="bottom"/>
            <w:tcBorders>
              <w:top w:val="single" w:sz="8" w:color="CFF0FC"/>
            </w:tcBorders>
            <w:shd w:val="clear" w:color="auto" w:fill="CFF0FC"/>
          </w:tcPr>
          <w:p>
            <w:pPr>
              <w:spacing w:after="0"/>
              <w:rPr>
                <w:sz w:val="21"/>
                <w:szCs w:val="21"/>
                <w:color w:val="auto"/>
              </w:rPr>
            </w:pPr>
          </w:p>
        </w:tc>
        <w:tc>
          <w:tcPr>
            <w:tcW w:w="60" w:type="dxa"/>
            <w:vAlign w:val="bottom"/>
            <w:tcBorders>
              <w:top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56,492</w:t>
            </w:r>
          </w:p>
        </w:tc>
        <w:tc>
          <w:tcPr>
            <w:tcW w:w="180" w:type="dxa"/>
            <w:vAlign w:val="bottom"/>
            <w:tcBorders>
              <w:top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59,991</w:t>
            </w:r>
          </w:p>
        </w:tc>
        <w:tc>
          <w:tcPr>
            <w:tcW w:w="100" w:type="dxa"/>
            <w:vAlign w:val="bottom"/>
            <w:tcBorders>
              <w:top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spacing w:after="0"/>
              <w:rPr>
                <w:sz w:val="20"/>
                <w:szCs w:val="20"/>
                <w:color w:val="auto"/>
              </w:rPr>
            </w:pPr>
            <w:r>
              <w:rPr>
                <w:rFonts w:ascii="Arial" w:cs="Arial" w:eastAsia="Arial" w:hAnsi="Arial"/>
                <w:sz w:val="20"/>
                <w:szCs w:val="20"/>
                <w:color w:val="auto"/>
              </w:rPr>
              <w:t>Change in plan assets: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2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Fair value of plan assets at beginning of</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200" w:type="dxa"/>
            <w:vAlign w:val="bottom"/>
            <w:shd w:val="clear" w:color="auto" w:fill="CFF0FC"/>
          </w:tcPr>
          <w:p>
            <w:pPr>
              <w:ind w:left="400"/>
              <w:spacing w:after="0"/>
              <w:rPr>
                <w:sz w:val="20"/>
                <w:szCs w:val="20"/>
                <w:color w:val="auto"/>
              </w:rPr>
            </w:pPr>
            <w:r>
              <w:rPr>
                <w:rFonts w:ascii="Arial" w:cs="Arial" w:eastAsia="Arial" w:hAnsi="Arial"/>
                <w:sz w:val="20"/>
                <w:szCs w:val="20"/>
                <w:color w:val="auto"/>
              </w:rPr>
              <w:t>year</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1,833,833</w:t>
            </w: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2"/>
              </w:rPr>
              <w:t>2,014,891</w:t>
            </w: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19"/>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3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6200" w:type="dxa"/>
            <w:vAlign w:val="bottom"/>
          </w:tcPr>
          <w:p>
            <w:pPr>
              <w:ind w:left="240"/>
              <w:spacing w:after="0"/>
              <w:rPr>
                <w:sz w:val="20"/>
                <w:szCs w:val="20"/>
                <w:color w:val="auto"/>
              </w:rPr>
            </w:pPr>
            <w:r>
              <w:rPr>
                <w:rFonts w:ascii="Arial" w:cs="Arial" w:eastAsia="Arial" w:hAnsi="Arial"/>
                <w:sz w:val="20"/>
                <w:szCs w:val="20"/>
                <w:color w:val="auto"/>
              </w:rPr>
              <w:t>Actual return on plan assets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293,546</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20"/>
                <w:szCs w:val="20"/>
                <w:color w:val="auto"/>
              </w:rPr>
              <w:t>(90,657)</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19"/>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3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62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Employer contributions</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10,431</w:t>
            </w: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14,875</w:t>
            </w: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6,015</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7,119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0" w:type="dxa"/>
            <w:vAlign w:val="bottom"/>
          </w:tcPr>
          <w:p>
            <w:pPr>
              <w:ind w:left="240"/>
              <w:spacing w:after="0"/>
              <w:rPr>
                <w:sz w:val="20"/>
                <w:szCs w:val="20"/>
                <w:color w:val="auto"/>
              </w:rPr>
            </w:pPr>
            <w:r>
              <w:rPr>
                <w:rFonts w:ascii="Arial" w:cs="Arial" w:eastAsia="Arial" w:hAnsi="Arial"/>
                <w:sz w:val="20"/>
                <w:szCs w:val="20"/>
                <w:color w:val="auto"/>
              </w:rPr>
              <w:t>Plan participants’ contributions</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2,749</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2,974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Medicare Part D reimbursement</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4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370</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0" w:type="dxa"/>
            <w:vAlign w:val="bottom"/>
          </w:tcPr>
          <w:p>
            <w:pPr>
              <w:ind w:left="240"/>
              <w:spacing w:after="0"/>
              <w:rPr>
                <w:sz w:val="20"/>
                <w:szCs w:val="20"/>
                <w:color w:val="auto"/>
              </w:rPr>
            </w:pPr>
            <w:r>
              <w:rPr>
                <w:rFonts w:ascii="Arial" w:cs="Arial" w:eastAsia="Arial" w:hAnsi="Arial"/>
                <w:sz w:val="20"/>
                <w:szCs w:val="20"/>
                <w:color w:val="auto"/>
              </w:rPr>
              <w:t>Benefits paid</w:t>
            </w:r>
          </w:p>
        </w:tc>
        <w:tc>
          <w:tcPr>
            <w:tcW w:w="2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0"/>
                <w:szCs w:val="20"/>
                <w:color w:val="auto"/>
              </w:rPr>
              <w:t>(99,870)</w:t>
            </w:r>
          </w:p>
        </w:tc>
        <w:tc>
          <w:tcPr>
            <w:tcW w:w="4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20"/>
                <w:szCs w:val="20"/>
                <w:color w:val="auto"/>
              </w:rPr>
              <w:t>(105,276)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39"/>
              <w:spacing w:after="0"/>
              <w:rPr>
                <w:sz w:val="20"/>
                <w:szCs w:val="20"/>
                <w:color w:val="auto"/>
              </w:rPr>
            </w:pPr>
            <w:r>
              <w:rPr>
                <w:rFonts w:ascii="Arial" w:cs="Arial" w:eastAsia="Arial" w:hAnsi="Arial"/>
                <w:sz w:val="20"/>
                <w:szCs w:val="20"/>
                <w:color w:val="auto"/>
              </w:rPr>
              <w:t>(9,134)</w:t>
            </w: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(10,601)</w:t>
            </w:r>
          </w:p>
        </w:tc>
        <w:tc>
          <w:tcPr>
            <w:tcW w:w="0" w:type="dxa"/>
            <w:vAlign w:val="bottom"/>
          </w:tcPr>
          <w:p>
            <w:pPr>
              <w:spacing w:after="0"/>
              <w:rPr>
                <w:sz w:val="1"/>
                <w:szCs w:val="1"/>
                <w:color w:val="auto"/>
              </w:rPr>
            </w:pPr>
          </w:p>
        </w:tc>
      </w:tr>
      <w:tr>
        <w:trPr>
          <w:trHeight w:val="243"/>
        </w:trPr>
        <w:tc>
          <w:tcPr>
            <w:tcW w:w="62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20"/>
                <w:szCs w:val="20"/>
                <w:color w:val="auto"/>
              </w:rPr>
              <w:t>Fair value of plan assets at end of year</w:t>
            </w: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2,037,940</w:t>
            </w:r>
          </w:p>
        </w:tc>
        <w:tc>
          <w:tcPr>
            <w:tcW w:w="180" w:type="dxa"/>
            <w:vAlign w:val="bottom"/>
            <w:tcBorders>
              <w:top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2"/>
              </w:rPr>
              <w:t>1,833,833</w:t>
            </w:r>
          </w:p>
        </w:tc>
        <w:tc>
          <w:tcPr>
            <w:tcW w:w="120" w:type="dxa"/>
            <w:vAlign w:val="bottom"/>
            <w:tcBorders>
              <w:top w:val="single" w:sz="8" w:color="CFF0FC"/>
            </w:tcBorders>
            <w:shd w:val="clear" w:color="auto" w:fill="CFF0FC"/>
          </w:tcPr>
          <w:p>
            <w:pPr>
              <w:spacing w:after="0"/>
              <w:rPr>
                <w:sz w:val="21"/>
                <w:szCs w:val="21"/>
                <w:color w:val="auto"/>
              </w:rPr>
            </w:pPr>
          </w:p>
        </w:tc>
        <w:tc>
          <w:tcPr>
            <w:tcW w:w="60" w:type="dxa"/>
            <w:vAlign w:val="bottom"/>
            <w:tcBorders>
              <w:top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80" w:type="dxa"/>
            <w:vAlign w:val="bottom"/>
            <w:tcBorders>
              <w:top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top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2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Funded status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(209,389)</w:t>
            </w:r>
          </w:p>
        </w:tc>
        <w:tc>
          <w:tcPr>
            <w:tcW w:w="180" w:type="dxa"/>
            <w:vAlign w:val="bottom"/>
            <w:tcBorders>
              <w:bottom w:val="single" w:sz="8" w:color="CFF0FC"/>
            </w:tcBorders>
          </w:tcPr>
          <w:p>
            <w:pPr>
              <w:spacing w:after="0"/>
              <w:rPr>
                <w:sz w:val="24"/>
                <w:szCs w:val="24"/>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20"/>
                <w:szCs w:val="2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(115,780)</w:t>
            </w:r>
          </w:p>
        </w:tc>
        <w:tc>
          <w:tcPr>
            <w:tcW w:w="12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20"/>
                <w:szCs w:val="2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(56,492</w:t>
            </w:r>
          </w:p>
        </w:tc>
        <w:tc>
          <w:tcPr>
            <w:tcW w:w="180" w:type="dxa"/>
            <w:vAlign w:val="bottom"/>
            <w:tcBorders>
              <w:bottom w:val="single" w:sz="8" w:color="CFF0FC"/>
            </w:tcBorders>
          </w:tcPr>
          <w:p>
            <w:pPr>
              <w:jc w:val="right"/>
              <w:ind w:right="39"/>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(59,991</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spacing w:after="0" w:line="215" w:lineRule="exact"/>
              <w:rPr>
                <w:sz w:val="20"/>
                <w:szCs w:val="20"/>
                <w:color w:val="auto"/>
              </w:rPr>
            </w:pPr>
            <w:r>
              <w:rPr>
                <w:rFonts w:ascii="Arial" w:cs="Arial" w:eastAsia="Arial" w:hAnsi="Arial"/>
                <w:sz w:val="20"/>
                <w:szCs w:val="20"/>
                <w:color w:val="auto"/>
              </w:rPr>
              <w:t>Accrued liabilities recognized in the</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consolidated balance sheet</w:t>
            </w:r>
          </w:p>
        </w:tc>
        <w:tc>
          <w:tcPr>
            <w:tcW w:w="280" w:type="dxa"/>
            <w:vAlign w:val="bottom"/>
            <w:shd w:val="clear" w:color="auto" w:fill="CFF0FC"/>
          </w:tcPr>
          <w:p>
            <w:pPr>
              <w:jc w:val="right"/>
              <w:ind w:right="79"/>
              <w:spacing w:after="0"/>
              <w:rPr>
                <w:sz w:val="20"/>
                <w:szCs w:val="20"/>
                <w:color w:val="auto"/>
              </w:rPr>
            </w:pPr>
            <w:r>
              <w:rPr>
                <w:rFonts w:ascii="Arial" w:cs="Arial" w:eastAsia="Arial" w:hAnsi="Arial"/>
                <w:sz w:val="20"/>
                <w:szCs w:val="20"/>
                <w:color w:val="auto"/>
                <w:w w:val="71"/>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(209,389)</w:t>
            </w:r>
          </w:p>
        </w:tc>
        <w:tc>
          <w:tcPr>
            <w:tcW w:w="420" w:type="dxa"/>
            <w:vAlign w:val="bottom"/>
            <w:shd w:val="clear" w:color="auto" w:fill="CFF0FC"/>
          </w:tcPr>
          <w:p>
            <w:pPr>
              <w:jc w:val="right"/>
              <w:ind w:right="219"/>
              <w:spacing w:after="0"/>
              <w:rPr>
                <w:sz w:val="20"/>
                <w:szCs w:val="20"/>
                <w:color w:val="auto"/>
              </w:rPr>
            </w:pPr>
            <w:r>
              <w:rPr>
                <w:rFonts w:ascii="Arial" w:cs="Arial" w:eastAsia="Arial" w:hAnsi="Arial"/>
                <w:sz w:val="20"/>
                <w:szCs w:val="20"/>
                <w:color w:val="auto"/>
                <w:w w:val="71"/>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(115,780)</w:t>
            </w:r>
          </w:p>
        </w:tc>
        <w:tc>
          <w:tcPr>
            <w:tcW w:w="300" w:type="dxa"/>
            <w:vAlign w:val="bottom"/>
            <w:gridSpan w:val="2"/>
            <w:shd w:val="clear" w:color="auto" w:fill="CFF0FC"/>
          </w:tcPr>
          <w:p>
            <w:pPr>
              <w:jc w:val="right"/>
              <w:ind w:right="39"/>
              <w:spacing w:after="0"/>
              <w:rPr>
                <w:sz w:val="20"/>
                <w:szCs w:val="20"/>
                <w:color w:val="auto"/>
              </w:rPr>
            </w:pPr>
            <w:r>
              <w:rPr>
                <w:rFonts w:ascii="Arial" w:cs="Arial" w:eastAsia="Arial" w:hAnsi="Arial"/>
                <w:sz w:val="20"/>
                <w:szCs w:val="20"/>
                <w:color w:val="auto"/>
              </w:rPr>
              <w:t>$</w:t>
            </w:r>
          </w:p>
        </w:tc>
        <w:tc>
          <w:tcPr>
            <w:tcW w:w="960" w:type="dxa"/>
            <w:vAlign w:val="bottom"/>
            <w:gridSpan w:val="2"/>
            <w:shd w:val="clear" w:color="auto" w:fill="CFF0FC"/>
          </w:tcPr>
          <w:p>
            <w:pPr>
              <w:jc w:val="right"/>
              <w:ind w:right="39"/>
              <w:spacing w:after="0"/>
              <w:rPr>
                <w:sz w:val="20"/>
                <w:szCs w:val="20"/>
                <w:color w:val="auto"/>
              </w:rPr>
            </w:pPr>
            <w:r>
              <w:rPr>
                <w:rFonts w:ascii="Arial" w:cs="Arial" w:eastAsia="Arial" w:hAnsi="Arial"/>
                <w:sz w:val="20"/>
                <w:szCs w:val="20"/>
                <w:color w:val="auto"/>
              </w:rPr>
              <w:t>(56,492)</w:t>
            </w: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(59,991)</w:t>
            </w:r>
          </w:p>
        </w:tc>
        <w:tc>
          <w:tcPr>
            <w:tcW w:w="0" w:type="dxa"/>
            <w:vAlign w:val="bottom"/>
          </w:tcPr>
          <w:p>
            <w:pPr>
              <w:spacing w:after="0"/>
              <w:rPr>
                <w:sz w:val="1"/>
                <w:szCs w:val="1"/>
                <w:color w:val="auto"/>
              </w:rPr>
            </w:pPr>
          </w:p>
        </w:tc>
      </w:tr>
      <w:tr>
        <w:trPr>
          <w:trHeight w:val="20"/>
        </w:trPr>
        <w:tc>
          <w:tcPr>
            <w:tcW w:w="6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20"/>
                <w:szCs w:val="20"/>
                <w:color w:val="auto"/>
              </w:rPr>
              <w:t>Amounts recognized in accumulated other</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00" w:type="dxa"/>
            <w:vAlign w:val="bottom"/>
          </w:tcPr>
          <w:p>
            <w:pPr>
              <w:ind w:left="160"/>
              <w:spacing w:after="0"/>
              <w:rPr>
                <w:sz w:val="20"/>
                <w:szCs w:val="20"/>
                <w:color w:val="auto"/>
              </w:rPr>
            </w:pPr>
            <w:r>
              <w:rPr>
                <w:rFonts w:ascii="Arial" w:cs="Arial" w:eastAsia="Arial" w:hAnsi="Arial"/>
                <w:sz w:val="20"/>
                <w:szCs w:val="20"/>
                <w:color w:val="auto"/>
              </w:rPr>
              <w:t>comprehensive income (“AOCI”) were: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Net loss (gain)</w:t>
            </w:r>
          </w:p>
        </w:tc>
        <w:tc>
          <w:tcPr>
            <w:tcW w:w="280" w:type="dxa"/>
            <w:vAlign w:val="bottom"/>
            <w:shd w:val="clear" w:color="auto" w:fill="CFF0FC"/>
          </w:tcPr>
          <w:p>
            <w:pPr>
              <w:jc w:val="right"/>
              <w:ind w:right="79"/>
              <w:spacing w:after="0"/>
              <w:rPr>
                <w:sz w:val="20"/>
                <w:szCs w:val="20"/>
                <w:color w:val="auto"/>
              </w:rPr>
            </w:pPr>
            <w:r>
              <w:rPr>
                <w:rFonts w:ascii="Arial" w:cs="Arial" w:eastAsia="Arial" w:hAnsi="Arial"/>
                <w:sz w:val="20"/>
                <w:szCs w:val="2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507,029</w:t>
            </w: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19"/>
              <w:spacing w:after="0"/>
              <w:rPr>
                <w:sz w:val="20"/>
                <w:szCs w:val="20"/>
                <w:color w:val="auto"/>
              </w:rPr>
            </w:pPr>
            <w:r>
              <w:rPr>
                <w:rFonts w:ascii="Arial" w:cs="Arial" w:eastAsia="Arial" w:hAnsi="Arial"/>
                <w:sz w:val="20"/>
                <w:szCs w:val="2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401,716</w:t>
            </w:r>
          </w:p>
        </w:tc>
        <w:tc>
          <w:tcPr>
            <w:tcW w:w="12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39"/>
              <w:spacing w:after="0"/>
              <w:rPr>
                <w:sz w:val="20"/>
                <w:szCs w:val="20"/>
                <w:color w:val="auto"/>
              </w:rPr>
            </w:pPr>
            <w:r>
              <w:rPr>
                <w:rFonts w:ascii="Arial" w:cs="Arial" w:eastAsia="Arial" w:hAnsi="Arial"/>
                <w:sz w:val="20"/>
                <w:szCs w:val="20"/>
                <w:color w:val="auto"/>
              </w:rPr>
              <w:t>$</w:t>
            </w:r>
          </w:p>
        </w:tc>
        <w:tc>
          <w:tcPr>
            <w:tcW w:w="960" w:type="dxa"/>
            <w:vAlign w:val="bottom"/>
            <w:gridSpan w:val="2"/>
            <w:shd w:val="clear" w:color="auto" w:fill="CFF0FC"/>
          </w:tcPr>
          <w:p>
            <w:pPr>
              <w:jc w:val="right"/>
              <w:ind w:right="39"/>
              <w:spacing w:after="0"/>
              <w:rPr>
                <w:sz w:val="20"/>
                <w:szCs w:val="20"/>
                <w:color w:val="auto"/>
              </w:rPr>
            </w:pPr>
            <w:r>
              <w:rPr>
                <w:rFonts w:ascii="Arial" w:cs="Arial" w:eastAsia="Arial" w:hAnsi="Arial"/>
                <w:sz w:val="20"/>
                <w:szCs w:val="20"/>
                <w:color w:val="auto"/>
              </w:rPr>
              <w:t>(17,308)</w:t>
            </w: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(17,868)</w:t>
            </w:r>
          </w:p>
        </w:tc>
        <w:tc>
          <w:tcPr>
            <w:tcW w:w="0" w:type="dxa"/>
            <w:vAlign w:val="bottom"/>
          </w:tcPr>
          <w:p>
            <w:pPr>
              <w:spacing w:after="0"/>
              <w:rPr>
                <w:sz w:val="1"/>
                <w:szCs w:val="1"/>
                <w:color w:val="auto"/>
              </w:rPr>
            </w:pPr>
          </w:p>
        </w:tc>
      </w:tr>
      <w:tr>
        <w:trPr>
          <w:trHeight w:val="250"/>
        </w:trPr>
        <w:tc>
          <w:tcPr>
            <w:tcW w:w="6200" w:type="dxa"/>
            <w:vAlign w:val="bottom"/>
          </w:tcPr>
          <w:p>
            <w:pPr>
              <w:ind w:left="240"/>
              <w:spacing w:after="0"/>
              <w:rPr>
                <w:sz w:val="20"/>
                <w:szCs w:val="20"/>
                <w:color w:val="auto"/>
              </w:rPr>
            </w:pPr>
            <w:r>
              <w:rPr>
                <w:rFonts w:ascii="Arial" w:cs="Arial" w:eastAsia="Arial" w:hAnsi="Arial"/>
                <w:sz w:val="20"/>
                <w:szCs w:val="20"/>
                <w:color w:val="auto"/>
              </w:rPr>
              <w:t>Net prior service cost (credit)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1,834</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2,391</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39"/>
              <w:spacing w:after="0"/>
              <w:rPr>
                <w:sz w:val="20"/>
                <w:szCs w:val="20"/>
                <w:color w:val="auto"/>
              </w:rPr>
            </w:pPr>
            <w:r>
              <w:rPr>
                <w:rFonts w:ascii="Arial" w:cs="Arial" w:eastAsia="Arial" w:hAnsi="Arial"/>
                <w:sz w:val="20"/>
                <w:szCs w:val="20"/>
                <w:color w:val="auto"/>
              </w:rPr>
              <w:t>(27,007)</w:t>
            </w: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(31,737)</w:t>
            </w:r>
          </w:p>
        </w:tc>
        <w:tc>
          <w:tcPr>
            <w:tcW w:w="0" w:type="dxa"/>
            <w:vAlign w:val="bottom"/>
          </w:tcPr>
          <w:p>
            <w:pPr>
              <w:spacing w:after="0"/>
              <w:rPr>
                <w:sz w:val="1"/>
                <w:szCs w:val="1"/>
                <w:color w:val="auto"/>
              </w:rPr>
            </w:pPr>
          </w:p>
        </w:tc>
      </w:tr>
      <w:tr>
        <w:trPr>
          <w:trHeight w:val="243"/>
        </w:trPr>
        <w:tc>
          <w:tcPr>
            <w:tcW w:w="62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20"/>
                <w:szCs w:val="20"/>
                <w:color w:val="auto"/>
              </w:rPr>
              <w:t>Pre-tax adjustment to AOCI</w:t>
            </w:r>
          </w:p>
        </w:tc>
        <w:tc>
          <w:tcPr>
            <w:tcW w:w="28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508,863</w:t>
            </w:r>
          </w:p>
        </w:tc>
        <w:tc>
          <w:tcPr>
            <w:tcW w:w="180" w:type="dxa"/>
            <w:vAlign w:val="bottom"/>
            <w:tcBorders>
              <w:top w:val="single" w:sz="8" w:color="CFF0FC"/>
            </w:tcBorders>
            <w:shd w:val="clear" w:color="auto" w:fill="CFF0FC"/>
          </w:tcPr>
          <w:p>
            <w:pPr>
              <w:spacing w:after="0"/>
              <w:rPr>
                <w:sz w:val="21"/>
                <w:szCs w:val="21"/>
                <w:color w:val="auto"/>
              </w:rPr>
            </w:pPr>
          </w:p>
        </w:tc>
        <w:tc>
          <w:tcPr>
            <w:tcW w:w="42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404,107</w:t>
            </w:r>
          </w:p>
        </w:tc>
        <w:tc>
          <w:tcPr>
            <w:tcW w:w="120" w:type="dxa"/>
            <w:vAlign w:val="bottom"/>
            <w:tcBorders>
              <w:top w:val="single" w:sz="8" w:color="CFF0FC"/>
            </w:tcBorders>
            <w:shd w:val="clear" w:color="auto" w:fill="CFF0FC"/>
          </w:tcPr>
          <w:p>
            <w:pPr>
              <w:spacing w:after="0"/>
              <w:rPr>
                <w:sz w:val="21"/>
                <w:szCs w:val="21"/>
                <w:color w:val="auto"/>
              </w:rPr>
            </w:pPr>
          </w:p>
        </w:tc>
        <w:tc>
          <w:tcPr>
            <w:tcW w:w="60" w:type="dxa"/>
            <w:vAlign w:val="bottom"/>
            <w:tcBorders>
              <w:top w:val="single" w:sz="8" w:color="CFF0FC"/>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(44,315)</w:t>
            </w:r>
          </w:p>
        </w:tc>
        <w:tc>
          <w:tcPr>
            <w:tcW w:w="180" w:type="dxa"/>
            <w:vAlign w:val="bottom"/>
            <w:tcBorders>
              <w:top w:val="single" w:sz="8" w:color="CFF0FC"/>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(49,605)</w:t>
            </w:r>
          </w:p>
        </w:tc>
        <w:tc>
          <w:tcPr>
            <w:tcW w:w="100" w:type="dxa"/>
            <w:vAlign w:val="bottom"/>
            <w:tcBorders>
              <w:top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0" w:type="dxa"/>
            <w:vAlign w:val="bottom"/>
          </w:tcPr>
          <w:p>
            <w:pPr>
              <w:ind w:left="240"/>
              <w:spacing w:after="0"/>
              <w:rPr>
                <w:sz w:val="20"/>
                <w:szCs w:val="20"/>
                <w:color w:val="auto"/>
              </w:rPr>
            </w:pPr>
            <w:r>
              <w:rPr>
                <w:rFonts w:ascii="Arial" w:cs="Arial" w:eastAsia="Arial" w:hAnsi="Arial"/>
                <w:sz w:val="20"/>
                <w:szCs w:val="20"/>
                <w:color w:val="auto"/>
              </w:rPr>
              <w:t>Taxes</w:t>
            </w:r>
          </w:p>
        </w:tc>
        <w:tc>
          <w:tcPr>
            <w:tcW w:w="2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0"/>
                <w:szCs w:val="20"/>
                <w:color w:val="auto"/>
              </w:rPr>
              <w:t>(133,779)</w:t>
            </w:r>
          </w:p>
        </w:tc>
        <w:tc>
          <w:tcPr>
            <w:tcW w:w="4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20"/>
                <w:szCs w:val="20"/>
                <w:color w:val="auto"/>
              </w:rPr>
              <w:t>(106,240)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11,650</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13,041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20"/>
                <w:szCs w:val="20"/>
                <w:color w:val="auto"/>
              </w:rPr>
              <w:t>Net adjustment to AOCI</w:t>
            </w:r>
          </w:p>
        </w:tc>
        <w:tc>
          <w:tcPr>
            <w:tcW w:w="28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375,084</w:t>
            </w: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19"/>
              <w:spacing w:after="0"/>
              <w:rPr>
                <w:sz w:val="20"/>
                <w:szCs w:val="20"/>
                <w:color w:val="auto"/>
              </w:rPr>
            </w:pPr>
            <w:r>
              <w:rPr>
                <w:rFonts w:ascii="Arial" w:cs="Arial" w:eastAsia="Arial" w:hAnsi="Arial"/>
                <w:sz w:val="20"/>
                <w:szCs w:val="20"/>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297,867</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6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20"/>
                <w:szCs w:val="20"/>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(32,665</w:t>
            </w:r>
          </w:p>
        </w:tc>
        <w:tc>
          <w:tcPr>
            <w:tcW w:w="18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(36,564</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60" w:firstLine="598"/>
        <w:spacing w:after="0" w:line="253" w:lineRule="auto"/>
        <w:rPr>
          <w:sz w:val="20"/>
          <w:szCs w:val="20"/>
          <w:color w:val="auto"/>
        </w:rPr>
      </w:pPr>
      <w:r>
        <w:rPr>
          <w:rFonts w:ascii="Arial" w:cs="Arial" w:eastAsia="Arial" w:hAnsi="Arial"/>
          <w:sz w:val="20"/>
          <w:szCs w:val="20"/>
          <w:color w:val="auto"/>
        </w:rPr>
        <w:t>The Company has an unfunded supplemental pension plan for certain key executives and others. The projected benefit obligation and accumulated benefit obligation included in the preceding data related to such plan were $154 million as of December 31, 2019 and $143 million as of December 31, 2018.</w:t>
      </w:r>
    </w:p>
    <w:p>
      <w:pPr>
        <w:ind w:right="180" w:firstLine="598"/>
        <w:spacing w:after="0" w:line="256" w:lineRule="auto"/>
        <w:rPr>
          <w:sz w:val="20"/>
          <w:szCs w:val="20"/>
          <w:color w:val="auto"/>
        </w:rPr>
      </w:pPr>
      <w:r>
        <w:rPr>
          <w:rFonts w:ascii="Arial" w:cs="Arial" w:eastAsia="Arial" w:hAnsi="Arial"/>
          <w:sz w:val="20"/>
          <w:szCs w:val="20"/>
          <w:color w:val="auto"/>
        </w:rPr>
        <w:t>The accumulated benefit obligation for all defined benefit pension plans was $2.2 billion and $1.9 billion at December 31, 2019 and 2018,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53" w:name="page154"/>
    <w:bookmarkEnd w:id="153"/>
    <w:p>
      <w:pPr>
        <w:ind w:left="600"/>
        <w:spacing w:after="0"/>
        <w:rPr>
          <w:sz w:val="20"/>
          <w:szCs w:val="20"/>
          <w:color w:val="auto"/>
        </w:rPr>
      </w:pPr>
      <w:r>
        <w:rPr>
          <w:rFonts w:ascii="Arial" w:cs="Arial" w:eastAsia="Arial" w:hAnsi="Arial"/>
          <w:sz w:val="18"/>
          <w:szCs w:val="18"/>
          <w:color w:val="auto"/>
        </w:rPr>
        <w:t>GAAP requires an employer to recognize in its balance sheet as an asset or liability the overfunded or underfunded status of a defined</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benefit postretirement plan, measured as the difference between the fair value of plan assets and the benefit obligation. For a pension plan,</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the benefit obligation is the projected benefit obligation; for any other postretirement benefit plan, such as a retiree health care plan,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benefit obligation is the accumulated postretirement benefit obligation. Gains or losses and prior service costs or credits that arise during the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period, but are not included as components of net periodic benefit expense, are recognized as a component of other comprehensive income.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net gains and losses is included in annual net periodic benefit expense if, as of the beginning of the year, the net gain or loss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exceeds 10% of the greater of the benefit obligation or the fair value of the plan assets. As indicated in the preceding table, as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the Company recorded a minimum liability adjustment of $465 million ($509 million related to pension plans and $(44)</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million related to other postretirement benefits) with a corresponding reduction of shareholders’ equity, net of applicable deferred taxes, of</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$342 million. In aggregate, the benefit plans realized a net loss during 2019 that resulted in an increase to the minimum liability adjustment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from that which was recorded at December 31, 2018 of $110 million. The net loss in 2019 was mainly the result of lowering the discount rate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used to measure the benefit obligation of all plans to 3.25% at December 31, 2019 from 4.25% used at the prior year-end, offset, in part, by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actuarial losses and a return on plan assets that exceeded the assumed expected return. The table below reflects the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changes in plan assets and benefit obligations recognized in other comprehensive income related to the Company’s postretirement benefit</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plans.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9"/>
              </w:rPr>
              <w:t>Pension Plans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89"/>
              </w:rPr>
              <w:t>Postretirement</w:t>
            </w:r>
          </w:p>
        </w:tc>
        <w:tc>
          <w:tcPr>
            <w:tcW w:w="280" w:type="dxa"/>
            <w:vAlign w:val="bottom"/>
          </w:tcPr>
          <w:p>
            <w:pPr>
              <w:spacing w:after="0"/>
              <w:rPr>
                <w:sz w:val="12"/>
                <w:szCs w:val="12"/>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40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Benefit Plans</w:t>
            </w:r>
          </w:p>
        </w:tc>
        <w:tc>
          <w:tcPr>
            <w:tcW w:w="2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ind w:right="360"/>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180" w:type="dxa"/>
            <w:vAlign w:val="bottom"/>
            <w:gridSpan w:val="2"/>
            <w:shd w:val="clear" w:color="auto" w:fill="CFF0FC"/>
          </w:tcPr>
          <w:p>
            <w:pPr>
              <w:spacing w:after="0" w:line="210" w:lineRule="exact"/>
              <w:rPr>
                <w:sz w:val="20"/>
                <w:szCs w:val="20"/>
                <w:color w:val="auto"/>
              </w:rPr>
            </w:pPr>
            <w:r>
              <w:rPr>
                <w:rFonts w:ascii="Arial" w:cs="Arial" w:eastAsia="Arial" w:hAnsi="Arial"/>
                <w:sz w:val="20"/>
                <w:szCs w:val="20"/>
                <w:color w:val="auto"/>
              </w:rPr>
              <w:t>2019</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400" w:type="dxa"/>
            <w:vAlign w:val="bottom"/>
            <w:shd w:val="clear" w:color="auto" w:fill="000000"/>
          </w:tcPr>
          <w:p>
            <w:pPr>
              <w:spacing w:after="0"/>
              <w:rPr>
                <w:sz w:val="3"/>
                <w:szCs w:val="3"/>
                <w:color w:val="auto"/>
              </w:rPr>
            </w:pPr>
          </w:p>
        </w:tc>
        <w:tc>
          <w:tcPr>
            <w:tcW w:w="678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6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116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gridSpan w:val="2"/>
          </w:tcPr>
          <w:p>
            <w:pPr>
              <w:spacing w:after="0"/>
              <w:rPr>
                <w:sz w:val="20"/>
                <w:szCs w:val="20"/>
                <w:color w:val="auto"/>
              </w:rPr>
            </w:pPr>
            <w:r>
              <w:rPr>
                <w:rFonts w:ascii="Arial" w:cs="Arial" w:eastAsia="Arial" w:hAnsi="Arial"/>
                <w:sz w:val="20"/>
                <w:szCs w:val="20"/>
                <w:color w:val="auto"/>
              </w:rPr>
              <w:t>Net loss (gain)</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127,305</w:t>
            </w:r>
          </w:p>
        </w:tc>
        <w:tc>
          <w:tcPr>
            <w:tcW w:w="14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20"/>
                <w:szCs w:val="20"/>
                <w:color w:val="auto"/>
              </w:rPr>
              <w:t>(687)</w:t>
            </w:r>
          </w:p>
        </w:tc>
        <w:tc>
          <w:tcPr>
            <w:tcW w:w="280" w:type="dxa"/>
            <w:vAlign w:val="bottom"/>
          </w:tcPr>
          <w:p>
            <w:pPr>
              <w:jc w:val="right"/>
              <w:ind w:right="79"/>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126,618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18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Amortization of prior service (cost) credit</w:t>
            </w: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(557)</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4,730</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180" w:type="dxa"/>
            <w:vAlign w:val="bottom"/>
            <w:gridSpan w:val="2"/>
          </w:tcPr>
          <w:p>
            <w:pPr>
              <w:spacing w:after="0"/>
              <w:rPr>
                <w:sz w:val="20"/>
                <w:szCs w:val="20"/>
                <w:color w:val="auto"/>
              </w:rPr>
            </w:pPr>
            <w:r>
              <w:rPr>
                <w:rFonts w:ascii="Arial" w:cs="Arial" w:eastAsia="Arial" w:hAnsi="Arial"/>
                <w:sz w:val="20"/>
                <w:szCs w:val="20"/>
                <w:color w:val="auto"/>
              </w:rPr>
              <w:t>Amortization of actuarial (loss) gain</w:t>
            </w:r>
          </w:p>
        </w:tc>
        <w:tc>
          <w:tcPr>
            <w:tcW w:w="1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20"/>
                <w:szCs w:val="20"/>
                <w:color w:val="auto"/>
              </w:rPr>
              <w:t>(21,992)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1,247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20"/>
                <w:szCs w:val="20"/>
                <w:color w:val="auto"/>
              </w:rPr>
              <w:t>(20,745)</w:t>
            </w:r>
          </w:p>
        </w:tc>
        <w:tc>
          <w:tcPr>
            <w:tcW w:w="0" w:type="dxa"/>
            <w:vAlign w:val="bottom"/>
          </w:tcPr>
          <w:p>
            <w:pPr>
              <w:spacing w:after="0"/>
              <w:rPr>
                <w:sz w:val="1"/>
                <w:szCs w:val="1"/>
                <w:color w:val="auto"/>
              </w:rPr>
            </w:pPr>
          </w:p>
        </w:tc>
      </w:tr>
      <w:tr>
        <w:trPr>
          <w:trHeight w:val="229"/>
        </w:trPr>
        <w:tc>
          <w:tcPr>
            <w:tcW w:w="71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Total recognized in other comprehensive income,</w:t>
            </w:r>
          </w:p>
        </w:tc>
        <w:tc>
          <w:tcPr>
            <w:tcW w:w="1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180" w:type="dxa"/>
            <w:vAlign w:val="bottom"/>
            <w:gridSpan w:val="2"/>
            <w:shd w:val="clear" w:color="auto" w:fill="CFF0FC"/>
          </w:tcPr>
          <w:p>
            <w:pPr>
              <w:ind w:left="160"/>
              <w:spacing w:after="0"/>
              <w:rPr>
                <w:sz w:val="20"/>
                <w:szCs w:val="20"/>
                <w:color w:val="auto"/>
              </w:rPr>
            </w:pPr>
            <w:r>
              <w:rPr>
                <w:rFonts w:ascii="Arial" w:cs="Arial" w:eastAsia="Arial" w:hAnsi="Arial"/>
                <w:sz w:val="20"/>
                <w:szCs w:val="20"/>
                <w:color w:val="auto"/>
              </w:rPr>
              <w:t>pre-tax</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104,756</w:t>
            </w:r>
          </w:p>
        </w:tc>
        <w:tc>
          <w:tcPr>
            <w:tcW w:w="14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5,290</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9"/>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110,046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20"/>
                <w:szCs w:val="20"/>
                <w:color w:val="auto"/>
              </w:rPr>
              <w:t>2018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400" w:type="dxa"/>
            <w:vAlign w:val="bottom"/>
            <w:shd w:val="clear" w:color="auto" w:fill="000000"/>
          </w:tcPr>
          <w:p>
            <w:pPr>
              <w:spacing w:after="0"/>
              <w:rPr>
                <w:sz w:val="2"/>
                <w:szCs w:val="2"/>
                <w:color w:val="auto"/>
              </w:rPr>
            </w:pPr>
          </w:p>
        </w:tc>
        <w:tc>
          <w:tcPr>
            <w:tcW w:w="6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718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Net gain</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(15,113)</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(4,758)</w:t>
            </w:r>
          </w:p>
        </w:tc>
        <w:tc>
          <w:tcPr>
            <w:tcW w:w="280" w:type="dxa"/>
            <w:vAlign w:val="bottom"/>
            <w:shd w:val="clear" w:color="auto" w:fill="CFF0FC"/>
          </w:tcPr>
          <w:p>
            <w:pPr>
              <w:jc w:val="right"/>
              <w:ind w:right="79"/>
              <w:spacing w:after="0"/>
              <w:rPr>
                <w:sz w:val="20"/>
                <w:szCs w:val="20"/>
                <w:color w:val="auto"/>
              </w:rPr>
            </w:pPr>
            <w:r>
              <w:rPr>
                <w:rFonts w:ascii="Arial" w:cs="Arial" w:eastAsia="Arial" w:hAnsi="Arial"/>
                <w:sz w:val="20"/>
                <w:szCs w:val="20"/>
                <w:color w:val="auto"/>
                <w:w w:val="71"/>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(19,871)</w:t>
            </w:r>
          </w:p>
        </w:tc>
        <w:tc>
          <w:tcPr>
            <w:tcW w:w="0" w:type="dxa"/>
            <w:vAlign w:val="bottom"/>
          </w:tcPr>
          <w:p>
            <w:pPr>
              <w:spacing w:after="0"/>
              <w:rPr>
                <w:sz w:val="1"/>
                <w:szCs w:val="1"/>
                <w:color w:val="auto"/>
              </w:rPr>
            </w:pPr>
          </w:p>
        </w:tc>
      </w:tr>
      <w:tr>
        <w:trPr>
          <w:trHeight w:val="250"/>
        </w:trPr>
        <w:tc>
          <w:tcPr>
            <w:tcW w:w="7180" w:type="dxa"/>
            <w:vAlign w:val="bottom"/>
            <w:gridSpan w:val="2"/>
          </w:tcPr>
          <w:p>
            <w:pPr>
              <w:spacing w:after="0"/>
              <w:rPr>
                <w:sz w:val="20"/>
                <w:szCs w:val="20"/>
                <w:color w:val="auto"/>
              </w:rPr>
            </w:pPr>
            <w:r>
              <w:rPr>
                <w:rFonts w:ascii="Arial" w:cs="Arial" w:eastAsia="Arial" w:hAnsi="Arial"/>
                <w:sz w:val="20"/>
                <w:szCs w:val="20"/>
                <w:color w:val="auto"/>
              </w:rPr>
              <w:t>Amortization of prior service (cost) credit</w:t>
            </w:r>
          </w:p>
        </w:tc>
        <w:tc>
          <w:tcPr>
            <w:tcW w:w="1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20"/>
                <w:szCs w:val="20"/>
                <w:color w:val="auto"/>
              </w:rPr>
              <w:t>(557)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4,729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4,172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18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Amortization of actuarial (loss) gain</w:t>
            </w: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(43,793)</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826</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(42,967)</w:t>
            </w:r>
          </w:p>
        </w:tc>
        <w:tc>
          <w:tcPr>
            <w:tcW w:w="0" w:type="dxa"/>
            <w:vAlign w:val="bottom"/>
          </w:tcPr>
          <w:p>
            <w:pPr>
              <w:spacing w:after="0"/>
              <w:rPr>
                <w:sz w:val="1"/>
                <w:szCs w:val="1"/>
                <w:color w:val="auto"/>
              </w:rPr>
            </w:pPr>
          </w:p>
        </w:tc>
      </w:tr>
      <w:tr>
        <w:trPr>
          <w:trHeight w:val="229"/>
        </w:trPr>
        <w:tc>
          <w:tcPr>
            <w:tcW w:w="7180" w:type="dxa"/>
            <w:vAlign w:val="bottom"/>
            <w:gridSpan w:val="2"/>
          </w:tcPr>
          <w:p>
            <w:pPr>
              <w:spacing w:after="0"/>
              <w:rPr>
                <w:sz w:val="20"/>
                <w:szCs w:val="20"/>
                <w:color w:val="auto"/>
              </w:rPr>
            </w:pPr>
            <w:r>
              <w:rPr>
                <w:rFonts w:ascii="Arial" w:cs="Arial" w:eastAsia="Arial" w:hAnsi="Arial"/>
                <w:sz w:val="20"/>
                <w:szCs w:val="20"/>
                <w:color w:val="auto"/>
              </w:rPr>
              <w:t>Total recognized in other comprehensive income,</w:t>
            </w: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180" w:type="dxa"/>
            <w:vAlign w:val="bottom"/>
            <w:gridSpan w:val="2"/>
          </w:tcPr>
          <w:p>
            <w:pPr>
              <w:ind w:left="160"/>
              <w:spacing w:after="0"/>
              <w:rPr>
                <w:sz w:val="20"/>
                <w:szCs w:val="20"/>
                <w:color w:val="auto"/>
              </w:rPr>
            </w:pPr>
            <w:r>
              <w:rPr>
                <w:rFonts w:ascii="Arial" w:cs="Arial" w:eastAsia="Arial" w:hAnsi="Arial"/>
                <w:sz w:val="20"/>
                <w:szCs w:val="20"/>
                <w:color w:val="auto"/>
              </w:rPr>
              <w:t>pre-tax</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20"/>
                <w:szCs w:val="20"/>
                <w:color w:val="auto"/>
              </w:rPr>
              <w:t>(59,463)</w:t>
            </w:r>
          </w:p>
        </w:tc>
        <w:tc>
          <w:tcPr>
            <w:tcW w:w="20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797</w:t>
            </w:r>
          </w:p>
        </w:tc>
        <w:tc>
          <w:tcPr>
            <w:tcW w:w="2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20"/>
                <w:szCs w:val="20"/>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20"/>
                <w:szCs w:val="20"/>
                <w:color w:val="auto"/>
              </w:rPr>
              <w:t>(58,666)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260" w:firstLine="598"/>
        <w:spacing w:after="0" w:line="275" w:lineRule="auto"/>
        <w:rPr>
          <w:sz w:val="20"/>
          <w:szCs w:val="20"/>
          <w:color w:val="auto"/>
        </w:rPr>
      </w:pPr>
      <w:r>
        <w:rPr>
          <w:rFonts w:ascii="Arial" w:cs="Arial" w:eastAsia="Arial" w:hAnsi="Arial"/>
          <w:sz w:val="20"/>
          <w:szCs w:val="20"/>
          <w:color w:val="auto"/>
        </w:rPr>
        <w:t>The following table reflects the amortization of amounts in accumulated other comprehensive income expected to be recognized as components of net periodic benefit expense during 2020:</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5"/>
        </w:trPr>
        <w:tc>
          <w:tcPr>
            <w:tcW w:w="46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w w:val="98"/>
              </w:rPr>
              <w:t>Pension Plans</w:t>
            </w:r>
          </w:p>
        </w:tc>
        <w:tc>
          <w:tcPr>
            <w:tcW w:w="460" w:type="dxa"/>
            <w:vAlign w:val="bottom"/>
          </w:tcPr>
          <w:p>
            <w:pPr>
              <w:spacing w:after="0"/>
              <w:rPr>
                <w:sz w:val="12"/>
                <w:szCs w:val="12"/>
                <w:color w:val="auto"/>
              </w:rPr>
            </w:pPr>
          </w:p>
        </w:tc>
        <w:tc>
          <w:tcPr>
            <w:tcW w:w="138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91"/>
              </w:rPr>
              <w:t>Postretirement</w:t>
            </w:r>
          </w:p>
        </w:tc>
        <w:tc>
          <w:tcPr>
            <w:tcW w:w="0" w:type="dxa"/>
            <w:vAlign w:val="bottom"/>
          </w:tcPr>
          <w:p>
            <w:pPr>
              <w:spacing w:after="0"/>
              <w:rPr>
                <w:sz w:val="1"/>
                <w:szCs w:val="1"/>
                <w:color w:val="auto"/>
              </w:rPr>
            </w:pPr>
          </w:p>
        </w:tc>
      </w:tr>
      <w:tr>
        <w:trPr>
          <w:trHeight w:val="167"/>
        </w:trPr>
        <w:tc>
          <w:tcPr>
            <w:tcW w:w="4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Benefit Plans</w:t>
            </w: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4620" w:type="dxa"/>
            <w:vAlign w:val="bottom"/>
          </w:tcPr>
          <w:p>
            <w:pPr>
              <w:spacing w:after="0"/>
              <w:rPr>
                <w:sz w:val="20"/>
                <w:szCs w:val="20"/>
                <w:color w:val="auto"/>
              </w:rPr>
            </w:pPr>
            <w:r>
              <w:rPr>
                <w:rFonts w:ascii="Arial" w:cs="Arial" w:eastAsia="Arial" w:hAnsi="Arial"/>
                <w:sz w:val="20"/>
                <w:szCs w:val="20"/>
                <w:color w:val="auto"/>
              </w:rPr>
              <w:t>Amortization of net prior service cost (credit)</w:t>
            </w:r>
          </w:p>
        </w:tc>
        <w:tc>
          <w:tcPr>
            <w:tcW w:w="34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75"/>
              <w:spacing w:after="0"/>
              <w:rPr>
                <w:sz w:val="20"/>
                <w:szCs w:val="20"/>
                <w:color w:val="auto"/>
              </w:rPr>
            </w:pPr>
            <w:r>
              <w:rPr>
                <w:rFonts w:ascii="Arial" w:cs="Arial" w:eastAsia="Arial" w:hAnsi="Arial"/>
                <w:sz w:val="20"/>
                <w:szCs w:val="20"/>
                <w:color w:val="auto"/>
              </w:rPr>
              <w:t>557</w:t>
            </w:r>
          </w:p>
        </w:tc>
        <w:tc>
          <w:tcPr>
            <w:tcW w:w="460" w:type="dxa"/>
            <w:vAlign w:val="bottom"/>
          </w:tcPr>
          <w:p>
            <w:pPr>
              <w:jc w:val="right"/>
              <w:ind w:right="119"/>
              <w:spacing w:after="0"/>
              <w:rPr>
                <w:sz w:val="20"/>
                <w:szCs w:val="20"/>
                <w:color w:val="auto"/>
              </w:rPr>
            </w:pPr>
            <w:r>
              <w:rPr>
                <w:rFonts w:ascii="Arial" w:cs="Arial" w:eastAsia="Arial" w:hAnsi="Arial"/>
                <w:sz w:val="20"/>
                <w:szCs w:val="20"/>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(4,738)</w:t>
            </w: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spacing w:after="0"/>
              <w:rPr>
                <w:sz w:val="20"/>
                <w:szCs w:val="20"/>
                <w:color w:val="auto"/>
              </w:rPr>
            </w:pPr>
            <w:r>
              <w:rPr>
                <w:rFonts w:ascii="Arial" w:cs="Arial" w:eastAsia="Arial" w:hAnsi="Arial"/>
                <w:sz w:val="20"/>
                <w:szCs w:val="20"/>
                <w:color w:val="auto"/>
              </w:rPr>
              <w:t>Amortization of net loss (gain)</w:t>
            </w:r>
          </w:p>
        </w:tc>
        <w:tc>
          <w:tcPr>
            <w:tcW w:w="3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5"/>
              <w:spacing w:after="0"/>
              <w:rPr>
                <w:sz w:val="20"/>
                <w:szCs w:val="20"/>
                <w:color w:val="auto"/>
              </w:rPr>
            </w:pPr>
            <w:r>
              <w:rPr>
                <w:rFonts w:ascii="Arial" w:cs="Arial" w:eastAsia="Arial" w:hAnsi="Arial"/>
                <w:sz w:val="20"/>
                <w:szCs w:val="20"/>
                <w:color w:val="auto"/>
              </w:rPr>
              <w:t>55,851</w:t>
            </w:r>
          </w:p>
        </w:tc>
        <w:tc>
          <w:tcPr>
            <w:tcW w:w="4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(1,223)</w:t>
            </w:r>
          </w:p>
        </w:tc>
        <w:tc>
          <w:tcPr>
            <w:tcW w:w="0" w:type="dxa"/>
            <w:vAlign w:val="bottom"/>
          </w:tcPr>
          <w:p>
            <w:pPr>
              <w:spacing w:after="0"/>
              <w:rPr>
                <w:sz w:val="1"/>
                <w:szCs w:val="1"/>
                <w:color w:val="auto"/>
              </w:rPr>
            </w:pPr>
          </w:p>
        </w:tc>
      </w:tr>
      <w:tr>
        <w:trPr>
          <w:trHeight w:val="630"/>
        </w:trPr>
        <w:tc>
          <w:tcPr>
            <w:tcW w:w="4620" w:type="dxa"/>
            <w:vAlign w:val="bottom"/>
          </w:tcPr>
          <w:p>
            <w:pPr>
              <w:spacing w:after="0"/>
              <w:rPr>
                <w:sz w:val="24"/>
                <w:szCs w:val="24"/>
                <w:color w:val="auto"/>
              </w:rPr>
            </w:pPr>
          </w:p>
        </w:tc>
        <w:tc>
          <w:tcPr>
            <w:tcW w:w="3240" w:type="dxa"/>
            <w:vAlign w:val="bottom"/>
          </w:tcPr>
          <w:p>
            <w:pPr>
              <w:jc w:val="right"/>
              <w:ind w:right="1926"/>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62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54" w:name="page155"/>
    <w:bookmarkEnd w:id="154"/>
    <w:p>
      <w:pPr>
        <w:ind w:right="180" w:firstLine="598"/>
        <w:spacing w:after="0" w:line="268" w:lineRule="auto"/>
        <w:rPr>
          <w:sz w:val="20"/>
          <w:szCs w:val="20"/>
          <w:color w:val="auto"/>
        </w:rPr>
      </w:pPr>
      <w:r>
        <w:rPr>
          <w:rFonts w:ascii="Arial" w:cs="Arial" w:eastAsia="Arial" w:hAnsi="Arial"/>
          <w:sz w:val="19"/>
          <w:szCs w:val="19"/>
          <w:color w:val="auto"/>
        </w:rPr>
        <w:t>The Company also provides a qualified defined contribution pension plan to eligible employees who were not participants in the defined benefit pension plan as of December 31, 2005 and to other employees who have elected to participate in the defined contribution plan. The Company makes contributions to the defined contribution plan each year in an amount that is based on an individual participant’s total compensation (generally defined as total wages, incentive compensation, commissions and bonuses) and years of service. Participants do not contribute to the defined contribution pension plan. Pension expense recorded in 2019, 2018 and 2017 associated with the defined contribution pension plan was approximately $32 million, $29 million and $30 million,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Assumptions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color w:val="auto"/>
        </w:rPr>
        <w:t>The assumed weighted-average rates used to determine benefit obligations at December 31 were: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32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w w:val="99"/>
              </w:rPr>
              <w:t>Pension</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3"/>
          </w:tcPr>
          <w:p>
            <w:pPr>
              <w:jc w:val="center"/>
              <w:ind w:left="560"/>
              <w:spacing w:after="0"/>
              <w:rPr>
                <w:sz w:val="20"/>
                <w:szCs w:val="20"/>
                <w:color w:val="auto"/>
              </w:rPr>
            </w:pPr>
            <w:r>
              <w:rPr>
                <w:rFonts w:ascii="Arial" w:cs="Arial" w:eastAsia="Arial" w:hAnsi="Arial"/>
                <w:sz w:val="14"/>
                <w:szCs w:val="14"/>
                <w:b w:val="1"/>
                <w:bCs w:val="1"/>
                <w:color w:val="auto"/>
                <w:w w:val="96"/>
              </w:rPr>
              <w:t>Other</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70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5"/>
          </w:tcPr>
          <w:p>
            <w:pPr>
              <w:jc w:val="center"/>
              <w:ind w:right="180"/>
              <w:spacing w:after="0" w:line="145" w:lineRule="exact"/>
              <w:rPr>
                <w:sz w:val="20"/>
                <w:szCs w:val="20"/>
                <w:color w:val="auto"/>
              </w:rPr>
            </w:pPr>
            <w:r>
              <w:rPr>
                <w:rFonts w:ascii="Arial" w:cs="Arial" w:eastAsia="Arial" w:hAnsi="Arial"/>
                <w:sz w:val="14"/>
                <w:szCs w:val="14"/>
                <w:b w:val="1"/>
                <w:bCs w:val="1"/>
                <w:color w:val="auto"/>
                <w:w w:val="91"/>
              </w:rPr>
              <w:t>Postretirement</w:t>
            </w:r>
          </w:p>
        </w:tc>
        <w:tc>
          <w:tcPr>
            <w:tcW w:w="0" w:type="dxa"/>
            <w:vAlign w:val="bottom"/>
          </w:tcPr>
          <w:p>
            <w:pPr>
              <w:spacing w:after="0"/>
              <w:rPr>
                <w:sz w:val="1"/>
                <w:szCs w:val="1"/>
                <w:color w:val="auto"/>
              </w:rPr>
            </w:pPr>
          </w:p>
        </w:tc>
      </w:tr>
      <w:tr>
        <w:trPr>
          <w:trHeight w:val="167"/>
        </w:trPr>
        <w:tc>
          <w:tcPr>
            <w:tcW w:w="7000" w:type="dxa"/>
            <w:vAlign w:val="bottom"/>
          </w:tcPr>
          <w:p>
            <w:pPr>
              <w:spacing w:after="0"/>
              <w:rPr>
                <w:sz w:val="14"/>
                <w:szCs w:val="14"/>
                <w:color w:val="auto"/>
              </w:rPr>
            </w:pPr>
          </w:p>
        </w:tc>
        <w:tc>
          <w:tcPr>
            <w:tcW w:w="132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Benefits</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Borders>
              <w:bottom w:val="single" w:sz="8" w:color="auto"/>
            </w:tcBorders>
            <w:gridSpan w:val="3"/>
          </w:tcPr>
          <w:p>
            <w:pPr>
              <w:jc w:val="center"/>
              <w:ind w:left="560"/>
              <w:spacing w:after="0"/>
              <w:rPr>
                <w:sz w:val="20"/>
                <w:szCs w:val="20"/>
                <w:color w:val="auto"/>
              </w:rPr>
            </w:pPr>
            <w:r>
              <w:rPr>
                <w:rFonts w:ascii="Arial" w:cs="Arial" w:eastAsia="Arial" w:hAnsi="Arial"/>
                <w:sz w:val="14"/>
                <w:szCs w:val="14"/>
                <w:b w:val="1"/>
                <w:bCs w:val="1"/>
                <w:color w:val="auto"/>
                <w:w w:val="86"/>
              </w:rPr>
              <w:t>Benefits</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7000" w:type="dxa"/>
            <w:vAlign w:val="bottom"/>
          </w:tcPr>
          <w:p>
            <w:pPr>
              <w:spacing w:after="0"/>
              <w:rPr>
                <w:sz w:val="13"/>
                <w:szCs w:val="13"/>
                <w:color w:val="auto"/>
              </w:rPr>
            </w:pPr>
          </w:p>
        </w:tc>
        <w:tc>
          <w:tcPr>
            <w:tcW w:w="840" w:type="dxa"/>
            <w:vAlign w:val="bottom"/>
            <w:tcBorders>
              <w:bottom w:val="single" w:sz="8" w:color="auto"/>
            </w:tcBorders>
          </w:tcPr>
          <w:p>
            <w:pPr>
              <w:jc w:val="right"/>
              <w:ind w:right="198"/>
              <w:spacing w:after="0" w:line="151"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0"/>
              <w:spacing w:after="0" w:line="151"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840" w:type="dxa"/>
            <w:vAlign w:val="bottom"/>
            <w:tcBorders>
              <w:bottom w:val="single" w:sz="8" w:color="auto"/>
            </w:tcBorders>
          </w:tcPr>
          <w:p>
            <w:pPr>
              <w:jc w:val="right"/>
              <w:ind w:right="200"/>
              <w:spacing w:after="0" w:line="151"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0"/>
              <w:spacing w:after="0" w:line="151"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0"/>
        </w:trPr>
        <w:tc>
          <w:tcPr>
            <w:tcW w:w="7000" w:type="dxa"/>
            <w:vAlign w:val="bottom"/>
          </w:tcPr>
          <w:p>
            <w:pPr>
              <w:spacing w:after="0"/>
              <w:rPr>
                <w:sz w:val="20"/>
                <w:szCs w:val="20"/>
                <w:color w:val="auto"/>
              </w:rPr>
            </w:pPr>
            <w:r>
              <w:rPr>
                <w:rFonts w:ascii="Arial" w:cs="Arial" w:eastAsia="Arial" w:hAnsi="Arial"/>
                <w:sz w:val="20"/>
                <w:szCs w:val="20"/>
                <w:color w:val="auto"/>
              </w:rPr>
              <w:t>Discount rate</w:t>
            </w: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3.25%</w:t>
            </w:r>
          </w:p>
        </w:tc>
        <w:tc>
          <w:tcPr>
            <w:tcW w:w="1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20"/>
                <w:szCs w:val="20"/>
                <w:color w:val="auto"/>
              </w:rPr>
              <w:t>4.25%</w:t>
            </w: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3.25%</w:t>
            </w:r>
          </w:p>
        </w:tc>
        <w:tc>
          <w:tcPr>
            <w:tcW w:w="1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20"/>
                <w:szCs w:val="20"/>
                <w:color w:val="auto"/>
              </w:rPr>
              <w:t>4.25%</w:t>
            </w:r>
          </w:p>
        </w:tc>
        <w:tc>
          <w:tcPr>
            <w:tcW w:w="0" w:type="dxa"/>
            <w:vAlign w:val="bottom"/>
          </w:tcPr>
          <w:p>
            <w:pPr>
              <w:spacing w:after="0"/>
              <w:rPr>
                <w:sz w:val="1"/>
                <w:szCs w:val="1"/>
                <w:color w:val="auto"/>
              </w:rPr>
            </w:pPr>
          </w:p>
        </w:tc>
      </w:tr>
      <w:tr>
        <w:trPr>
          <w:trHeight w:val="250"/>
        </w:trPr>
        <w:tc>
          <w:tcPr>
            <w:tcW w:w="7000" w:type="dxa"/>
            <w:vAlign w:val="bottom"/>
            <w:shd w:val="clear" w:color="auto" w:fill="CFF0FC"/>
          </w:tcPr>
          <w:p>
            <w:pPr>
              <w:spacing w:after="0"/>
              <w:rPr>
                <w:sz w:val="20"/>
                <w:szCs w:val="20"/>
                <w:color w:val="auto"/>
              </w:rPr>
            </w:pPr>
            <w:r>
              <w:rPr>
                <w:rFonts w:ascii="Arial" w:cs="Arial" w:eastAsia="Arial" w:hAnsi="Arial"/>
                <w:sz w:val="20"/>
                <w:szCs w:val="20"/>
                <w:color w:val="auto"/>
              </w:rPr>
              <w:t>Rate of increase in future compensation levels</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4.29%</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4.31%</w:t>
            </w:r>
          </w:p>
        </w:tc>
        <w:tc>
          <w:tcPr>
            <w:tcW w:w="1320" w:type="dxa"/>
            <w:vAlign w:val="bottom"/>
            <w:gridSpan w:val="3"/>
            <w:shd w:val="clear" w:color="auto" w:fill="CFF0FC"/>
          </w:tcPr>
          <w:p>
            <w:pPr>
              <w:jc w:val="right"/>
              <w:ind w:right="480"/>
              <w:spacing w:after="0"/>
              <w:rPr>
                <w:sz w:val="20"/>
                <w:szCs w:val="20"/>
                <w:color w:val="auto"/>
              </w:rPr>
            </w:pPr>
            <w:r>
              <w:rPr>
                <w:rFonts w:ascii="Arial" w:cs="Arial" w:eastAsia="Arial" w:hAnsi="Arial"/>
                <w:sz w:val="20"/>
                <w:szCs w:val="20"/>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assumed weighted-average rates used to determine net benefit expense for the years ended December 31 were: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6"/>
              </w:rPr>
              <w:t>Pension Benefits</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tcBorders>
              <w:bottom w:val="single" w:sz="8" w:color="auto"/>
            </w:tcBorders>
            <w:gridSpan w:val="5"/>
          </w:tcPr>
          <w:p>
            <w:pPr>
              <w:jc w:val="center"/>
              <w:ind w:left="492"/>
              <w:spacing w:after="0"/>
              <w:rPr>
                <w:sz w:val="20"/>
                <w:szCs w:val="20"/>
                <w:color w:val="auto"/>
              </w:rPr>
            </w:pPr>
            <w:r>
              <w:rPr>
                <w:rFonts w:ascii="Arial" w:cs="Arial" w:eastAsia="Arial" w:hAnsi="Arial"/>
                <w:sz w:val="14"/>
                <w:szCs w:val="14"/>
                <w:b w:val="1"/>
                <w:bCs w:val="1"/>
                <w:color w:val="auto"/>
                <w:w w:val="89"/>
              </w:rPr>
              <w:t>Postretirement Benefits</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420" w:type="dxa"/>
            <w:vAlign w:val="bottom"/>
          </w:tcPr>
          <w:p>
            <w:pPr>
              <w:spacing w:after="0"/>
              <w:rPr>
                <w:sz w:val="13"/>
                <w:szCs w:val="13"/>
                <w:color w:val="auto"/>
              </w:rPr>
            </w:pPr>
          </w:p>
        </w:tc>
        <w:tc>
          <w:tcPr>
            <w:tcW w:w="700" w:type="dxa"/>
            <w:vAlign w:val="bottom"/>
            <w:tcBorders>
              <w:bottom w:val="single" w:sz="8" w:color="auto"/>
            </w:tcBorders>
          </w:tcPr>
          <w:p>
            <w:pPr>
              <w:jc w:val="right"/>
              <w:ind w:right="127"/>
              <w:spacing w:after="0" w:line="151"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bottom w:val="single" w:sz="8" w:color="auto"/>
            </w:tcBorders>
          </w:tcPr>
          <w:p>
            <w:pPr>
              <w:jc w:val="right"/>
              <w:ind w:right="150"/>
              <w:spacing w:after="0" w:line="151"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700" w:type="dxa"/>
            <w:vAlign w:val="bottom"/>
            <w:tcBorders>
              <w:bottom w:val="single" w:sz="8" w:color="auto"/>
            </w:tcBorders>
          </w:tcPr>
          <w:p>
            <w:pPr>
              <w:jc w:val="right"/>
              <w:ind w:right="127"/>
              <w:spacing w:after="0" w:line="151"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700" w:type="dxa"/>
            <w:vAlign w:val="bottom"/>
            <w:tcBorders>
              <w:bottom w:val="single" w:sz="8" w:color="auto"/>
            </w:tcBorders>
          </w:tcPr>
          <w:p>
            <w:pPr>
              <w:jc w:val="right"/>
              <w:ind w:right="132"/>
              <w:spacing w:after="0" w:line="151"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72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7"/>
              <w:spacing w:after="0" w:line="151"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0"/>
        </w:trPr>
        <w:tc>
          <w:tcPr>
            <w:tcW w:w="5420" w:type="dxa"/>
            <w:vAlign w:val="bottom"/>
          </w:tcPr>
          <w:p>
            <w:pPr>
              <w:spacing w:after="0"/>
              <w:rPr>
                <w:sz w:val="20"/>
                <w:szCs w:val="20"/>
                <w:color w:val="auto"/>
              </w:rPr>
            </w:pPr>
            <w:r>
              <w:rPr>
                <w:rFonts w:ascii="Arial" w:cs="Arial" w:eastAsia="Arial" w:hAnsi="Arial"/>
                <w:sz w:val="20"/>
                <w:szCs w:val="20"/>
                <w:color w:val="auto"/>
              </w:rPr>
              <w:t>Discount rate</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4.25%</w:t>
            </w:r>
          </w:p>
        </w:tc>
        <w:tc>
          <w:tcPr>
            <w:tcW w:w="1180" w:type="dxa"/>
            <w:vAlign w:val="bottom"/>
            <w:gridSpan w:val="3"/>
          </w:tcPr>
          <w:p>
            <w:pPr>
              <w:jc w:val="right"/>
              <w:ind w:right="160"/>
              <w:spacing w:after="0"/>
              <w:rPr>
                <w:sz w:val="20"/>
                <w:szCs w:val="20"/>
                <w:color w:val="auto"/>
              </w:rPr>
            </w:pPr>
            <w:r>
              <w:rPr>
                <w:rFonts w:ascii="Arial" w:cs="Arial" w:eastAsia="Arial" w:hAnsi="Arial"/>
                <w:sz w:val="20"/>
                <w:szCs w:val="20"/>
                <w:color w:val="auto"/>
              </w:rPr>
              <w:t>3.50%</w:t>
            </w:r>
          </w:p>
        </w:tc>
        <w:tc>
          <w:tcPr>
            <w:tcW w:w="1020" w:type="dxa"/>
            <w:vAlign w:val="bottom"/>
            <w:gridSpan w:val="2"/>
          </w:tcPr>
          <w:p>
            <w:pPr>
              <w:jc w:val="right"/>
              <w:ind w:right="140"/>
              <w:spacing w:after="0"/>
              <w:rPr>
                <w:sz w:val="20"/>
                <w:szCs w:val="20"/>
                <w:color w:val="auto"/>
              </w:rPr>
            </w:pPr>
            <w:r>
              <w:rPr>
                <w:rFonts w:ascii="Arial" w:cs="Arial" w:eastAsia="Arial" w:hAnsi="Arial"/>
                <w:sz w:val="20"/>
                <w:szCs w:val="20"/>
                <w:color w:val="auto"/>
              </w:rPr>
              <w:t>4.00%</w:t>
            </w:r>
          </w:p>
        </w:tc>
        <w:tc>
          <w:tcPr>
            <w:tcW w:w="1020" w:type="dxa"/>
            <w:vAlign w:val="bottom"/>
            <w:gridSpan w:val="2"/>
          </w:tcPr>
          <w:p>
            <w:pPr>
              <w:jc w:val="right"/>
              <w:ind w:right="140"/>
              <w:spacing w:after="0"/>
              <w:rPr>
                <w:sz w:val="20"/>
                <w:szCs w:val="20"/>
                <w:color w:val="auto"/>
              </w:rPr>
            </w:pPr>
            <w:r>
              <w:rPr>
                <w:rFonts w:ascii="Arial" w:cs="Arial" w:eastAsia="Arial" w:hAnsi="Arial"/>
                <w:sz w:val="20"/>
                <w:szCs w:val="20"/>
                <w:color w:val="auto"/>
              </w:rPr>
              <w:t>4.25%</w:t>
            </w:r>
          </w:p>
        </w:tc>
        <w:tc>
          <w:tcPr>
            <w:tcW w:w="1020" w:type="dxa"/>
            <w:vAlign w:val="bottom"/>
            <w:gridSpan w:val="2"/>
          </w:tcPr>
          <w:p>
            <w:pPr>
              <w:jc w:val="right"/>
              <w:ind w:right="140"/>
              <w:spacing w:after="0"/>
              <w:rPr>
                <w:sz w:val="20"/>
                <w:szCs w:val="20"/>
                <w:color w:val="auto"/>
              </w:rPr>
            </w:pPr>
            <w:r>
              <w:rPr>
                <w:rFonts w:ascii="Arial" w:cs="Arial" w:eastAsia="Arial" w:hAnsi="Arial"/>
                <w:sz w:val="20"/>
                <w:szCs w:val="20"/>
                <w:color w:val="auto"/>
              </w:rPr>
              <w:t>3.50%</w:t>
            </w:r>
          </w:p>
        </w:tc>
        <w:tc>
          <w:tcPr>
            <w:tcW w:w="12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20"/>
                <w:szCs w:val="20"/>
                <w:color w:val="auto"/>
              </w:rPr>
              <w:t>4.00%</w:t>
            </w:r>
          </w:p>
        </w:tc>
        <w:tc>
          <w:tcPr>
            <w:tcW w:w="0" w:type="dxa"/>
            <w:vAlign w:val="bottom"/>
          </w:tcPr>
          <w:p>
            <w:pPr>
              <w:spacing w:after="0"/>
              <w:rPr>
                <w:sz w:val="1"/>
                <w:szCs w:val="1"/>
                <w:color w:val="auto"/>
              </w:rPr>
            </w:pPr>
          </w:p>
        </w:tc>
      </w:tr>
      <w:tr>
        <w:trPr>
          <w:trHeight w:val="250"/>
        </w:trPr>
        <w:tc>
          <w:tcPr>
            <w:tcW w:w="5420" w:type="dxa"/>
            <w:vAlign w:val="bottom"/>
            <w:shd w:val="clear" w:color="auto" w:fill="CFF0FC"/>
          </w:tcPr>
          <w:p>
            <w:pPr>
              <w:spacing w:after="0"/>
              <w:rPr>
                <w:sz w:val="20"/>
                <w:szCs w:val="20"/>
                <w:color w:val="auto"/>
              </w:rPr>
            </w:pPr>
            <w:r>
              <w:rPr>
                <w:rFonts w:ascii="Arial" w:cs="Arial" w:eastAsia="Arial" w:hAnsi="Arial"/>
                <w:sz w:val="20"/>
                <w:szCs w:val="20"/>
                <w:color w:val="auto"/>
              </w:rPr>
              <w:t>Long-term rate of return on plan assets</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6.50%</w:t>
            </w:r>
          </w:p>
        </w:tc>
        <w:tc>
          <w:tcPr>
            <w:tcW w:w="1180" w:type="dxa"/>
            <w:vAlign w:val="bottom"/>
            <w:gridSpan w:val="3"/>
            <w:shd w:val="clear" w:color="auto" w:fill="CFF0FC"/>
          </w:tcPr>
          <w:p>
            <w:pPr>
              <w:jc w:val="right"/>
              <w:ind w:right="160"/>
              <w:spacing w:after="0"/>
              <w:rPr>
                <w:sz w:val="20"/>
                <w:szCs w:val="20"/>
                <w:color w:val="auto"/>
              </w:rPr>
            </w:pPr>
            <w:r>
              <w:rPr>
                <w:rFonts w:ascii="Arial" w:cs="Arial" w:eastAsia="Arial" w:hAnsi="Arial"/>
                <w:sz w:val="20"/>
                <w:szCs w:val="20"/>
                <w:color w:val="auto"/>
              </w:rPr>
              <w:t>6.50%</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6.50%</w:t>
            </w: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20"/>
                <w:szCs w:val="20"/>
                <w:color w:val="auto"/>
              </w:rPr>
              <w:t>—</w:t>
            </w:r>
          </w:p>
        </w:tc>
        <w:tc>
          <w:tcPr>
            <w:tcW w:w="1140" w:type="dxa"/>
            <w:vAlign w:val="bottom"/>
            <w:gridSpan w:val="3"/>
            <w:shd w:val="clear" w:color="auto" w:fill="CFF0FC"/>
          </w:tcPr>
          <w:p>
            <w:pPr>
              <w:jc w:val="right"/>
              <w:ind w:right="440"/>
              <w:spacing w:after="0"/>
              <w:rPr>
                <w:sz w:val="20"/>
                <w:szCs w:val="20"/>
                <w:color w:val="auto"/>
              </w:rPr>
            </w:pPr>
            <w:r>
              <w:rPr>
                <w:rFonts w:ascii="Arial" w:cs="Arial" w:eastAsia="Arial" w:hAnsi="Arial"/>
                <w:sz w:val="20"/>
                <w:szCs w:val="20"/>
                <w:color w:val="auto"/>
              </w:rPr>
              <w:t>—</w:t>
            </w: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6"/>
        </w:trPr>
        <w:tc>
          <w:tcPr>
            <w:tcW w:w="5420" w:type="dxa"/>
            <w:vAlign w:val="bottom"/>
          </w:tcPr>
          <w:p>
            <w:pPr>
              <w:spacing w:after="0"/>
              <w:rPr>
                <w:sz w:val="20"/>
                <w:szCs w:val="20"/>
                <w:color w:val="auto"/>
              </w:rPr>
            </w:pPr>
            <w:r>
              <w:rPr>
                <w:rFonts w:ascii="Arial" w:cs="Arial" w:eastAsia="Arial" w:hAnsi="Arial"/>
                <w:sz w:val="20"/>
                <w:szCs w:val="20"/>
                <w:color w:val="auto"/>
              </w:rPr>
              <w:t>Rate of increase in future compensation</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420" w:type="dxa"/>
            <w:vAlign w:val="bottom"/>
          </w:tcPr>
          <w:p>
            <w:pPr>
              <w:ind w:left="160"/>
              <w:spacing w:after="0"/>
              <w:rPr>
                <w:sz w:val="20"/>
                <w:szCs w:val="20"/>
                <w:color w:val="auto"/>
              </w:rPr>
            </w:pPr>
            <w:r>
              <w:rPr>
                <w:rFonts w:ascii="Arial" w:cs="Arial" w:eastAsia="Arial" w:hAnsi="Arial"/>
                <w:sz w:val="20"/>
                <w:szCs w:val="20"/>
                <w:color w:val="auto"/>
              </w:rPr>
              <w:t>levels</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4.31%</w:t>
            </w:r>
          </w:p>
        </w:tc>
        <w:tc>
          <w:tcPr>
            <w:tcW w:w="1180" w:type="dxa"/>
            <w:vAlign w:val="bottom"/>
            <w:gridSpan w:val="3"/>
          </w:tcPr>
          <w:p>
            <w:pPr>
              <w:jc w:val="right"/>
              <w:ind w:right="160"/>
              <w:spacing w:after="0"/>
              <w:rPr>
                <w:sz w:val="20"/>
                <w:szCs w:val="20"/>
                <w:color w:val="auto"/>
              </w:rPr>
            </w:pPr>
            <w:r>
              <w:rPr>
                <w:rFonts w:ascii="Arial" w:cs="Arial" w:eastAsia="Arial" w:hAnsi="Arial"/>
                <w:sz w:val="20"/>
                <w:szCs w:val="20"/>
                <w:color w:val="auto"/>
              </w:rPr>
              <w:t>4.33%</w:t>
            </w:r>
          </w:p>
        </w:tc>
        <w:tc>
          <w:tcPr>
            <w:tcW w:w="1020" w:type="dxa"/>
            <w:vAlign w:val="bottom"/>
            <w:gridSpan w:val="2"/>
          </w:tcPr>
          <w:p>
            <w:pPr>
              <w:jc w:val="right"/>
              <w:ind w:right="140"/>
              <w:spacing w:after="0"/>
              <w:rPr>
                <w:sz w:val="20"/>
                <w:szCs w:val="20"/>
                <w:color w:val="auto"/>
              </w:rPr>
            </w:pPr>
            <w:r>
              <w:rPr>
                <w:rFonts w:ascii="Arial" w:cs="Arial" w:eastAsia="Arial" w:hAnsi="Arial"/>
                <w:sz w:val="20"/>
                <w:szCs w:val="20"/>
                <w:color w:val="auto"/>
              </w:rPr>
              <w:t>4.39%</w:t>
            </w:r>
          </w:p>
        </w:tc>
        <w:tc>
          <w:tcPr>
            <w:tcW w:w="102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140" w:type="dxa"/>
            <w:vAlign w:val="bottom"/>
            <w:gridSpan w:val="3"/>
          </w:tcPr>
          <w:p>
            <w:pPr>
              <w:jc w:val="right"/>
              <w:ind w:right="440"/>
              <w:spacing w:after="0"/>
              <w:rPr>
                <w:sz w:val="20"/>
                <w:szCs w:val="20"/>
                <w:color w:val="auto"/>
              </w:rPr>
            </w:pPr>
            <w:r>
              <w:rPr>
                <w:rFonts w:ascii="Arial" w:cs="Arial" w:eastAsia="Arial" w:hAnsi="Arial"/>
                <w:sz w:val="20"/>
                <w:szCs w:val="20"/>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60" w:firstLine="598"/>
        <w:spacing w:after="0" w:line="260" w:lineRule="auto"/>
        <w:rPr>
          <w:sz w:val="20"/>
          <w:szCs w:val="20"/>
          <w:color w:val="auto"/>
        </w:rPr>
      </w:pPr>
      <w:r>
        <w:rPr>
          <w:rFonts w:ascii="Arial" w:cs="Arial" w:eastAsia="Arial" w:hAnsi="Arial"/>
          <w:sz w:val="20"/>
          <w:szCs w:val="20"/>
          <w:color w:val="auto"/>
        </w:rPr>
        <w:t>The discount rate used by the Company to determine the present value of the Company’s future benefit obligations reflects specific market yields for a hypothetical portfolio of highly rated corporate bonds that would produce cash flows similar to the Company’s benefit plan obligations and the level of market interest rates in general as of the year-end.</w:t>
      </w:r>
    </w:p>
    <w:p>
      <w:pPr>
        <w:spacing w:after="0" w:line="1" w:lineRule="exact"/>
        <w:rPr>
          <w:sz w:val="20"/>
          <w:szCs w:val="20"/>
          <w:color w:val="auto"/>
        </w:rPr>
      </w:pPr>
    </w:p>
    <w:p>
      <w:pPr>
        <w:ind w:firstLine="598"/>
        <w:spacing w:after="0" w:line="256" w:lineRule="auto"/>
        <w:rPr>
          <w:sz w:val="20"/>
          <w:szCs w:val="20"/>
          <w:color w:val="auto"/>
        </w:rPr>
      </w:pPr>
      <w:r>
        <w:rPr>
          <w:rFonts w:ascii="Arial" w:cs="Arial" w:eastAsia="Arial" w:hAnsi="Arial"/>
          <w:sz w:val="20"/>
          <w:szCs w:val="20"/>
          <w:color w:val="auto"/>
        </w:rPr>
        <w:t>The expected long-term rate of return assumption as of each measurement date was developed through analysis of historical market returns, current market conditions, anticipated future asset allocations, the funds’ past experience, and expectations on potential future market returns. The expected rate of return assumption represents a long-term average view of the performance of the plan assets, a return that may or may not be achieved during any one calendar year.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55" w:name="page156"/>
    <w:bookmarkEnd w:id="155"/>
    <w:p>
      <w:pPr>
        <w:ind w:right="400" w:firstLine="598"/>
        <w:spacing w:after="0" w:line="277" w:lineRule="auto"/>
        <w:rPr>
          <w:sz w:val="20"/>
          <w:szCs w:val="20"/>
          <w:color w:val="auto"/>
        </w:rPr>
      </w:pPr>
      <w:r>
        <w:rPr>
          <w:rFonts w:ascii="Arial" w:cs="Arial" w:eastAsia="Arial" w:hAnsi="Arial"/>
          <w:sz w:val="18"/>
          <w:szCs w:val="18"/>
          <w:color w:val="auto"/>
        </w:rPr>
        <w:t>The Company’s defined benefit pension plan is sensitive to the long-term rate of return on plan assets and the discount rate. To demonstrate the sensitivity of pension expense to changes in these assumptions, with all other assumptions held constant, 25 basis point increases in: the rate of return on plan assets would have resulted in a decrease in pension expense of approximately $5 million; and the discount rate would have resulted in a decrease in pension expense of approximately $8 million. Decreases of 25 basis points in those assumptions would have resulted in similar changes in amount, but in the opposite direction from the changes presented in the preceding sentence. Additionally, an increase of 25 basis points in the discount rate would have decreased the benefit obligation by</w:t>
      </w:r>
    </w:p>
    <w:p>
      <w:pPr>
        <w:spacing w:after="0" w:line="4"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$75 million and a decrease of 25 basis points in the discount rate would have increased the benefit obligation by $79 million at December 31, 2019.</w:t>
      </w:r>
    </w:p>
    <w:p>
      <w:pPr>
        <w:spacing w:after="0" w:line="2" w:lineRule="exact"/>
        <w:rPr>
          <w:sz w:val="20"/>
          <w:szCs w:val="20"/>
          <w:color w:val="auto"/>
        </w:rPr>
      </w:pPr>
    </w:p>
    <w:p>
      <w:pPr>
        <w:ind w:right="480" w:firstLine="598"/>
        <w:spacing w:after="0" w:line="251" w:lineRule="auto"/>
        <w:rPr>
          <w:sz w:val="20"/>
          <w:szCs w:val="20"/>
          <w:color w:val="auto"/>
        </w:rPr>
      </w:pPr>
      <w:r>
        <w:rPr>
          <w:rFonts w:ascii="Arial" w:cs="Arial" w:eastAsia="Arial" w:hAnsi="Arial"/>
          <w:sz w:val="20"/>
          <w:szCs w:val="20"/>
          <w:color w:val="auto"/>
        </w:rPr>
        <w:t>For measurement of other postretirement benefits, a 6.25% annual rate of increase in the per capita cost of covered health care benefits was assumed for 2020. The rate was assumed to decrease to 5.00% over nine years. A one-percentage point change in assumed health care cost trend rates would have had the following effects: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+1%</w:t>
            </w: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4"/>
                <w:szCs w:val="14"/>
                <w:color w:val="auto"/>
              </w:rPr>
            </w:pPr>
          </w:p>
        </w:tc>
      </w:tr>
      <w:tr>
        <w:trPr>
          <w:trHeight w:val="151"/>
        </w:trPr>
        <w:tc>
          <w:tcPr>
            <w:tcW w:w="65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0"/>
        </w:trPr>
        <w:tc>
          <w:tcPr>
            <w:tcW w:w="6520" w:type="dxa"/>
            <w:vAlign w:val="bottom"/>
            <w:shd w:val="clear" w:color="auto" w:fill="CFF0FC"/>
          </w:tcPr>
          <w:p>
            <w:pPr>
              <w:spacing w:after="0"/>
              <w:rPr>
                <w:sz w:val="20"/>
                <w:szCs w:val="20"/>
                <w:color w:val="auto"/>
              </w:rPr>
            </w:pPr>
            <w:r>
              <w:rPr>
                <w:rFonts w:ascii="Arial" w:cs="Arial" w:eastAsia="Arial" w:hAnsi="Arial"/>
                <w:sz w:val="20"/>
                <w:szCs w:val="20"/>
                <w:color w:val="auto"/>
              </w:rPr>
              <w:t>Increase (decrease) in:</w:t>
            </w:r>
          </w:p>
        </w:tc>
        <w:tc>
          <w:tcPr>
            <w:tcW w:w="2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6520" w:type="dxa"/>
            <w:vAlign w:val="bottom"/>
          </w:tcPr>
          <w:p>
            <w:pPr>
              <w:spacing w:after="0"/>
              <w:rPr>
                <w:sz w:val="20"/>
                <w:szCs w:val="20"/>
                <w:color w:val="auto"/>
              </w:rPr>
            </w:pPr>
            <w:r>
              <w:rPr>
                <w:rFonts w:ascii="Arial" w:cs="Arial" w:eastAsia="Arial" w:hAnsi="Arial"/>
                <w:sz w:val="20"/>
                <w:szCs w:val="20"/>
                <w:color w:val="auto"/>
              </w:rPr>
              <w:t>Service and interest cost</w:t>
            </w:r>
          </w:p>
        </w:tc>
        <w:tc>
          <w:tcPr>
            <w:tcW w:w="29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55"/>
              <w:spacing w:after="0"/>
              <w:rPr>
                <w:sz w:val="20"/>
                <w:szCs w:val="20"/>
                <w:color w:val="auto"/>
              </w:rPr>
            </w:pPr>
            <w:r>
              <w:rPr>
                <w:rFonts w:ascii="Arial" w:cs="Arial" w:eastAsia="Arial" w:hAnsi="Arial"/>
                <w:sz w:val="20"/>
                <w:szCs w:val="20"/>
                <w:color w:val="auto"/>
              </w:rPr>
              <w:t>49</w:t>
            </w:r>
          </w:p>
        </w:tc>
        <w:tc>
          <w:tcPr>
            <w:tcW w:w="480" w:type="dxa"/>
            <w:vAlign w:val="bottom"/>
          </w:tcPr>
          <w:p>
            <w:pPr>
              <w:jc w:val="right"/>
              <w:ind w:right="119"/>
              <w:spacing w:after="0"/>
              <w:rPr>
                <w:sz w:val="20"/>
                <w:szCs w:val="20"/>
                <w:color w:val="auto"/>
              </w:rPr>
            </w:pPr>
            <w:r>
              <w:rPr>
                <w:rFonts w:ascii="Arial" w:cs="Arial" w:eastAsia="Arial" w:hAnsi="Arial"/>
                <w:sz w:val="20"/>
                <w:szCs w:val="20"/>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20"/>
                <w:szCs w:val="20"/>
                <w:color w:val="auto"/>
              </w:rPr>
              <w:t>(45)</w:t>
            </w:r>
          </w:p>
        </w:tc>
      </w:tr>
      <w:tr>
        <w:trPr>
          <w:trHeight w:val="250"/>
        </w:trPr>
        <w:tc>
          <w:tcPr>
            <w:tcW w:w="6520" w:type="dxa"/>
            <w:vAlign w:val="bottom"/>
            <w:shd w:val="clear" w:color="auto" w:fill="CFF0FC"/>
          </w:tcPr>
          <w:p>
            <w:pPr>
              <w:spacing w:after="0"/>
              <w:rPr>
                <w:sz w:val="20"/>
                <w:szCs w:val="20"/>
                <w:color w:val="auto"/>
              </w:rPr>
            </w:pPr>
            <w:r>
              <w:rPr>
                <w:rFonts w:ascii="Arial" w:cs="Arial" w:eastAsia="Arial" w:hAnsi="Arial"/>
                <w:sz w:val="20"/>
                <w:szCs w:val="20"/>
                <w:color w:val="auto"/>
              </w:rPr>
              <w:t>Accumulated postretirement benefit obligation</w:t>
            </w:r>
          </w:p>
        </w:tc>
        <w:tc>
          <w:tcPr>
            <w:tcW w:w="2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55"/>
              <w:spacing w:after="0"/>
              <w:rPr>
                <w:sz w:val="20"/>
                <w:szCs w:val="20"/>
                <w:color w:val="auto"/>
              </w:rPr>
            </w:pPr>
            <w:r>
              <w:rPr>
                <w:rFonts w:ascii="Arial" w:cs="Arial" w:eastAsia="Arial" w:hAnsi="Arial"/>
                <w:sz w:val="20"/>
                <w:szCs w:val="20"/>
                <w:color w:val="auto"/>
              </w:rPr>
              <w:t>834</w:t>
            </w:r>
          </w:p>
        </w:tc>
        <w:tc>
          <w:tcPr>
            <w:tcW w:w="48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(747)</w:t>
            </w:r>
          </w:p>
        </w:tc>
      </w:tr>
    </w:tbl>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Plan assets</w:t>
      </w:r>
    </w:p>
    <w:p>
      <w:pPr>
        <w:spacing w:after="0" w:line="112"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The Company’s policy is to invest the pension plan assets in a prudent manner for the purpose of providing benefit payments to participants and mitigating reasonable expenses of administration. The Company’s investment strategy is designed to provide a total return that, over the long-term, places an emphasis on the preservation of capital. The strategy attempts to maximize investment returns on assets at a level of risk deemed appropriate by the Company while complying with applicable regulations and laws. The investment strategy utilizes asset diversification as a principal determinant for establishing an appropriate risk profile while emphasizing total return realized from capital appreciation, dividends and interest income. The target allocations for plan assets are generally 25 to 60 percent equity securities, 10 to 65 percent debt securities, and 5 to 60 percent money-market investments/cash equivalents and other investments, although holdings could be more or less than these general guidelines based on market conditions at the time and actions taken or recommended by the investment managers providing advice to the Company. Assets are managed by a combination of internal and external investment managers. Equity securities may include investments in domestic and international equities, through individual securities, mutual funds and exchange-traded funds. Debt securities may include investments in corporate bonds of companies from diversified industries, mortgage-backed securities guaranteed by government agencies and U.S. Treasury securities, through individual securities and mutual funds. Additionally, the Company’s defined benefit pension plan held $439 million (22% of total assets) of real estate funds, private investments, hedge funds and other investments at December 31, 2019. Returns on invested assets are periodically compared with target market indices for each asset type to aid management in evaluating such returns. Furthermore, management regularly reviews the investment policy and may, if deemed appropriate, make changes to the target allocations noted above.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56" w:name="page157"/>
    <w:bookmarkEnd w:id="156"/>
    <w:p>
      <w:pPr>
        <w:ind w:left="600"/>
        <w:spacing w:after="0"/>
        <w:rPr>
          <w:sz w:val="20"/>
          <w:szCs w:val="20"/>
          <w:color w:val="auto"/>
        </w:rPr>
      </w:pPr>
      <w:r>
        <w:rPr>
          <w:rFonts w:ascii="Arial" w:cs="Arial" w:eastAsia="Arial" w:hAnsi="Arial"/>
          <w:sz w:val="19"/>
          <w:szCs w:val="19"/>
          <w:color w:val="auto"/>
        </w:rPr>
        <w:t>The fair values of the Company’s pension plan assets at December 31, 2019 and 2018, by asset category, were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40" w:type="dxa"/>
            <w:vAlign w:val="bottom"/>
            <w:tcBorders>
              <w:bottom w:val="single" w:sz="8" w:color="auto"/>
            </w:tcBorders>
            <w:gridSpan w:val="10"/>
          </w:tcPr>
          <w:p>
            <w:pPr>
              <w:jc w:val="right"/>
              <w:ind w:right="825"/>
              <w:spacing w:after="0"/>
              <w:rPr>
                <w:sz w:val="20"/>
                <w:szCs w:val="20"/>
                <w:color w:val="auto"/>
              </w:rPr>
            </w:pPr>
            <w:r>
              <w:rPr>
                <w:rFonts w:ascii="Arial" w:cs="Arial" w:eastAsia="Arial" w:hAnsi="Arial"/>
                <w:sz w:val="14"/>
                <w:szCs w:val="14"/>
                <w:b w:val="1"/>
                <w:bCs w:val="1"/>
                <w:color w:val="auto"/>
              </w:rPr>
              <w:t>Fair Value Measurement of Plan Assets At December 31, 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9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jc w:val="center"/>
              <w:ind w:right="107"/>
              <w:spacing w:after="0" w:line="129" w:lineRule="exact"/>
              <w:rPr>
                <w:sz w:val="20"/>
                <w:szCs w:val="20"/>
                <w:color w:val="auto"/>
              </w:rPr>
            </w:pPr>
            <w:r>
              <w:rPr>
                <w:rFonts w:ascii="Arial" w:cs="Arial" w:eastAsia="Arial" w:hAnsi="Arial"/>
                <w:sz w:val="14"/>
                <w:szCs w:val="14"/>
                <w:b w:val="1"/>
                <w:bCs w:val="1"/>
                <w:color w:val="auto"/>
                <w:w w:val="88"/>
              </w:rPr>
              <w:t>Quoted Prices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5"/>
        </w:trPr>
        <w:tc>
          <w:tcPr>
            <w:tcW w:w="39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107"/>
              <w:spacing w:after="0" w:line="145" w:lineRule="exact"/>
              <w:rPr>
                <w:sz w:val="20"/>
                <w:szCs w:val="20"/>
                <w:color w:val="auto"/>
              </w:rPr>
            </w:pPr>
            <w:r>
              <w:rPr>
                <w:rFonts w:ascii="Arial" w:cs="Arial" w:eastAsia="Arial" w:hAnsi="Arial"/>
                <w:sz w:val="14"/>
                <w:szCs w:val="14"/>
                <w:b w:val="1"/>
                <w:bCs w:val="1"/>
                <w:color w:val="auto"/>
                <w:w w:val="89"/>
              </w:rPr>
              <w:t>in Active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87"/>
              <w:spacing w:after="0" w:line="145" w:lineRule="exact"/>
              <w:rPr>
                <w:sz w:val="20"/>
                <w:szCs w:val="20"/>
                <w:color w:val="auto"/>
              </w:rPr>
            </w:pPr>
            <w:r>
              <w:rPr>
                <w:rFonts w:ascii="Arial" w:cs="Arial" w:eastAsia="Arial" w:hAnsi="Arial"/>
                <w:sz w:val="14"/>
                <w:szCs w:val="14"/>
                <w:b w:val="1"/>
                <w:bCs w:val="1"/>
                <w:color w:val="auto"/>
                <w:w w:val="94"/>
              </w:rPr>
              <w:t>Markets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1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45"/>
        </w:trPr>
        <w:tc>
          <w:tcPr>
            <w:tcW w:w="39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440" w:type="dxa"/>
            <w:vAlign w:val="bottom"/>
          </w:tcPr>
          <w:p>
            <w:pPr>
              <w:jc w:val="center"/>
              <w:ind w:right="87"/>
              <w:spacing w:after="0" w:line="145" w:lineRule="exact"/>
              <w:rPr>
                <w:sz w:val="20"/>
                <w:szCs w:val="20"/>
                <w:color w:val="auto"/>
              </w:rPr>
            </w:pPr>
            <w:r>
              <w:rPr>
                <w:rFonts w:ascii="Arial" w:cs="Arial" w:eastAsia="Arial" w:hAnsi="Arial"/>
                <w:sz w:val="14"/>
                <w:szCs w:val="14"/>
                <w:b w:val="1"/>
                <w:bCs w:val="1"/>
                <w:color w:val="auto"/>
                <w:w w:val="88"/>
              </w:rPr>
              <w:t>for Identical Assets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1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7"/>
        </w:trPr>
        <w:tc>
          <w:tcPr>
            <w:tcW w:w="39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ind w:right="107"/>
              <w:spacing w:after="0"/>
              <w:rPr>
                <w:sz w:val="20"/>
                <w:szCs w:val="20"/>
                <w:color w:val="auto"/>
              </w:rPr>
            </w:pPr>
            <w:r>
              <w:rPr>
                <w:rFonts w:ascii="Arial" w:cs="Arial" w:eastAsia="Arial" w:hAnsi="Arial"/>
                <w:sz w:val="14"/>
                <w:szCs w:val="14"/>
                <w:b w:val="1"/>
                <w:bCs w:val="1"/>
                <w:color w:val="auto"/>
                <w:w w:val="91"/>
              </w:rPr>
              <w:t>(Level 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51"/>
        </w:trPr>
        <w:tc>
          <w:tcPr>
            <w:tcW w:w="39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jc w:val="right"/>
              <w:spacing w:after="0" w:line="151" w:lineRule="exact"/>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spacing w:after="0"/>
              <w:rPr>
                <w:sz w:val="20"/>
                <w:szCs w:val="20"/>
                <w:color w:val="auto"/>
              </w:rPr>
            </w:pPr>
            <w:r>
              <w:rPr>
                <w:rFonts w:ascii="Arial" w:cs="Arial" w:eastAsia="Arial" w:hAnsi="Arial"/>
                <w:sz w:val="20"/>
                <w:szCs w:val="20"/>
                <w:color w:val="auto"/>
              </w:rPr>
              <w:t>Asset category:</w:t>
            </w:r>
          </w:p>
        </w:tc>
        <w:tc>
          <w:tcPr>
            <w:tcW w:w="1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0"/>
                <w:szCs w:val="20"/>
                <w:color w:val="auto"/>
              </w:rPr>
            </w:pPr>
            <w:r>
              <w:rPr>
                <w:rFonts w:ascii="Arial" w:cs="Arial" w:eastAsia="Arial" w:hAnsi="Arial"/>
                <w:sz w:val="20"/>
                <w:szCs w:val="20"/>
                <w:color w:val="auto"/>
              </w:rPr>
              <w:t>Money-market investments</w:t>
            </w:r>
          </w:p>
        </w:tc>
        <w:tc>
          <w:tcPr>
            <w:tcW w:w="2220" w:type="dxa"/>
            <w:vAlign w:val="bottom"/>
            <w:gridSpan w:val="2"/>
          </w:tcPr>
          <w:p>
            <w:pPr>
              <w:jc w:val="right"/>
              <w:ind w:right="79"/>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38,461</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33,870</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4,591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spacing w:after="0"/>
              <w:rPr>
                <w:sz w:val="20"/>
                <w:szCs w:val="20"/>
                <w:color w:val="auto"/>
              </w:rPr>
            </w:pPr>
            <w:r>
              <w:rPr>
                <w:rFonts w:ascii="Arial" w:cs="Arial" w:eastAsia="Arial" w:hAnsi="Arial"/>
                <w:sz w:val="20"/>
                <w:szCs w:val="20"/>
                <w:color w:val="auto"/>
              </w:rPr>
              <w:t>Equity securities:</w:t>
            </w:r>
          </w:p>
        </w:tc>
        <w:tc>
          <w:tcPr>
            <w:tcW w:w="1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40"/>
              <w:spacing w:after="0"/>
              <w:rPr>
                <w:sz w:val="20"/>
                <w:szCs w:val="20"/>
                <w:color w:val="auto"/>
              </w:rPr>
            </w:pPr>
            <w:r>
              <w:rPr>
                <w:rFonts w:ascii="Arial" w:cs="Arial" w:eastAsia="Arial" w:hAnsi="Arial"/>
                <w:sz w:val="20"/>
                <w:szCs w:val="20"/>
                <w:color w:val="auto"/>
              </w:rPr>
              <w:t>M&amp;T</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148,603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148,603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Domestic(a)</w:t>
            </w:r>
          </w:p>
        </w:tc>
        <w:tc>
          <w:tcPr>
            <w:tcW w:w="1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219,663</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219,663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3900" w:type="dxa"/>
            <w:vAlign w:val="bottom"/>
          </w:tcPr>
          <w:p>
            <w:pPr>
              <w:ind w:left="240"/>
              <w:spacing w:after="0"/>
              <w:rPr>
                <w:sz w:val="20"/>
                <w:szCs w:val="20"/>
                <w:color w:val="auto"/>
              </w:rPr>
            </w:pPr>
            <w:r>
              <w:rPr>
                <w:rFonts w:ascii="Arial" w:cs="Arial" w:eastAsia="Arial" w:hAnsi="Arial"/>
                <w:sz w:val="20"/>
                <w:szCs w:val="20"/>
                <w:color w:val="auto"/>
              </w:rPr>
              <w:t>International(b)</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10,476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10,476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Mutual funds:</w:t>
            </w:r>
          </w:p>
        </w:tc>
        <w:tc>
          <w:tcPr>
            <w:tcW w:w="1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480"/>
              <w:spacing w:after="0"/>
              <w:rPr>
                <w:sz w:val="20"/>
                <w:szCs w:val="20"/>
                <w:color w:val="auto"/>
              </w:rPr>
            </w:pPr>
            <w:r>
              <w:rPr>
                <w:rFonts w:ascii="Arial" w:cs="Arial" w:eastAsia="Arial" w:hAnsi="Arial"/>
                <w:sz w:val="20"/>
                <w:szCs w:val="20"/>
                <w:color w:val="auto"/>
              </w:rPr>
              <w:t>Domestic(a)</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238,872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238,872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International(b)</w:t>
            </w:r>
          </w:p>
        </w:tc>
        <w:tc>
          <w:tcPr>
            <w:tcW w:w="1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381,433</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381,433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3900" w:type="dxa"/>
            <w:vAlign w:val="bottom"/>
            <w:tcBorders>
              <w:bottom w:val="single" w:sz="8" w:color="CFF0FC"/>
            </w:tcBorders>
          </w:tcPr>
          <w:p>
            <w:pPr>
              <w:spacing w:after="0"/>
              <w:rPr>
                <w:sz w:val="21"/>
                <w:szCs w:val="21"/>
                <w:color w:val="auto"/>
              </w:rPr>
            </w:pPr>
          </w:p>
        </w:tc>
        <w:tc>
          <w:tcPr>
            <w:tcW w:w="19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999,047</w:t>
            </w:r>
          </w:p>
        </w:tc>
        <w:tc>
          <w:tcPr>
            <w:tcW w:w="14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999,047</w:t>
            </w:r>
          </w:p>
        </w:tc>
        <w:tc>
          <w:tcPr>
            <w:tcW w:w="1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FF0FC"/>
          </w:tcPr>
          <w:p>
            <w:pPr>
              <w:spacing w:after="0"/>
              <w:rPr>
                <w:sz w:val="20"/>
                <w:szCs w:val="20"/>
                <w:color w:val="auto"/>
              </w:rPr>
            </w:pPr>
            <w:r>
              <w:rPr>
                <w:rFonts w:ascii="Arial" w:cs="Arial" w:eastAsia="Arial" w:hAnsi="Arial"/>
                <w:sz w:val="20"/>
                <w:szCs w:val="20"/>
                <w:color w:val="auto"/>
              </w:rPr>
              <w:t>Debt securities:</w:t>
            </w:r>
          </w:p>
        </w:tc>
        <w:tc>
          <w:tcPr>
            <w:tcW w:w="1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40"/>
              <w:spacing w:after="0"/>
              <w:rPr>
                <w:sz w:val="20"/>
                <w:szCs w:val="20"/>
                <w:color w:val="auto"/>
              </w:rPr>
            </w:pPr>
            <w:r>
              <w:rPr>
                <w:rFonts w:ascii="Arial" w:cs="Arial" w:eastAsia="Arial" w:hAnsi="Arial"/>
                <w:sz w:val="20"/>
                <w:szCs w:val="20"/>
                <w:color w:val="auto"/>
              </w:rPr>
              <w:t>Corporate(c)</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112,783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112,783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Government</w:t>
            </w:r>
          </w:p>
        </w:tc>
        <w:tc>
          <w:tcPr>
            <w:tcW w:w="1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190,679</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190,679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3900" w:type="dxa"/>
            <w:vAlign w:val="bottom"/>
          </w:tcPr>
          <w:p>
            <w:pPr>
              <w:ind w:left="240"/>
              <w:spacing w:after="0"/>
              <w:rPr>
                <w:sz w:val="20"/>
                <w:szCs w:val="20"/>
                <w:color w:val="auto"/>
              </w:rPr>
            </w:pPr>
            <w:r>
              <w:rPr>
                <w:rFonts w:ascii="Arial" w:cs="Arial" w:eastAsia="Arial" w:hAnsi="Arial"/>
                <w:sz w:val="20"/>
                <w:szCs w:val="20"/>
                <w:color w:val="auto"/>
              </w:rPr>
              <w:t>International</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6,648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6,648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Mutual funds:</w:t>
            </w:r>
          </w:p>
        </w:tc>
        <w:tc>
          <w:tcPr>
            <w:tcW w:w="1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480"/>
              <w:spacing w:after="0"/>
              <w:rPr>
                <w:sz w:val="20"/>
                <w:szCs w:val="20"/>
                <w:color w:val="auto"/>
              </w:rPr>
            </w:pPr>
            <w:r>
              <w:rPr>
                <w:rFonts w:ascii="Arial" w:cs="Arial" w:eastAsia="Arial" w:hAnsi="Arial"/>
                <w:sz w:val="20"/>
                <w:szCs w:val="20"/>
                <w:color w:val="auto"/>
              </w:rPr>
              <w:t>Domestic(d)</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249,075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249,075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3900" w:type="dxa"/>
            <w:vAlign w:val="bottom"/>
            <w:tcBorders>
              <w:top w:val="single" w:sz="8" w:color="CFF0FC"/>
            </w:tcBorders>
            <w:shd w:val="clear" w:color="auto" w:fill="CFF0FC"/>
          </w:tcPr>
          <w:p>
            <w:pPr>
              <w:spacing w:after="0"/>
              <w:rPr>
                <w:sz w:val="21"/>
                <w:szCs w:val="21"/>
                <w:color w:val="auto"/>
              </w:rPr>
            </w:pPr>
          </w:p>
        </w:tc>
        <w:tc>
          <w:tcPr>
            <w:tcW w:w="1940" w:type="dxa"/>
            <w:vAlign w:val="bottom"/>
            <w:tcBorders>
              <w:top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559,185</w:t>
            </w:r>
          </w:p>
        </w:tc>
        <w:tc>
          <w:tcPr>
            <w:tcW w:w="140" w:type="dxa"/>
            <w:vAlign w:val="bottom"/>
            <w:tcBorders>
              <w:top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249,075</w:t>
            </w:r>
          </w:p>
        </w:tc>
        <w:tc>
          <w:tcPr>
            <w:tcW w:w="12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310,110</w:t>
            </w:r>
          </w:p>
        </w:tc>
        <w:tc>
          <w:tcPr>
            <w:tcW w:w="12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top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20"/>
                <w:szCs w:val="20"/>
                <w:color w:val="auto"/>
              </w:rPr>
              <w:t>Other:</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Diversified mutual fund</w:t>
            </w:r>
          </w:p>
        </w:tc>
        <w:tc>
          <w:tcPr>
            <w:tcW w:w="1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86,980</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86,980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3900" w:type="dxa"/>
            <w:vAlign w:val="bottom"/>
          </w:tcPr>
          <w:p>
            <w:pPr>
              <w:ind w:left="240"/>
              <w:spacing w:after="0"/>
              <w:rPr>
                <w:sz w:val="20"/>
                <w:szCs w:val="20"/>
                <w:color w:val="auto"/>
              </w:rPr>
            </w:pPr>
            <w:r>
              <w:rPr>
                <w:rFonts w:ascii="Arial" w:cs="Arial" w:eastAsia="Arial" w:hAnsi="Arial"/>
                <w:sz w:val="20"/>
                <w:szCs w:val="20"/>
                <w:color w:val="auto"/>
              </w:rPr>
              <w:t>Real estate partnerships</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21,905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3,939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17,966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Private equity / debt</w:t>
            </w:r>
          </w:p>
        </w:tc>
        <w:tc>
          <w:tcPr>
            <w:tcW w:w="1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87,966</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87,966</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40"/>
              <w:spacing w:after="0"/>
              <w:rPr>
                <w:sz w:val="20"/>
                <w:szCs w:val="20"/>
                <w:color w:val="auto"/>
              </w:rPr>
            </w:pPr>
            <w:r>
              <w:rPr>
                <w:rFonts w:ascii="Arial" w:cs="Arial" w:eastAsia="Arial" w:hAnsi="Arial"/>
                <w:sz w:val="20"/>
                <w:szCs w:val="20"/>
                <w:color w:val="auto"/>
              </w:rPr>
              <w:t>Hedge funds</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231,807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116,029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115,778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Guaranteed deposit fund</w:t>
            </w:r>
          </w:p>
        </w:tc>
        <w:tc>
          <w:tcPr>
            <w:tcW w:w="1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10,527</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10,527</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FF0FC"/>
            </w:tcBorders>
          </w:tcPr>
          <w:p>
            <w:pPr>
              <w:spacing w:after="0"/>
              <w:rPr>
                <w:sz w:val="21"/>
                <w:szCs w:val="21"/>
                <w:color w:val="auto"/>
              </w:rPr>
            </w:pPr>
          </w:p>
        </w:tc>
        <w:tc>
          <w:tcPr>
            <w:tcW w:w="19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439,185</w:t>
            </w:r>
          </w:p>
        </w:tc>
        <w:tc>
          <w:tcPr>
            <w:tcW w:w="14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206,948</w:t>
            </w:r>
          </w:p>
        </w:tc>
        <w:tc>
          <w:tcPr>
            <w:tcW w:w="1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232,237</w:t>
            </w:r>
          </w:p>
        </w:tc>
        <w:tc>
          <w:tcPr>
            <w:tcW w:w="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Total(e)</w:t>
            </w:r>
          </w:p>
        </w:tc>
        <w:tc>
          <w:tcPr>
            <w:tcW w:w="19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2,035,878</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1,488,940</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314,701</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232,237</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00" w:type="dxa"/>
            <w:vAlign w:val="bottom"/>
          </w:tcPr>
          <w:p>
            <w:pPr>
              <w:spacing w:after="0"/>
              <w:rPr>
                <w:sz w:val="24"/>
                <w:szCs w:val="24"/>
                <w:color w:val="auto"/>
              </w:rPr>
            </w:pPr>
          </w:p>
        </w:tc>
        <w:tc>
          <w:tcPr>
            <w:tcW w:w="2220" w:type="dxa"/>
            <w:vAlign w:val="bottom"/>
            <w:gridSpan w:val="2"/>
          </w:tcPr>
          <w:p>
            <w:pPr>
              <w:jc w:val="right"/>
              <w:ind w:right="179"/>
              <w:spacing w:after="0"/>
              <w:rPr>
                <w:sz w:val="20"/>
                <w:szCs w:val="20"/>
                <w:color w:val="auto"/>
              </w:rPr>
            </w:pPr>
            <w:r>
              <w:rPr>
                <w:rFonts w:ascii="Arial" w:cs="Arial" w:eastAsia="Arial" w:hAnsi="Arial"/>
                <w:sz w:val="18"/>
                <w:szCs w:val="18"/>
                <w:color w:val="auto"/>
              </w:rPr>
              <w:t>157</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90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67"/>
        </w:trPr>
        <w:tc>
          <w:tcPr>
            <w:tcW w:w="40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40" w:type="dxa"/>
            <w:vAlign w:val="bottom"/>
            <w:tcBorders>
              <w:bottom w:val="single" w:sz="8" w:color="auto"/>
            </w:tcBorders>
            <w:gridSpan w:val="10"/>
          </w:tcPr>
          <w:p>
            <w:pPr>
              <w:jc w:val="right"/>
              <w:ind w:right="824"/>
              <w:spacing w:after="0"/>
              <w:rPr>
                <w:sz w:val="20"/>
                <w:szCs w:val="20"/>
                <w:color w:val="auto"/>
              </w:rPr>
            </w:pPr>
            <w:r>
              <w:rPr>
                <w:rFonts w:ascii="Arial" w:cs="Arial" w:eastAsia="Arial" w:hAnsi="Arial"/>
                <w:sz w:val="14"/>
                <w:szCs w:val="14"/>
                <w:b w:val="1"/>
                <w:bCs w:val="1"/>
                <w:color w:val="auto"/>
              </w:rPr>
              <w:t>Fair Value Measurement of Plan Assets At December 31, 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jc w:val="center"/>
              <w:ind w:right="106"/>
              <w:spacing w:after="0" w:line="129" w:lineRule="exact"/>
              <w:rPr>
                <w:sz w:val="20"/>
                <w:szCs w:val="20"/>
                <w:color w:val="auto"/>
              </w:rPr>
            </w:pPr>
            <w:r>
              <w:rPr>
                <w:rFonts w:ascii="Arial" w:cs="Arial" w:eastAsia="Arial" w:hAnsi="Arial"/>
                <w:sz w:val="14"/>
                <w:szCs w:val="14"/>
                <w:b w:val="1"/>
                <w:bCs w:val="1"/>
                <w:color w:val="auto"/>
                <w:w w:val="88"/>
              </w:rPr>
              <w:t>Quoted Prices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5"/>
        </w:trPr>
        <w:tc>
          <w:tcPr>
            <w:tcW w:w="40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106"/>
              <w:spacing w:after="0" w:line="145" w:lineRule="exact"/>
              <w:rPr>
                <w:sz w:val="20"/>
                <w:szCs w:val="20"/>
                <w:color w:val="auto"/>
              </w:rPr>
            </w:pPr>
            <w:r>
              <w:rPr>
                <w:rFonts w:ascii="Arial" w:cs="Arial" w:eastAsia="Arial" w:hAnsi="Arial"/>
                <w:sz w:val="14"/>
                <w:szCs w:val="14"/>
                <w:b w:val="1"/>
                <w:bCs w:val="1"/>
                <w:color w:val="auto"/>
                <w:w w:val="89"/>
              </w:rPr>
              <w:t>in Active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86"/>
              <w:spacing w:after="0" w:line="145" w:lineRule="exact"/>
              <w:rPr>
                <w:sz w:val="20"/>
                <w:szCs w:val="20"/>
                <w:color w:val="auto"/>
              </w:rPr>
            </w:pPr>
            <w:r>
              <w:rPr>
                <w:rFonts w:ascii="Arial" w:cs="Arial" w:eastAsia="Arial" w:hAnsi="Arial"/>
                <w:sz w:val="14"/>
                <w:szCs w:val="14"/>
                <w:b w:val="1"/>
                <w:bCs w:val="1"/>
                <w:color w:val="auto"/>
                <w:w w:val="94"/>
              </w:rPr>
              <w:t>Markets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1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45"/>
        </w:trPr>
        <w:tc>
          <w:tcPr>
            <w:tcW w:w="40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440" w:type="dxa"/>
            <w:vAlign w:val="bottom"/>
          </w:tcPr>
          <w:p>
            <w:pPr>
              <w:jc w:val="center"/>
              <w:ind w:right="86"/>
              <w:spacing w:after="0" w:line="145" w:lineRule="exact"/>
              <w:rPr>
                <w:sz w:val="20"/>
                <w:szCs w:val="20"/>
                <w:color w:val="auto"/>
              </w:rPr>
            </w:pPr>
            <w:r>
              <w:rPr>
                <w:rFonts w:ascii="Arial" w:cs="Arial" w:eastAsia="Arial" w:hAnsi="Arial"/>
                <w:sz w:val="14"/>
                <w:szCs w:val="14"/>
                <w:b w:val="1"/>
                <w:bCs w:val="1"/>
                <w:color w:val="auto"/>
                <w:w w:val="88"/>
              </w:rPr>
              <w:t>for Identical Assets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1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7"/>
        </w:trPr>
        <w:tc>
          <w:tcPr>
            <w:tcW w:w="40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ind w:right="106"/>
              <w:spacing w:after="0"/>
              <w:rPr>
                <w:sz w:val="20"/>
                <w:szCs w:val="20"/>
                <w:color w:val="auto"/>
              </w:rPr>
            </w:pPr>
            <w:r>
              <w:rPr>
                <w:rFonts w:ascii="Arial" w:cs="Arial" w:eastAsia="Arial" w:hAnsi="Arial"/>
                <w:sz w:val="14"/>
                <w:szCs w:val="14"/>
                <w:b w:val="1"/>
                <w:bCs w:val="1"/>
                <w:color w:val="auto"/>
                <w:w w:val="91"/>
              </w:rPr>
              <w:t>(Level 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51"/>
        </w:trPr>
        <w:tc>
          <w:tcPr>
            <w:tcW w:w="4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jc w:val="right"/>
              <w:spacing w:after="0" w:line="151" w:lineRule="exact"/>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040" w:type="dxa"/>
            <w:vAlign w:val="bottom"/>
            <w:shd w:val="clear" w:color="auto" w:fill="CFF0FC"/>
          </w:tcPr>
          <w:p>
            <w:pPr>
              <w:spacing w:after="0"/>
              <w:rPr>
                <w:sz w:val="20"/>
                <w:szCs w:val="20"/>
                <w:color w:val="auto"/>
              </w:rPr>
            </w:pPr>
            <w:r>
              <w:rPr>
                <w:rFonts w:ascii="Arial" w:cs="Arial" w:eastAsia="Arial" w:hAnsi="Arial"/>
                <w:sz w:val="20"/>
                <w:szCs w:val="20"/>
                <w:color w:val="auto"/>
              </w:rPr>
              <w:t>Asset category:</w:t>
            </w:r>
          </w:p>
        </w:tc>
        <w:tc>
          <w:tcPr>
            <w:tcW w:w="1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0"/>
                <w:szCs w:val="20"/>
                <w:color w:val="auto"/>
              </w:rPr>
            </w:pPr>
            <w:r>
              <w:rPr>
                <w:rFonts w:ascii="Arial" w:cs="Arial" w:eastAsia="Arial" w:hAnsi="Arial"/>
                <w:sz w:val="20"/>
                <w:szCs w:val="20"/>
                <w:color w:val="auto"/>
              </w:rPr>
              <w:t>Money-market investments</w:t>
            </w:r>
          </w:p>
        </w:tc>
        <w:tc>
          <w:tcPr>
            <w:tcW w:w="2080" w:type="dxa"/>
            <w:vAlign w:val="bottom"/>
            <w:gridSpan w:val="2"/>
          </w:tcPr>
          <w:p>
            <w:pPr>
              <w:jc w:val="right"/>
              <w:ind w:right="79"/>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23,049</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10,794</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12,255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4040" w:type="dxa"/>
            <w:vAlign w:val="bottom"/>
            <w:shd w:val="clear" w:color="auto" w:fill="CFF0FC"/>
          </w:tcPr>
          <w:p>
            <w:pPr>
              <w:spacing w:after="0"/>
              <w:rPr>
                <w:sz w:val="20"/>
                <w:szCs w:val="20"/>
                <w:color w:val="auto"/>
              </w:rPr>
            </w:pPr>
            <w:r>
              <w:rPr>
                <w:rFonts w:ascii="Arial" w:cs="Arial" w:eastAsia="Arial" w:hAnsi="Arial"/>
                <w:sz w:val="20"/>
                <w:szCs w:val="20"/>
                <w:color w:val="auto"/>
              </w:rPr>
              <w:t>Equity securities:</w:t>
            </w:r>
          </w:p>
        </w:tc>
        <w:tc>
          <w:tcPr>
            <w:tcW w:w="1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40" w:type="dxa"/>
            <w:vAlign w:val="bottom"/>
          </w:tcPr>
          <w:p>
            <w:pPr>
              <w:ind w:left="240"/>
              <w:spacing w:after="0"/>
              <w:rPr>
                <w:sz w:val="20"/>
                <w:szCs w:val="20"/>
                <w:color w:val="auto"/>
              </w:rPr>
            </w:pPr>
            <w:r>
              <w:rPr>
                <w:rFonts w:ascii="Arial" w:cs="Arial" w:eastAsia="Arial" w:hAnsi="Arial"/>
                <w:sz w:val="20"/>
                <w:szCs w:val="20"/>
                <w:color w:val="auto"/>
              </w:rPr>
              <w:t>M&amp;T</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125,299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125,299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40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Domestic(a)</w:t>
            </w:r>
          </w:p>
        </w:tc>
        <w:tc>
          <w:tcPr>
            <w:tcW w:w="1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191,640</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191,640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4040" w:type="dxa"/>
            <w:vAlign w:val="bottom"/>
          </w:tcPr>
          <w:p>
            <w:pPr>
              <w:ind w:left="240"/>
              <w:spacing w:after="0"/>
              <w:rPr>
                <w:sz w:val="20"/>
                <w:szCs w:val="20"/>
                <w:color w:val="auto"/>
              </w:rPr>
            </w:pPr>
            <w:r>
              <w:rPr>
                <w:rFonts w:ascii="Arial" w:cs="Arial" w:eastAsia="Arial" w:hAnsi="Arial"/>
                <w:sz w:val="20"/>
                <w:szCs w:val="20"/>
                <w:color w:val="auto"/>
              </w:rPr>
              <w:t>International(b)</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7,752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7,752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40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Mutual funds:</w:t>
            </w:r>
          </w:p>
        </w:tc>
        <w:tc>
          <w:tcPr>
            <w:tcW w:w="1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40" w:type="dxa"/>
            <w:vAlign w:val="bottom"/>
          </w:tcPr>
          <w:p>
            <w:pPr>
              <w:ind w:left="480"/>
              <w:spacing w:after="0"/>
              <w:rPr>
                <w:sz w:val="20"/>
                <w:szCs w:val="20"/>
                <w:color w:val="auto"/>
              </w:rPr>
            </w:pPr>
            <w:r>
              <w:rPr>
                <w:rFonts w:ascii="Arial" w:cs="Arial" w:eastAsia="Arial" w:hAnsi="Arial"/>
                <w:sz w:val="20"/>
                <w:szCs w:val="20"/>
                <w:color w:val="auto"/>
              </w:rPr>
              <w:t>Domestic(a)</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216,523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216,523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4040" w:type="dxa"/>
            <w:vAlign w:val="bottom"/>
            <w:shd w:val="clear" w:color="auto" w:fill="CFF0FC"/>
          </w:tcPr>
          <w:p>
            <w:pPr>
              <w:ind w:left="480"/>
              <w:spacing w:after="0"/>
              <w:rPr>
                <w:sz w:val="20"/>
                <w:szCs w:val="20"/>
                <w:color w:val="auto"/>
              </w:rPr>
            </w:pPr>
            <w:r>
              <w:rPr>
                <w:rFonts w:ascii="Arial" w:cs="Arial" w:eastAsia="Arial" w:hAnsi="Arial"/>
                <w:sz w:val="20"/>
                <w:szCs w:val="20"/>
                <w:color w:val="auto"/>
              </w:rPr>
              <w:t>International(b)</w:t>
            </w:r>
          </w:p>
        </w:tc>
        <w:tc>
          <w:tcPr>
            <w:tcW w:w="1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316,923</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316,923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4040" w:type="dxa"/>
            <w:vAlign w:val="bottom"/>
            <w:tcBorders>
              <w:bottom w:val="single" w:sz="8" w:color="CFF0FC"/>
            </w:tcBorders>
          </w:tcPr>
          <w:p>
            <w:pPr>
              <w:spacing w:after="0"/>
              <w:rPr>
                <w:sz w:val="21"/>
                <w:szCs w:val="21"/>
                <w:color w:val="auto"/>
              </w:rPr>
            </w:pPr>
          </w:p>
        </w:tc>
        <w:tc>
          <w:tcPr>
            <w:tcW w:w="180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858,137</w:t>
            </w:r>
          </w:p>
        </w:tc>
        <w:tc>
          <w:tcPr>
            <w:tcW w:w="14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858,137</w:t>
            </w:r>
          </w:p>
        </w:tc>
        <w:tc>
          <w:tcPr>
            <w:tcW w:w="1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spacing w:after="0"/>
              <w:rPr>
                <w:sz w:val="20"/>
                <w:szCs w:val="20"/>
                <w:color w:val="auto"/>
              </w:rPr>
            </w:pPr>
            <w:r>
              <w:rPr>
                <w:rFonts w:ascii="Arial" w:cs="Arial" w:eastAsia="Arial" w:hAnsi="Arial"/>
                <w:sz w:val="20"/>
                <w:szCs w:val="20"/>
                <w:color w:val="auto"/>
              </w:rPr>
              <w:t>Debt securities:</w:t>
            </w:r>
          </w:p>
        </w:tc>
        <w:tc>
          <w:tcPr>
            <w:tcW w:w="1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40" w:type="dxa"/>
            <w:vAlign w:val="bottom"/>
          </w:tcPr>
          <w:p>
            <w:pPr>
              <w:ind w:left="240"/>
              <w:spacing w:after="0"/>
              <w:rPr>
                <w:sz w:val="20"/>
                <w:szCs w:val="20"/>
                <w:color w:val="auto"/>
              </w:rPr>
            </w:pPr>
            <w:r>
              <w:rPr>
                <w:rFonts w:ascii="Arial" w:cs="Arial" w:eastAsia="Arial" w:hAnsi="Arial"/>
                <w:sz w:val="20"/>
                <w:szCs w:val="20"/>
                <w:color w:val="auto"/>
              </w:rPr>
              <w:t>Corporate(c)</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103,672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103,672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40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Government</w:t>
            </w:r>
          </w:p>
        </w:tc>
        <w:tc>
          <w:tcPr>
            <w:tcW w:w="1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182,034</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182,034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4040" w:type="dxa"/>
            <w:vAlign w:val="bottom"/>
          </w:tcPr>
          <w:p>
            <w:pPr>
              <w:ind w:left="240"/>
              <w:spacing w:after="0"/>
              <w:rPr>
                <w:sz w:val="20"/>
                <w:szCs w:val="20"/>
                <w:color w:val="auto"/>
              </w:rPr>
            </w:pPr>
            <w:r>
              <w:rPr>
                <w:rFonts w:ascii="Arial" w:cs="Arial" w:eastAsia="Arial" w:hAnsi="Arial"/>
                <w:sz w:val="20"/>
                <w:szCs w:val="20"/>
                <w:color w:val="auto"/>
              </w:rPr>
              <w:t>International</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2,140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2,140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40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Mutual funds:</w:t>
            </w:r>
          </w:p>
        </w:tc>
        <w:tc>
          <w:tcPr>
            <w:tcW w:w="1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40" w:type="dxa"/>
            <w:vAlign w:val="bottom"/>
          </w:tcPr>
          <w:p>
            <w:pPr>
              <w:ind w:left="480"/>
              <w:spacing w:after="0"/>
              <w:rPr>
                <w:sz w:val="20"/>
                <w:szCs w:val="20"/>
                <w:color w:val="auto"/>
              </w:rPr>
            </w:pPr>
            <w:r>
              <w:rPr>
                <w:rFonts w:ascii="Arial" w:cs="Arial" w:eastAsia="Arial" w:hAnsi="Arial"/>
                <w:sz w:val="20"/>
                <w:szCs w:val="20"/>
                <w:color w:val="auto"/>
              </w:rPr>
              <w:t>Domestic(d)</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280,902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280,902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4040" w:type="dxa"/>
            <w:vAlign w:val="bottom"/>
            <w:shd w:val="clear" w:color="auto" w:fill="CFF0FC"/>
          </w:tcPr>
          <w:p>
            <w:pPr>
              <w:ind w:left="480"/>
              <w:spacing w:after="0"/>
              <w:rPr>
                <w:sz w:val="20"/>
                <w:szCs w:val="20"/>
                <w:color w:val="auto"/>
              </w:rPr>
            </w:pPr>
            <w:r>
              <w:rPr>
                <w:rFonts w:ascii="Arial" w:cs="Arial" w:eastAsia="Arial" w:hAnsi="Arial"/>
                <w:sz w:val="20"/>
                <w:szCs w:val="20"/>
                <w:color w:val="auto"/>
              </w:rPr>
              <w:t>International</w:t>
            </w:r>
          </w:p>
        </w:tc>
        <w:tc>
          <w:tcPr>
            <w:tcW w:w="1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20,661</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20,661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4040" w:type="dxa"/>
            <w:vAlign w:val="bottom"/>
            <w:tcBorders>
              <w:bottom w:val="single" w:sz="8" w:color="CFF0FC"/>
            </w:tcBorders>
          </w:tcPr>
          <w:p>
            <w:pPr>
              <w:spacing w:after="0"/>
              <w:rPr>
                <w:sz w:val="21"/>
                <w:szCs w:val="21"/>
                <w:color w:val="auto"/>
              </w:rPr>
            </w:pPr>
          </w:p>
        </w:tc>
        <w:tc>
          <w:tcPr>
            <w:tcW w:w="180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589,409</w:t>
            </w:r>
          </w:p>
        </w:tc>
        <w:tc>
          <w:tcPr>
            <w:tcW w:w="14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301,563</w:t>
            </w:r>
          </w:p>
        </w:tc>
        <w:tc>
          <w:tcPr>
            <w:tcW w:w="1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287,846</w:t>
            </w:r>
          </w:p>
        </w:tc>
        <w:tc>
          <w:tcPr>
            <w:tcW w:w="1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spacing w:after="0"/>
              <w:rPr>
                <w:sz w:val="20"/>
                <w:szCs w:val="20"/>
                <w:color w:val="auto"/>
              </w:rPr>
            </w:pPr>
            <w:r>
              <w:rPr>
                <w:rFonts w:ascii="Arial" w:cs="Arial" w:eastAsia="Arial" w:hAnsi="Arial"/>
                <w:sz w:val="20"/>
                <w:szCs w:val="20"/>
                <w:color w:val="auto"/>
              </w:rPr>
              <w:t>Other:</w:t>
            </w:r>
          </w:p>
        </w:tc>
        <w:tc>
          <w:tcPr>
            <w:tcW w:w="1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40" w:type="dxa"/>
            <w:vAlign w:val="bottom"/>
          </w:tcPr>
          <w:p>
            <w:pPr>
              <w:ind w:left="240"/>
              <w:spacing w:after="0"/>
              <w:rPr>
                <w:sz w:val="20"/>
                <w:szCs w:val="20"/>
                <w:color w:val="auto"/>
              </w:rPr>
            </w:pPr>
            <w:r>
              <w:rPr>
                <w:rFonts w:ascii="Arial" w:cs="Arial" w:eastAsia="Arial" w:hAnsi="Arial"/>
                <w:sz w:val="20"/>
                <w:szCs w:val="20"/>
                <w:color w:val="auto"/>
              </w:rPr>
              <w:t>Diversified mutual fund</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74,446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74,446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40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Real estate partnerships</w:t>
            </w:r>
          </w:p>
        </w:tc>
        <w:tc>
          <w:tcPr>
            <w:tcW w:w="1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11,807</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2,791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9,016</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40" w:type="dxa"/>
            <w:vAlign w:val="bottom"/>
          </w:tcPr>
          <w:p>
            <w:pPr>
              <w:ind w:left="240"/>
              <w:spacing w:after="0"/>
              <w:rPr>
                <w:sz w:val="20"/>
                <w:szCs w:val="20"/>
                <w:color w:val="auto"/>
              </w:rPr>
            </w:pPr>
            <w:r>
              <w:rPr>
                <w:rFonts w:ascii="Arial" w:cs="Arial" w:eastAsia="Arial" w:hAnsi="Arial"/>
                <w:sz w:val="20"/>
                <w:szCs w:val="20"/>
                <w:color w:val="auto"/>
              </w:rPr>
              <w:t>Private equity / debt</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63,699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63,699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Hedge funds</w:t>
            </w:r>
          </w:p>
        </w:tc>
        <w:tc>
          <w:tcPr>
            <w:tcW w:w="1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200,811</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125,309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75,502</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40" w:type="dxa"/>
            <w:vAlign w:val="bottom"/>
          </w:tcPr>
          <w:p>
            <w:pPr>
              <w:ind w:left="240"/>
              <w:spacing w:after="0"/>
              <w:rPr>
                <w:sz w:val="20"/>
                <w:szCs w:val="20"/>
                <w:color w:val="auto"/>
              </w:rPr>
            </w:pPr>
            <w:r>
              <w:rPr>
                <w:rFonts w:ascii="Arial" w:cs="Arial" w:eastAsia="Arial" w:hAnsi="Arial"/>
                <w:sz w:val="20"/>
                <w:szCs w:val="20"/>
                <w:color w:val="auto"/>
              </w:rPr>
              <w:t>Guaranteed deposit fund</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10,415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10,415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Borders>
              <w:top w:val="single" w:sz="8" w:color="CFF0FC"/>
            </w:tcBorders>
            <w:shd w:val="clear" w:color="auto" w:fill="CFF0FC"/>
          </w:tcPr>
          <w:p>
            <w:pPr>
              <w:spacing w:after="0"/>
              <w:rPr>
                <w:sz w:val="21"/>
                <w:szCs w:val="21"/>
                <w:color w:val="auto"/>
              </w:rPr>
            </w:pPr>
          </w:p>
        </w:tc>
        <w:tc>
          <w:tcPr>
            <w:tcW w:w="1800" w:type="dxa"/>
            <w:vAlign w:val="bottom"/>
            <w:tcBorders>
              <w:top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361,178</w:t>
            </w:r>
          </w:p>
        </w:tc>
        <w:tc>
          <w:tcPr>
            <w:tcW w:w="140" w:type="dxa"/>
            <w:vAlign w:val="bottom"/>
            <w:tcBorders>
              <w:top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202,546</w:t>
            </w:r>
          </w:p>
        </w:tc>
        <w:tc>
          <w:tcPr>
            <w:tcW w:w="12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158,632</w:t>
            </w:r>
          </w:p>
        </w:tc>
        <w:tc>
          <w:tcPr>
            <w:tcW w:w="60" w:type="dxa"/>
            <w:vAlign w:val="bottom"/>
            <w:tcBorders>
              <w:top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20"/>
                <w:szCs w:val="20"/>
                <w:color w:val="auto"/>
              </w:rPr>
              <w:t>Total(e)</w:t>
            </w:r>
          </w:p>
        </w:tc>
        <w:tc>
          <w:tcPr>
            <w:tcW w:w="180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1,831,773</w:t>
            </w:r>
          </w:p>
        </w:tc>
        <w:tc>
          <w:tcPr>
            <w:tcW w:w="1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1,373,040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300,101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158,632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ind w:left="600" w:right="80" w:hanging="595"/>
        <w:spacing w:after="0" w:line="257" w:lineRule="auto"/>
        <w:tabs>
          <w:tab w:leader="none" w:pos="600" w:val="left"/>
        </w:tabs>
        <w:numPr>
          <w:ilvl w:val="0"/>
          <w:numId w:val="45"/>
        </w:numPr>
        <w:rPr>
          <w:rFonts w:ascii="Arial" w:cs="Arial" w:eastAsia="Arial" w:hAnsi="Arial"/>
          <w:sz w:val="20"/>
          <w:szCs w:val="20"/>
          <w:i w:val="1"/>
          <w:iCs w:val="1"/>
          <w:color w:val="auto"/>
        </w:rPr>
      </w:pPr>
      <w:r>
        <w:rPr>
          <w:rFonts w:ascii="Arial" w:cs="Arial" w:eastAsia="Arial" w:hAnsi="Arial"/>
          <w:sz w:val="20"/>
          <w:szCs w:val="20"/>
          <w:i w:val="1"/>
          <w:iCs w:val="1"/>
          <w:color w:val="auto"/>
        </w:rPr>
        <w:t>This category is mainly comprised of equities of companies primarily within the small-cap, mid-cap and large-cap sectors of the U.S. economy and range across diverse industries.</w:t>
      </w:r>
    </w:p>
    <w:p>
      <w:pPr>
        <w:spacing w:after="0" w:line="1" w:lineRule="exact"/>
        <w:rPr>
          <w:rFonts w:ascii="Arial" w:cs="Arial" w:eastAsia="Arial" w:hAnsi="Arial"/>
          <w:sz w:val="20"/>
          <w:szCs w:val="20"/>
          <w:i w:val="1"/>
          <w:iCs w:val="1"/>
          <w:color w:val="auto"/>
        </w:rPr>
      </w:pPr>
    </w:p>
    <w:p>
      <w:pPr>
        <w:ind w:left="600" w:right="480" w:hanging="595"/>
        <w:spacing w:after="0" w:line="252" w:lineRule="auto"/>
        <w:tabs>
          <w:tab w:leader="none" w:pos="600" w:val="left"/>
        </w:tabs>
        <w:numPr>
          <w:ilvl w:val="0"/>
          <w:numId w:val="45"/>
        </w:numPr>
        <w:rPr>
          <w:rFonts w:ascii="Arial" w:cs="Arial" w:eastAsia="Arial" w:hAnsi="Arial"/>
          <w:sz w:val="20"/>
          <w:szCs w:val="20"/>
          <w:i w:val="1"/>
          <w:iCs w:val="1"/>
          <w:color w:val="auto"/>
        </w:rPr>
      </w:pPr>
      <w:r>
        <w:rPr>
          <w:rFonts w:ascii="Arial" w:cs="Arial" w:eastAsia="Arial" w:hAnsi="Arial"/>
          <w:sz w:val="20"/>
          <w:szCs w:val="20"/>
          <w:i w:val="1"/>
          <w:iCs w:val="1"/>
          <w:color w:val="auto"/>
        </w:rPr>
        <w:t>This category is comprised of equities in companies primarily within the mid-cap and large-cap sectors of international markets mainly in developed and emerging markets in Europe and the Pacific Rim.</w:t>
      </w:r>
    </w:p>
    <w:p>
      <w:pPr>
        <w:ind w:left="600" w:hanging="595"/>
        <w:spacing w:after="0"/>
        <w:tabs>
          <w:tab w:leader="none" w:pos="600" w:val="left"/>
        </w:tabs>
        <w:numPr>
          <w:ilvl w:val="0"/>
          <w:numId w:val="45"/>
        </w:numPr>
        <w:rPr>
          <w:rFonts w:ascii="Arial" w:cs="Arial" w:eastAsia="Arial" w:hAnsi="Arial"/>
          <w:sz w:val="20"/>
          <w:szCs w:val="20"/>
          <w:i w:val="1"/>
          <w:iCs w:val="1"/>
          <w:color w:val="auto"/>
        </w:rPr>
      </w:pPr>
      <w:r>
        <w:rPr>
          <w:rFonts w:ascii="Arial" w:cs="Arial" w:eastAsia="Arial" w:hAnsi="Arial"/>
          <w:sz w:val="20"/>
          <w:szCs w:val="20"/>
          <w:i w:val="1"/>
          <w:iCs w:val="1"/>
          <w:color w:val="auto"/>
        </w:rPr>
        <w:t>This category represents investment grade bonds of U.S. issuers from diverse industries.</w:t>
      </w:r>
    </w:p>
    <w:p>
      <w:pPr>
        <w:spacing w:after="0" w:line="6" w:lineRule="exact"/>
        <w:rPr>
          <w:rFonts w:ascii="Arial" w:cs="Arial" w:eastAsia="Arial" w:hAnsi="Arial"/>
          <w:sz w:val="20"/>
          <w:szCs w:val="20"/>
          <w:i w:val="1"/>
          <w:iCs w:val="1"/>
          <w:color w:val="auto"/>
        </w:rPr>
      </w:pPr>
    </w:p>
    <w:p>
      <w:pPr>
        <w:ind w:left="600" w:right="80" w:hanging="595"/>
        <w:spacing w:after="0" w:line="246" w:lineRule="auto"/>
        <w:tabs>
          <w:tab w:leader="none" w:pos="600" w:val="left"/>
        </w:tabs>
        <w:numPr>
          <w:ilvl w:val="0"/>
          <w:numId w:val="45"/>
        </w:numPr>
        <w:rPr>
          <w:rFonts w:ascii="Arial" w:cs="Arial" w:eastAsia="Arial" w:hAnsi="Arial"/>
          <w:sz w:val="20"/>
          <w:szCs w:val="20"/>
          <w:i w:val="1"/>
          <w:iCs w:val="1"/>
          <w:color w:val="auto"/>
        </w:rPr>
      </w:pPr>
      <w:r>
        <w:rPr>
          <w:rFonts w:ascii="Arial" w:cs="Arial" w:eastAsia="Arial" w:hAnsi="Arial"/>
          <w:sz w:val="20"/>
          <w:szCs w:val="20"/>
          <w:i w:val="1"/>
          <w:iCs w:val="1"/>
          <w:color w:val="auto"/>
        </w:rPr>
        <w:t>Approximately 80% of the mutual funds were invested in investment grade bonds and 20% in high-yielding bonds at December 31, 2019. Approximately 77% of the mutual funds were invested in investment grade bonds and 23% in high-yielding bonds at December 31, 2018. The holdings within the funds were spread across diverse industries.</w:t>
      </w:r>
    </w:p>
    <w:p>
      <w:pPr>
        <w:spacing w:after="0" w:line="2" w:lineRule="exact"/>
        <w:rPr>
          <w:rFonts w:ascii="Arial" w:cs="Arial" w:eastAsia="Arial" w:hAnsi="Arial"/>
          <w:sz w:val="20"/>
          <w:szCs w:val="20"/>
          <w:i w:val="1"/>
          <w:iCs w:val="1"/>
          <w:color w:val="auto"/>
        </w:rPr>
      </w:pPr>
    </w:p>
    <w:p>
      <w:pPr>
        <w:ind w:left="600" w:hanging="595"/>
        <w:spacing w:after="0"/>
        <w:tabs>
          <w:tab w:leader="none" w:pos="600" w:val="left"/>
        </w:tabs>
        <w:numPr>
          <w:ilvl w:val="0"/>
          <w:numId w:val="45"/>
        </w:numPr>
        <w:rPr>
          <w:rFonts w:ascii="Arial" w:cs="Arial" w:eastAsia="Arial" w:hAnsi="Arial"/>
          <w:sz w:val="20"/>
          <w:szCs w:val="20"/>
          <w:i w:val="1"/>
          <w:iCs w:val="1"/>
          <w:color w:val="auto"/>
        </w:rPr>
      </w:pPr>
      <w:r>
        <w:rPr>
          <w:rFonts w:ascii="Arial" w:cs="Arial" w:eastAsia="Arial" w:hAnsi="Arial"/>
          <w:sz w:val="20"/>
          <w:szCs w:val="20"/>
          <w:i w:val="1"/>
          <w:iCs w:val="1"/>
          <w:color w:val="auto"/>
        </w:rPr>
        <w:t>Excludes dividends and interest receivable totaling $2 million at each of December 31, 2019 and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158" w:name="page159"/>
    <w:bookmarkEnd w:id="158"/>
    <w:p>
      <w:pPr>
        <w:ind w:right="60" w:firstLine="598"/>
        <w:spacing w:after="0" w:line="253" w:lineRule="auto"/>
        <w:rPr>
          <w:sz w:val="20"/>
          <w:szCs w:val="20"/>
          <w:color w:val="auto"/>
        </w:rPr>
      </w:pPr>
      <w:r>
        <w:rPr>
          <w:rFonts w:ascii="Arial" w:cs="Arial" w:eastAsia="Arial" w:hAnsi="Arial"/>
          <w:sz w:val="20"/>
          <w:szCs w:val="20"/>
          <w:color w:val="auto"/>
        </w:rPr>
        <w:t>Pension plan assets included common stock of M&amp;T with a fair value of $149 million (7% of total plan assets) at December 31, 2019 and $125 million (7% of total plan assets) at December 31, 2018. No investment in securities of a non-U.S. Government or government agency issuer exceeded ten percent of plan assets at December 31, 2019.</w:t>
      </w:r>
    </w:p>
    <w:p>
      <w:pPr>
        <w:ind w:right="80" w:firstLine="598"/>
        <w:spacing w:after="0" w:line="256" w:lineRule="auto"/>
        <w:rPr>
          <w:sz w:val="20"/>
          <w:szCs w:val="20"/>
          <w:color w:val="auto"/>
        </w:rPr>
      </w:pPr>
      <w:r>
        <w:rPr>
          <w:rFonts w:ascii="Arial" w:cs="Arial" w:eastAsia="Arial" w:hAnsi="Arial"/>
          <w:sz w:val="20"/>
          <w:szCs w:val="20"/>
          <w:color w:val="auto"/>
        </w:rPr>
        <w:t>The changes in Level 3 pension plan assets measured at estimated fair value on a recurring basis during the year ended December 31, 2019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center"/>
              <w:ind w:right="111"/>
              <w:spacing w:after="0"/>
              <w:rPr>
                <w:sz w:val="20"/>
                <w:szCs w:val="20"/>
                <w:color w:val="auto"/>
              </w:rPr>
            </w:pPr>
            <w:r>
              <w:rPr>
                <w:rFonts w:ascii="Arial" w:cs="Arial" w:eastAsia="Arial" w:hAnsi="Arial"/>
                <w:sz w:val="14"/>
                <w:szCs w:val="14"/>
                <w:b w:val="1"/>
                <w:bCs w:val="1"/>
                <w:color w:val="auto"/>
                <w:w w:val="88"/>
              </w:rPr>
              <w:t>Balance –</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2"/>
              </w:rPr>
              <w:t>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Balance –</w:t>
            </w: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4"/>
              </w:rPr>
              <w:t>Purchases</w:t>
            </w: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0"/>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91"/>
              <w:spacing w:after="0" w:line="145" w:lineRule="exact"/>
              <w:rPr>
                <w:sz w:val="20"/>
                <w:szCs w:val="20"/>
                <w:color w:val="auto"/>
              </w:rPr>
            </w:pPr>
            <w:r>
              <w:rPr>
                <w:rFonts w:ascii="Arial" w:cs="Arial" w:eastAsia="Arial" w:hAnsi="Arial"/>
                <w:sz w:val="14"/>
                <w:szCs w:val="14"/>
                <w:b w:val="1"/>
                <w:bCs w:val="1"/>
                <w:color w:val="auto"/>
                <w:w w:val="92"/>
              </w:rPr>
              <w:t>January 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2"/>
              </w:rPr>
              <w:t>Gains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7"/>
              </w:rPr>
              <w:t>(Sales)</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3"/>
              </w:rPr>
              <w:t>(Losses)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gridSpan w:val="5"/>
          </w:tcPr>
          <w:p>
            <w:pPr>
              <w:ind w:left="680"/>
              <w:spacing w:after="0" w:line="151"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940" w:type="dxa"/>
            <w:vAlign w:val="bottom"/>
            <w:gridSpan w:val="2"/>
            <w:shd w:val="clear" w:color="auto" w:fill="CFF0FC"/>
          </w:tcPr>
          <w:p>
            <w:pPr>
              <w:spacing w:after="0" w:line="210" w:lineRule="exact"/>
              <w:rPr>
                <w:sz w:val="20"/>
                <w:szCs w:val="20"/>
                <w:color w:val="auto"/>
              </w:rPr>
            </w:pPr>
            <w:r>
              <w:rPr>
                <w:rFonts w:ascii="Arial" w:cs="Arial" w:eastAsia="Arial" w:hAnsi="Arial"/>
                <w:sz w:val="20"/>
                <w:szCs w:val="20"/>
                <w:color w:val="auto"/>
              </w:rPr>
              <w:t>Other</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460" w:type="dxa"/>
            <w:vAlign w:val="bottom"/>
            <w:shd w:val="clear" w:color="auto" w:fill="000000"/>
          </w:tcPr>
          <w:p>
            <w:pPr>
              <w:spacing w:after="0"/>
              <w:rPr>
                <w:sz w:val="3"/>
                <w:szCs w:val="3"/>
                <w:color w:val="auto"/>
              </w:rPr>
            </w:pPr>
          </w:p>
        </w:tc>
        <w:tc>
          <w:tcPr>
            <w:tcW w:w="548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gridSpan w:val="2"/>
          </w:tcPr>
          <w:p>
            <w:pPr>
              <w:spacing w:after="0"/>
              <w:rPr>
                <w:sz w:val="20"/>
                <w:szCs w:val="20"/>
                <w:color w:val="auto"/>
              </w:rPr>
            </w:pPr>
            <w:r>
              <w:rPr>
                <w:rFonts w:ascii="Arial" w:cs="Arial" w:eastAsia="Arial" w:hAnsi="Arial"/>
                <w:sz w:val="20"/>
                <w:szCs w:val="20"/>
                <w:color w:val="auto"/>
              </w:rPr>
              <w:t>Real estate partnerships</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9,016</w:t>
            </w: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7,623</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1,327</w:t>
            </w:r>
          </w:p>
        </w:tc>
        <w:tc>
          <w:tcPr>
            <w:tcW w:w="22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17,966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Private equity/debt</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63,699</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9,531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14,736</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87,966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gridSpan w:val="2"/>
          </w:tcPr>
          <w:p>
            <w:pPr>
              <w:spacing w:after="0"/>
              <w:rPr>
                <w:sz w:val="20"/>
                <w:szCs w:val="20"/>
                <w:color w:val="auto"/>
              </w:rPr>
            </w:pPr>
            <w:r>
              <w:rPr>
                <w:rFonts w:ascii="Arial" w:cs="Arial" w:eastAsia="Arial" w:hAnsi="Arial"/>
                <w:sz w:val="20"/>
                <w:szCs w:val="20"/>
                <w:color w:val="auto"/>
              </w:rPr>
              <w:t>Hedge funds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75,502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27,000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13,276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115,778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Guaranteed deposit fund</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10,415</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112</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10,527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gridSpan w:val="2"/>
          </w:tcPr>
          <w:p>
            <w:pPr>
              <w:ind w:left="240"/>
              <w:spacing w:after="0"/>
              <w:rPr>
                <w:sz w:val="20"/>
                <w:szCs w:val="20"/>
                <w:color w:val="auto"/>
              </w:rPr>
            </w:pPr>
            <w:r>
              <w:rPr>
                <w:rFonts w:ascii="Arial" w:cs="Arial" w:eastAsia="Arial" w:hAnsi="Arial"/>
                <w:sz w:val="20"/>
                <w:szCs w:val="20"/>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158,632</w:t>
            </w:r>
          </w:p>
        </w:tc>
        <w:tc>
          <w:tcPr>
            <w:tcW w:w="2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44,154</w:t>
            </w:r>
          </w:p>
        </w:tc>
        <w:tc>
          <w:tcPr>
            <w:tcW w:w="2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29,451</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232,237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40" w:firstLine="598"/>
        <w:spacing w:after="0" w:line="276" w:lineRule="auto"/>
        <w:rPr>
          <w:sz w:val="20"/>
          <w:szCs w:val="20"/>
          <w:color w:val="auto"/>
        </w:rPr>
      </w:pPr>
      <w:r>
        <w:rPr>
          <w:rFonts w:ascii="Arial" w:cs="Arial" w:eastAsia="Arial" w:hAnsi="Arial"/>
          <w:sz w:val="18"/>
          <w:szCs w:val="18"/>
          <w:color w:val="auto"/>
        </w:rPr>
        <w:t>The Company makes contributions to its funded qualified defined benefit pension plan as required by government regulation or as deemed appropriate by management after considering factors such as the fair value of plan assets, expected returns on such assets, and the present value of benefit obligations of the plan. The Company made voluntary contributions of $200 million to the qualified defined benefit pension plan in 2017. The Company did not make any contributions to the plan in 2019 or 2018. The Company is not required to make contributions to the qualified defined benefit plan in 2020, however, subject to the impact of actual events and circumstances that may occur in 2020, the Company may make contributions, but the amount of any such contributions has not been determined. The Company regularly funds the payment of benefit obligations for the supplemental defined benefit pension and postretirement benefit plans because such plans do not hold assets for investment. Payments made by the Company for supplemental pension benefits were $10 million and $15 million in 2019 and 2018, respectively. Payments made by the Company for postretirement benefits were $6 million and $7 million in 2019 and 2018, respectively. Payments for supplemental pension and other postretirement benefits for 2020 are not expected to differ from those made in 2019 by an amount that will be material to the Company’s consolidated financial position.</w:t>
      </w:r>
    </w:p>
    <w:p>
      <w:pPr>
        <w:spacing w:after="0" w:line="1" w:lineRule="exact"/>
        <w:rPr>
          <w:sz w:val="20"/>
          <w:szCs w:val="20"/>
          <w:color w:val="auto"/>
        </w:rPr>
      </w:pPr>
    </w:p>
    <w:p>
      <w:pPr>
        <w:ind w:right="480" w:firstLine="598"/>
        <w:spacing w:after="0" w:line="256" w:lineRule="auto"/>
        <w:rPr>
          <w:sz w:val="20"/>
          <w:szCs w:val="20"/>
          <w:color w:val="auto"/>
        </w:rPr>
      </w:pPr>
      <w:r>
        <w:rPr>
          <w:rFonts w:ascii="Arial" w:cs="Arial" w:eastAsia="Arial" w:hAnsi="Arial"/>
          <w:sz w:val="20"/>
          <w:szCs w:val="20"/>
          <w:color w:val="auto"/>
        </w:rPr>
        <w:t>Estimated benefits expected to be paid in future years related to the Company’s defined benefit pension and other postretirement benefits plans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restart"/>
          </w:tcPr>
          <w:p>
            <w:pPr>
              <w:jc w:val="right"/>
              <w:ind w:right="490"/>
              <w:spacing w:after="0"/>
              <w:rPr>
                <w:sz w:val="20"/>
                <w:szCs w:val="20"/>
                <w:color w:val="auto"/>
              </w:rPr>
            </w:pPr>
            <w:r>
              <w:rPr>
                <w:rFonts w:ascii="Arial" w:cs="Arial" w:eastAsia="Arial" w:hAnsi="Arial"/>
                <w:sz w:val="14"/>
                <w:szCs w:val="14"/>
                <w:b w:val="1"/>
                <w:bCs w:val="1"/>
                <w:color w:val="auto"/>
              </w:rPr>
              <w:t>Pension</w:t>
            </w:r>
          </w:p>
        </w:tc>
        <w:tc>
          <w:tcPr>
            <w:tcW w:w="30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5"/>
        </w:trPr>
        <w:tc>
          <w:tcPr>
            <w:tcW w:w="38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9"/>
              </w:rPr>
              <w:t>Postretirement</w:t>
            </w: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490"/>
              <w:spacing w:after="0"/>
              <w:rPr>
                <w:sz w:val="20"/>
                <w:szCs w:val="20"/>
                <w:color w:val="auto"/>
              </w:rPr>
            </w:pPr>
            <w:r>
              <w:rPr>
                <w:rFonts w:ascii="Arial" w:cs="Arial" w:eastAsia="Arial" w:hAnsi="Arial"/>
                <w:sz w:val="14"/>
                <w:szCs w:val="14"/>
                <w:b w:val="1"/>
                <w:bCs w:val="1"/>
                <w:color w:val="auto"/>
              </w:rPr>
              <w:t>Benefits</w:t>
            </w:r>
          </w:p>
        </w:tc>
        <w:tc>
          <w:tcPr>
            <w:tcW w:w="30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Benefits</w:t>
            </w: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740" w:type="dxa"/>
            <w:vAlign w:val="bottom"/>
            <w:tcBorders>
              <w:top w:val="single" w:sz="8" w:color="auto"/>
            </w:tcBorders>
            <w:gridSpan w:val="3"/>
          </w:tcPr>
          <w:p>
            <w:pPr>
              <w:jc w:val="right"/>
              <w:ind w:right="990"/>
              <w:spacing w:after="0" w:line="151"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880" w:type="dxa"/>
            <w:vAlign w:val="bottom"/>
            <w:shd w:val="clear" w:color="auto" w:fill="CFF0FC"/>
          </w:tcPr>
          <w:p>
            <w:pPr>
              <w:spacing w:after="0"/>
              <w:rPr>
                <w:sz w:val="20"/>
                <w:szCs w:val="20"/>
                <w:color w:val="auto"/>
              </w:rPr>
            </w:pPr>
            <w:r>
              <w:rPr>
                <w:rFonts w:ascii="Arial" w:cs="Arial" w:eastAsia="Arial" w:hAnsi="Arial"/>
                <w:sz w:val="20"/>
                <w:szCs w:val="20"/>
                <w:color w:val="auto"/>
              </w:rPr>
              <w:t>Year ending December 31:</w:t>
            </w:r>
          </w:p>
        </w:tc>
        <w:tc>
          <w:tcPr>
            <w:tcW w:w="4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80" w:type="dxa"/>
            <w:vAlign w:val="bottom"/>
          </w:tcPr>
          <w:p>
            <w:pPr>
              <w:ind w:left="240"/>
              <w:spacing w:after="0"/>
              <w:rPr>
                <w:sz w:val="20"/>
                <w:szCs w:val="20"/>
                <w:color w:val="auto"/>
              </w:rPr>
            </w:pPr>
            <w:r>
              <w:rPr>
                <w:rFonts w:ascii="Arial" w:cs="Arial" w:eastAsia="Arial" w:hAnsi="Arial"/>
                <w:sz w:val="20"/>
                <w:szCs w:val="20"/>
                <w:color w:val="auto"/>
              </w:rPr>
              <w:t>2020</w:t>
            </w:r>
          </w:p>
        </w:tc>
        <w:tc>
          <w:tcPr>
            <w:tcW w:w="47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50"/>
              <w:spacing w:after="0"/>
              <w:rPr>
                <w:sz w:val="20"/>
                <w:szCs w:val="20"/>
                <w:color w:val="auto"/>
              </w:rPr>
            </w:pPr>
            <w:r>
              <w:rPr>
                <w:rFonts w:ascii="Arial" w:cs="Arial" w:eastAsia="Arial" w:hAnsi="Arial"/>
                <w:sz w:val="20"/>
                <w:szCs w:val="20"/>
                <w:color w:val="auto"/>
              </w:rPr>
              <w:t>100,800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6,622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2021</w:t>
            </w:r>
          </w:p>
        </w:tc>
        <w:tc>
          <w:tcPr>
            <w:tcW w:w="4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20"/>
                <w:szCs w:val="20"/>
                <w:color w:val="auto"/>
              </w:rPr>
              <w:t>104,385</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80" w:type="dxa"/>
            <w:vAlign w:val="bottom"/>
          </w:tcPr>
          <w:p>
            <w:pPr>
              <w:ind w:left="240"/>
              <w:spacing w:after="0"/>
              <w:rPr>
                <w:sz w:val="20"/>
                <w:szCs w:val="20"/>
                <w:color w:val="auto"/>
              </w:rPr>
            </w:pPr>
            <w:r>
              <w:rPr>
                <w:rFonts w:ascii="Arial" w:cs="Arial" w:eastAsia="Arial" w:hAnsi="Arial"/>
                <w:sz w:val="20"/>
                <w:szCs w:val="20"/>
                <w:color w:val="auto"/>
              </w:rPr>
              <w:t>2022</w:t>
            </w:r>
          </w:p>
        </w:tc>
        <w:tc>
          <w:tcPr>
            <w:tcW w:w="4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20"/>
                <w:szCs w:val="20"/>
                <w:color w:val="auto"/>
              </w:rPr>
              <w:t>107,368</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3,972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2023</w:t>
            </w:r>
          </w:p>
        </w:tc>
        <w:tc>
          <w:tcPr>
            <w:tcW w:w="4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20"/>
                <w:szCs w:val="20"/>
                <w:color w:val="auto"/>
              </w:rPr>
              <w:t>111,990</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80" w:type="dxa"/>
            <w:vAlign w:val="bottom"/>
          </w:tcPr>
          <w:p>
            <w:pPr>
              <w:ind w:left="240"/>
              <w:spacing w:after="0"/>
              <w:rPr>
                <w:sz w:val="20"/>
                <w:szCs w:val="20"/>
                <w:color w:val="auto"/>
              </w:rPr>
            </w:pPr>
            <w:r>
              <w:rPr>
                <w:rFonts w:ascii="Arial" w:cs="Arial" w:eastAsia="Arial" w:hAnsi="Arial"/>
                <w:sz w:val="20"/>
                <w:szCs w:val="20"/>
                <w:color w:val="auto"/>
              </w:rPr>
              <w:t>2024</w:t>
            </w:r>
          </w:p>
        </w:tc>
        <w:tc>
          <w:tcPr>
            <w:tcW w:w="4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20"/>
                <w:szCs w:val="20"/>
                <w:color w:val="auto"/>
              </w:rPr>
              <w:t>115,962</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3,829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2025 through 2029</w:t>
            </w:r>
          </w:p>
        </w:tc>
        <w:tc>
          <w:tcPr>
            <w:tcW w:w="4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20"/>
                <w:szCs w:val="20"/>
                <w:color w:val="auto"/>
              </w:rPr>
              <w:t>619,663</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17,919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30"/>
        </w:trPr>
        <w:tc>
          <w:tcPr>
            <w:tcW w:w="3880" w:type="dxa"/>
            <w:vAlign w:val="bottom"/>
          </w:tcPr>
          <w:p>
            <w:pPr>
              <w:spacing w:after="0"/>
              <w:rPr>
                <w:sz w:val="24"/>
                <w:szCs w:val="24"/>
                <w:color w:val="auto"/>
              </w:rPr>
            </w:pPr>
          </w:p>
        </w:tc>
        <w:tc>
          <w:tcPr>
            <w:tcW w:w="4420" w:type="dxa"/>
            <w:vAlign w:val="bottom"/>
          </w:tcPr>
          <w:p>
            <w:pPr>
              <w:jc w:val="right"/>
              <w:ind w:right="2366"/>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880" w:type="dxa"/>
            <w:vAlign w:val="bottom"/>
            <w:tcBorders>
              <w:bottom w:val="single" w:sz="8" w:color="9A9A9A"/>
            </w:tcBorders>
          </w:tcPr>
          <w:p>
            <w:pPr>
              <w:spacing w:after="0"/>
              <w:rPr>
                <w:sz w:val="9"/>
                <w:szCs w:val="9"/>
                <w:color w:val="auto"/>
              </w:rPr>
            </w:pPr>
          </w:p>
        </w:tc>
        <w:tc>
          <w:tcPr>
            <w:tcW w:w="44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59" w:name="page160"/>
    <w:bookmarkEnd w:id="159"/>
    <w:p>
      <w:pPr>
        <w:jc w:val="both"/>
        <w:ind w:right="80" w:firstLine="598"/>
        <w:spacing w:after="0" w:line="252" w:lineRule="auto"/>
        <w:rPr>
          <w:sz w:val="20"/>
          <w:szCs w:val="20"/>
          <w:color w:val="auto"/>
        </w:rPr>
      </w:pPr>
      <w:r>
        <w:rPr>
          <w:rFonts w:ascii="Arial" w:cs="Arial" w:eastAsia="Arial" w:hAnsi="Arial"/>
          <w:sz w:val="20"/>
          <w:szCs w:val="20"/>
          <w:color w:val="auto"/>
        </w:rPr>
        <w:t>The Company has a retirement savings plan (“RSP”) that is a defined contribution plan in which eligible employees of the Company may defer up to 50% of qualified compensation via contributions to the plan. The Company makes an employer matching contribution in an amount equal to 75% of an employee’s contribution, up to 4.5% of the employee’s qualified compensation. Employees’ accounts, including employee contributions, employer matching contributions and accumulated earnings thereon, are at all times fully vested and nonforfeitable. Employee benefits expense resulting from the Company’s contributions to the RSP totaled $48 million, $43 million and $38 million in 2019, 2018 and 2017, respectively.</w:t>
      </w:r>
    </w:p>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7"/>
          <w:szCs w:val="17"/>
          <w:b w:val="1"/>
          <w:bCs w:val="1"/>
          <w:color w:val="auto"/>
        </w:rPr>
        <w:t>Income taxes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income tax expense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center"/>
              <w:ind w:left="449"/>
              <w:spacing w:after="0"/>
              <w:rPr>
                <w:sz w:val="20"/>
                <w:szCs w:val="20"/>
                <w:color w:val="auto"/>
              </w:rPr>
            </w:pPr>
            <w:r>
              <w:rPr>
                <w:rFonts w:ascii="Arial" w:cs="Arial" w:eastAsia="Arial" w:hAnsi="Arial"/>
                <w:sz w:val="14"/>
                <w:szCs w:val="14"/>
                <w:b w:val="1"/>
                <w:bCs w:val="1"/>
                <w:color w:val="auto"/>
                <w:w w:val="89"/>
              </w:rPr>
              <w:t>Year Ended December 31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1"/>
        </w:trPr>
        <w:tc>
          <w:tcPr>
            <w:tcW w:w="80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9"/>
              <w:spacing w:after="0" w:line="151"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07"/>
              <w:spacing w:after="0" w:line="151"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7"/>
              <w:spacing w:after="0" w:line="151"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r>
      <w:tr>
        <w:trPr>
          <w:trHeight w:val="151"/>
        </w:trPr>
        <w:tc>
          <w:tcPr>
            <w:tcW w:w="8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3"/>
          </w:tcPr>
          <w:p>
            <w:pPr>
              <w:jc w:val="center"/>
              <w:ind w:right="26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7"/>
        </w:trPr>
        <w:tc>
          <w:tcPr>
            <w:tcW w:w="8000" w:type="dxa"/>
            <w:vAlign w:val="bottom"/>
            <w:shd w:val="clear" w:color="auto" w:fill="CFF0FC"/>
          </w:tcPr>
          <w:p>
            <w:pPr>
              <w:spacing w:after="0"/>
              <w:rPr>
                <w:sz w:val="20"/>
                <w:szCs w:val="20"/>
                <w:color w:val="auto"/>
              </w:rPr>
            </w:pPr>
            <w:r>
              <w:rPr>
                <w:rFonts w:ascii="Arial" w:cs="Arial" w:eastAsia="Arial" w:hAnsi="Arial"/>
                <w:sz w:val="19"/>
                <w:szCs w:val="19"/>
                <w:color w:val="auto"/>
              </w:rPr>
              <w:t>Current</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8000" w:type="dxa"/>
            <w:vAlign w:val="bottom"/>
          </w:tcPr>
          <w:p>
            <w:pPr>
              <w:ind w:left="240"/>
              <w:spacing w:after="0"/>
              <w:rPr>
                <w:sz w:val="20"/>
                <w:szCs w:val="20"/>
                <w:color w:val="auto"/>
              </w:rPr>
            </w:pPr>
            <w:r>
              <w:rPr>
                <w:rFonts w:ascii="Arial" w:cs="Arial" w:eastAsia="Arial" w:hAnsi="Arial"/>
                <w:sz w:val="19"/>
                <w:szCs w:val="19"/>
                <w:color w:val="auto"/>
              </w:rPr>
              <w:t>Federal</w:t>
            </w:r>
          </w:p>
        </w:tc>
        <w:tc>
          <w:tcPr>
            <w:tcW w:w="200" w:type="dxa"/>
            <w:vAlign w:val="bottom"/>
          </w:tcPr>
          <w:p>
            <w:pPr>
              <w:jc w:val="right"/>
              <w:ind w:right="4"/>
              <w:spacing w:after="0"/>
              <w:rPr>
                <w:sz w:val="20"/>
                <w:szCs w:val="20"/>
                <w:color w:val="auto"/>
              </w:rPr>
            </w:pPr>
            <w:r>
              <w:rPr>
                <w:rFonts w:ascii="Arial" w:cs="Arial" w:eastAsia="Arial" w:hAnsi="Arial"/>
                <w:sz w:val="19"/>
                <w:szCs w:val="19"/>
                <w:color w:val="auto"/>
                <w:w w:val="75"/>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359,668</w:t>
            </w:r>
          </w:p>
        </w:tc>
        <w:tc>
          <w:tcPr>
            <w:tcW w:w="460" w:type="dxa"/>
            <w:vAlign w:val="bottom"/>
            <w:gridSpan w:val="2"/>
          </w:tcPr>
          <w:p>
            <w:pPr>
              <w:jc w:val="right"/>
              <w:ind w:right="17"/>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408,428</w:t>
            </w:r>
          </w:p>
        </w:tc>
        <w:tc>
          <w:tcPr>
            <w:tcW w:w="28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363,043</w:t>
            </w:r>
          </w:p>
        </w:tc>
        <w:tc>
          <w:tcPr>
            <w:tcW w:w="120" w:type="dxa"/>
            <w:vAlign w:val="bottom"/>
          </w:tcPr>
          <w:p>
            <w:pPr>
              <w:spacing w:after="0"/>
              <w:rPr>
                <w:sz w:val="20"/>
                <w:szCs w:val="20"/>
                <w:color w:val="auto"/>
              </w:rPr>
            </w:pPr>
          </w:p>
        </w:tc>
      </w:tr>
      <w:tr>
        <w:trPr>
          <w:trHeight w:val="237"/>
        </w:trPr>
        <w:tc>
          <w:tcPr>
            <w:tcW w:w="80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State and local</w:t>
            </w: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132,696</w:t>
            </w:r>
          </w:p>
        </w:tc>
        <w:tc>
          <w:tcPr>
            <w:tcW w:w="2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113,706</w:t>
            </w:r>
          </w:p>
        </w:tc>
        <w:tc>
          <w:tcPr>
            <w:tcW w:w="2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94,714</w:t>
            </w:r>
          </w:p>
        </w:tc>
        <w:tc>
          <w:tcPr>
            <w:tcW w:w="120" w:type="dxa"/>
            <w:vAlign w:val="bottom"/>
            <w:shd w:val="clear" w:color="auto" w:fill="CFF0FC"/>
          </w:tcPr>
          <w:p>
            <w:pPr>
              <w:spacing w:after="0"/>
              <w:rPr>
                <w:sz w:val="20"/>
                <w:szCs w:val="20"/>
                <w:color w:val="auto"/>
              </w:rPr>
            </w:pPr>
          </w:p>
        </w:tc>
      </w:tr>
      <w:tr>
        <w:trPr>
          <w:trHeight w:val="230"/>
        </w:trPr>
        <w:tc>
          <w:tcPr>
            <w:tcW w:w="8000" w:type="dxa"/>
            <w:vAlign w:val="bottom"/>
            <w:tcBorders>
              <w:bottom w:val="single" w:sz="8" w:color="CFF0FC"/>
            </w:tcBorders>
          </w:tcPr>
          <w:p>
            <w:pPr>
              <w:ind w:left="480"/>
              <w:spacing w:after="0"/>
              <w:rPr>
                <w:sz w:val="20"/>
                <w:szCs w:val="20"/>
                <w:color w:val="auto"/>
              </w:rPr>
            </w:pPr>
            <w:r>
              <w:rPr>
                <w:rFonts w:ascii="Arial" w:cs="Arial" w:eastAsia="Arial" w:hAnsi="Arial"/>
                <w:sz w:val="19"/>
                <w:szCs w:val="19"/>
                <w:color w:val="auto"/>
              </w:rPr>
              <w:t>Total current</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492,364</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522,134</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457,757</w:t>
            </w:r>
          </w:p>
        </w:tc>
        <w:tc>
          <w:tcPr>
            <w:tcW w:w="120" w:type="dxa"/>
            <w:vAlign w:val="bottom"/>
            <w:tcBorders>
              <w:bottom w:val="single" w:sz="8" w:color="CFF0FC"/>
            </w:tcBorders>
          </w:tcPr>
          <w:p>
            <w:pPr>
              <w:spacing w:after="0"/>
              <w:rPr>
                <w:sz w:val="19"/>
                <w:szCs w:val="19"/>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9"/>
                <w:szCs w:val="19"/>
                <w:color w:val="auto"/>
              </w:rPr>
              <w:t>Deferred</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7"/>
        </w:trPr>
        <w:tc>
          <w:tcPr>
            <w:tcW w:w="8000" w:type="dxa"/>
            <w:vAlign w:val="bottom"/>
          </w:tcPr>
          <w:p>
            <w:pPr>
              <w:ind w:left="240"/>
              <w:spacing w:after="0"/>
              <w:rPr>
                <w:sz w:val="20"/>
                <w:szCs w:val="20"/>
                <w:color w:val="auto"/>
              </w:rPr>
            </w:pPr>
            <w:r>
              <w:rPr>
                <w:rFonts w:ascii="Arial" w:cs="Arial" w:eastAsia="Arial" w:hAnsi="Arial"/>
                <w:sz w:val="19"/>
                <w:szCs w:val="19"/>
                <w:color w:val="auto"/>
              </w:rPr>
              <w:t>Federal</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40,769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9"/>
                <w:szCs w:val="19"/>
                <w:color w:val="auto"/>
              </w:rPr>
              <w:t>(12,780)</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367,308</w:t>
            </w:r>
          </w:p>
        </w:tc>
        <w:tc>
          <w:tcPr>
            <w:tcW w:w="120" w:type="dxa"/>
            <w:vAlign w:val="bottom"/>
          </w:tcPr>
          <w:p>
            <w:pPr>
              <w:spacing w:after="0"/>
              <w:rPr>
                <w:sz w:val="20"/>
                <w:szCs w:val="20"/>
                <w:color w:val="auto"/>
              </w:rPr>
            </w:pPr>
          </w:p>
        </w:tc>
      </w:tr>
      <w:tr>
        <w:trPr>
          <w:trHeight w:val="237"/>
        </w:trPr>
        <w:tc>
          <w:tcPr>
            <w:tcW w:w="80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State and local</w:t>
            </w: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16,779</w:t>
            </w:r>
          </w:p>
        </w:tc>
        <w:tc>
          <w:tcPr>
            <w:tcW w:w="2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28,637</w:t>
            </w:r>
          </w:p>
        </w:tc>
        <w:tc>
          <w:tcPr>
            <w:tcW w:w="2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33,482</w:t>
            </w:r>
          </w:p>
        </w:tc>
        <w:tc>
          <w:tcPr>
            <w:tcW w:w="120" w:type="dxa"/>
            <w:vAlign w:val="bottom"/>
            <w:shd w:val="clear" w:color="auto" w:fill="CFF0FC"/>
          </w:tcPr>
          <w:p>
            <w:pPr>
              <w:spacing w:after="0"/>
              <w:rPr>
                <w:sz w:val="20"/>
                <w:szCs w:val="20"/>
                <w:color w:val="auto"/>
              </w:rPr>
            </w:pPr>
          </w:p>
        </w:tc>
      </w:tr>
      <w:tr>
        <w:trPr>
          <w:trHeight w:val="230"/>
        </w:trPr>
        <w:tc>
          <w:tcPr>
            <w:tcW w:w="8000" w:type="dxa"/>
            <w:vAlign w:val="bottom"/>
            <w:tcBorders>
              <w:bottom w:val="single" w:sz="8" w:color="CFF0FC"/>
            </w:tcBorders>
          </w:tcPr>
          <w:p>
            <w:pPr>
              <w:ind w:left="480"/>
              <w:spacing w:after="0"/>
              <w:rPr>
                <w:sz w:val="20"/>
                <w:szCs w:val="20"/>
                <w:color w:val="auto"/>
              </w:rPr>
            </w:pPr>
            <w:r>
              <w:rPr>
                <w:rFonts w:ascii="Arial" w:cs="Arial" w:eastAsia="Arial" w:hAnsi="Arial"/>
                <w:sz w:val="19"/>
                <w:szCs w:val="19"/>
                <w:color w:val="auto"/>
              </w:rPr>
              <w:t>Total deferred</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57,548</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15,857</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400,790</w:t>
            </w:r>
          </w:p>
        </w:tc>
        <w:tc>
          <w:tcPr>
            <w:tcW w:w="120" w:type="dxa"/>
            <w:vAlign w:val="bottom"/>
            <w:tcBorders>
              <w:bottom w:val="single" w:sz="8" w:color="CFF0FC"/>
            </w:tcBorders>
          </w:tcPr>
          <w:p>
            <w:pPr>
              <w:spacing w:after="0"/>
              <w:rPr>
                <w:sz w:val="19"/>
                <w:szCs w:val="19"/>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9"/>
                <w:szCs w:val="19"/>
                <w:color w:val="auto"/>
              </w:rPr>
              <w:t>Amortization of investments in qualified affordable housing projects</w:t>
            </w: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68,200</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52,169</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57,009</w:t>
            </w: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480"/>
              <w:spacing w:after="0"/>
              <w:rPr>
                <w:sz w:val="20"/>
                <w:szCs w:val="20"/>
                <w:color w:val="auto"/>
              </w:rPr>
            </w:pPr>
            <w:r>
              <w:rPr>
                <w:rFonts w:ascii="Arial" w:cs="Arial" w:eastAsia="Arial" w:hAnsi="Arial"/>
                <w:sz w:val="19"/>
                <w:szCs w:val="19"/>
                <w:color w:val="auto"/>
              </w:rPr>
              <w:t>Total income taxes applicable to pre-tax income</w:t>
            </w: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w w:val="7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618,112</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9"/>
                <w:szCs w:val="19"/>
                <w:color w:val="auto"/>
                <w:w w:val="7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590,160</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915,556</w:t>
            </w:r>
          </w:p>
        </w:tc>
        <w:tc>
          <w:tcPr>
            <w:tcW w:w="12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The Company files a consolidated federal income tax return reflecting taxable income earned by all domestic subsidiaries. In prior years, applicable federal tax law allowed certain financial institutions the option of deducting as bad debt expense for tax purposes amounts in excess of actual losses. In accordance with GAAP, such financial institutions were not required to provide deferred income taxes on such excess. Recapture of the excess tax bad debt reserve established under the previously allowed method will result in taxable income if M&amp;T Bank fails to maintain bank status as defined in the Internal Revenue Code or charges are made to the reserve for other than bad debt losses. At December 31, 2019, M&amp;T Bank’s tax bad debt reserve for which no federal income taxes have been provided was $137 million. No actions are planned that would cause this reserve to become wholly or partially taxable.</w:t>
      </w:r>
    </w:p>
    <w:p>
      <w:pPr>
        <w:spacing w:after="0" w:line="1" w:lineRule="exact"/>
        <w:rPr>
          <w:sz w:val="20"/>
          <w:szCs w:val="20"/>
          <w:color w:val="auto"/>
        </w:rPr>
      </w:pPr>
    </w:p>
    <w:p>
      <w:pPr>
        <w:ind w:right="340" w:firstLine="598"/>
        <w:spacing w:after="0" w:line="246" w:lineRule="auto"/>
        <w:rPr>
          <w:sz w:val="20"/>
          <w:szCs w:val="20"/>
          <w:color w:val="auto"/>
        </w:rPr>
      </w:pPr>
      <w:r>
        <w:rPr>
          <w:rFonts w:ascii="Arial" w:cs="Arial" w:eastAsia="Arial" w:hAnsi="Arial"/>
          <w:sz w:val="20"/>
          <w:szCs w:val="20"/>
          <w:color w:val="auto"/>
        </w:rPr>
        <w:t>Income taxes attributable to gains or losses on bank investment securities were an expense of $5 million in 2019 and $7 million in 2017, and a benefit of $2 million in 2018. No alternative minimum tax expense was recognized in 2017.</w:t>
      </w:r>
    </w:p>
    <w:p>
      <w:pPr>
        <w:spacing w:after="0" w:line="2" w:lineRule="exact"/>
        <w:rPr>
          <w:sz w:val="20"/>
          <w:szCs w:val="20"/>
          <w:color w:val="auto"/>
        </w:rPr>
      </w:pPr>
    </w:p>
    <w:p>
      <w:pPr>
        <w:ind w:right="100" w:firstLine="598"/>
        <w:spacing w:after="0" w:line="263" w:lineRule="auto"/>
        <w:rPr>
          <w:sz w:val="20"/>
          <w:szCs w:val="20"/>
          <w:color w:val="auto"/>
        </w:rPr>
      </w:pPr>
      <w:r>
        <w:rPr>
          <w:rFonts w:ascii="Arial" w:cs="Arial" w:eastAsia="Arial" w:hAnsi="Arial"/>
          <w:sz w:val="19"/>
          <w:szCs w:val="19"/>
          <w:color w:val="auto"/>
        </w:rPr>
        <w:t>The Tax Cuts and Jobs Act (“Tax Act”) was signed into law on December 22, 2017, reducing the corporate federal income tax rate from 35% to 21% effective January 1, 2018 and making other changes to U.S. corporate income tax laws, including eliminating the alternative minimum tax as of January 1, 2018. GAAP requires that the impact of the provisions of the Tax Act be accounted for in the period of enactment. Accordingly, the incremental income tax expense recorded by the Company in the fourth quarter of 2017 related to the Tax Act was $85 million. That additional expense was largely attributable to the reduction in carrying value of net deferred tax assets reflecting lower future tax benefits resulting from the lower corporate income tax rate. During 2018 the Company received approval from the Internal Revenue Service to change the timing of recognition of certain loan fees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60" w:name="page161"/>
    <w:bookmarkEnd w:id="160"/>
    <w:p>
      <w:pPr>
        <w:ind w:right="80"/>
        <w:spacing w:after="0" w:line="256" w:lineRule="auto"/>
        <w:rPr>
          <w:sz w:val="20"/>
          <w:szCs w:val="20"/>
          <w:color w:val="auto"/>
        </w:rPr>
      </w:pPr>
      <w:r>
        <w:rPr>
          <w:rFonts w:ascii="Arial" w:cs="Arial" w:eastAsia="Arial" w:hAnsi="Arial"/>
          <w:sz w:val="20"/>
          <w:szCs w:val="20"/>
          <w:color w:val="auto"/>
        </w:rPr>
        <w:t>retroactive to 2017. Given the reduction of the federal income tax rate, the change resulted in a $15 million reduction of income tax expense in 2018.</w:t>
      </w:r>
    </w:p>
    <w:p>
      <w:pPr>
        <w:ind w:left="600"/>
        <w:spacing w:after="0"/>
        <w:rPr>
          <w:sz w:val="20"/>
          <w:szCs w:val="20"/>
          <w:color w:val="auto"/>
        </w:rPr>
      </w:pPr>
      <w:r>
        <w:rPr>
          <w:rFonts w:ascii="Arial" w:cs="Arial" w:eastAsia="Arial" w:hAnsi="Arial"/>
          <w:sz w:val="18"/>
          <w:szCs w:val="18"/>
          <w:color w:val="auto"/>
        </w:rPr>
        <w:t>Total income taxes differed from the amount computed by applying the statutory federal income tax rate to pre-tax income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4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90"/>
              </w:rPr>
              <w:t>Year Ended December 31</w:t>
            </w:r>
          </w:p>
        </w:tc>
      </w:tr>
      <w:tr>
        <w:trPr>
          <w:trHeight w:val="151"/>
        </w:trPr>
        <w:tc>
          <w:tcPr>
            <w:tcW w:w="67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ind w:right="175"/>
              <w:spacing w:after="0" w:line="151"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gridSpan w:val="2"/>
          </w:tcPr>
          <w:p>
            <w:pPr>
              <w:jc w:val="center"/>
              <w:spacing w:after="0" w:line="151"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179"/>
              <w:spacing w:after="0" w:line="151"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r>
      <w:tr>
        <w:trPr>
          <w:trHeight w:val="176"/>
        </w:trPr>
        <w:tc>
          <w:tcPr>
            <w:tcW w:w="6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82"/>
        </w:trPr>
        <w:tc>
          <w:tcPr>
            <w:tcW w:w="6760" w:type="dxa"/>
            <w:vAlign w:val="bottom"/>
          </w:tcPr>
          <w:p>
            <w:pPr>
              <w:spacing w:after="0"/>
              <w:rPr>
                <w:sz w:val="20"/>
                <w:szCs w:val="20"/>
                <w:color w:val="auto"/>
              </w:rPr>
            </w:pPr>
            <w:r>
              <w:rPr>
                <w:rFonts w:ascii="Arial" w:cs="Arial" w:eastAsia="Arial" w:hAnsi="Arial"/>
                <w:sz w:val="20"/>
                <w:szCs w:val="20"/>
                <w:color w:val="auto"/>
              </w:rPr>
              <w:t>Income taxes at statutory federal income tax rate</w:t>
            </w:r>
          </w:p>
        </w:tc>
        <w:tc>
          <w:tcPr>
            <w:tcW w:w="2420" w:type="dxa"/>
            <w:vAlign w:val="bottom"/>
            <w:gridSpan w:val="2"/>
          </w:tcPr>
          <w:p>
            <w:pPr>
              <w:jc w:val="right"/>
              <w:spacing w:after="0"/>
              <w:rPr>
                <w:sz w:val="20"/>
                <w:szCs w:val="20"/>
                <w:color w:val="auto"/>
              </w:rPr>
            </w:pPr>
            <w:r>
              <w:rPr>
                <w:rFonts w:ascii="Arial" w:cs="Arial" w:eastAsia="Arial" w:hAnsi="Arial"/>
                <w:sz w:val="20"/>
                <w:szCs w:val="20"/>
                <w:color w:val="auto"/>
              </w:rPr>
              <w:t>$ 534,925</w:t>
            </w:r>
          </w:p>
        </w:tc>
        <w:tc>
          <w:tcPr>
            <w:tcW w:w="1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color w:val="auto"/>
                <w:w w:val="98"/>
              </w:rPr>
              <w:t>$ 526,730</w:t>
            </w: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w w:val="98"/>
              </w:rPr>
              <w:t>$ 813,352</w:t>
            </w:r>
          </w:p>
        </w:tc>
        <w:tc>
          <w:tcPr>
            <w:tcW w:w="120" w:type="dxa"/>
            <w:vAlign w:val="bottom"/>
          </w:tcPr>
          <w:p>
            <w:pPr>
              <w:spacing w:after="0"/>
              <w:rPr>
                <w:sz w:val="24"/>
                <w:szCs w:val="24"/>
                <w:color w:val="auto"/>
              </w:rPr>
            </w:pPr>
          </w:p>
        </w:tc>
      </w:tr>
      <w:tr>
        <w:trPr>
          <w:trHeight w:val="250"/>
        </w:trPr>
        <w:tc>
          <w:tcPr>
            <w:tcW w:w="6760" w:type="dxa"/>
            <w:vAlign w:val="bottom"/>
            <w:shd w:val="clear" w:color="auto" w:fill="CFF0FC"/>
          </w:tcPr>
          <w:p>
            <w:pPr>
              <w:spacing w:after="0"/>
              <w:rPr>
                <w:sz w:val="20"/>
                <w:szCs w:val="20"/>
                <w:color w:val="auto"/>
              </w:rPr>
            </w:pPr>
            <w:r>
              <w:rPr>
                <w:rFonts w:ascii="Arial" w:cs="Arial" w:eastAsia="Arial" w:hAnsi="Arial"/>
                <w:sz w:val="20"/>
                <w:szCs w:val="20"/>
                <w:color w:val="auto"/>
              </w:rPr>
              <w:t>Increase (decrease) in taxes:</w:t>
            </w:r>
          </w:p>
        </w:tc>
        <w:tc>
          <w:tcPr>
            <w:tcW w:w="16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6760" w:type="dxa"/>
            <w:vAlign w:val="bottom"/>
          </w:tcPr>
          <w:p>
            <w:pPr>
              <w:ind w:left="240"/>
              <w:spacing w:after="0"/>
              <w:rPr>
                <w:sz w:val="20"/>
                <w:szCs w:val="20"/>
                <w:color w:val="auto"/>
              </w:rPr>
            </w:pPr>
            <w:r>
              <w:rPr>
                <w:rFonts w:ascii="Arial" w:cs="Arial" w:eastAsia="Arial" w:hAnsi="Arial"/>
                <w:sz w:val="20"/>
                <w:szCs w:val="20"/>
                <w:color w:val="auto"/>
              </w:rPr>
              <w:t>Tax-exempt income</w:t>
            </w:r>
          </w:p>
        </w:tc>
        <w:tc>
          <w:tcPr>
            <w:tcW w:w="2560" w:type="dxa"/>
            <w:vAlign w:val="bottom"/>
            <w:gridSpan w:val="3"/>
          </w:tcPr>
          <w:p>
            <w:pPr>
              <w:jc w:val="right"/>
              <w:ind w:right="60"/>
              <w:spacing w:after="0"/>
              <w:rPr>
                <w:sz w:val="20"/>
                <w:szCs w:val="20"/>
                <w:color w:val="auto"/>
              </w:rPr>
            </w:pPr>
            <w:r>
              <w:rPr>
                <w:rFonts w:ascii="Arial" w:cs="Arial" w:eastAsia="Arial" w:hAnsi="Arial"/>
                <w:sz w:val="20"/>
                <w:szCs w:val="20"/>
                <w:color w:val="auto"/>
              </w:rPr>
              <w:t>(27,319)</w:t>
            </w:r>
          </w:p>
        </w:tc>
        <w:tc>
          <w:tcPr>
            <w:tcW w:w="1080" w:type="dxa"/>
            <w:vAlign w:val="bottom"/>
            <w:gridSpan w:val="3"/>
          </w:tcPr>
          <w:p>
            <w:pPr>
              <w:jc w:val="right"/>
              <w:ind w:right="100"/>
              <w:spacing w:after="0"/>
              <w:rPr>
                <w:sz w:val="20"/>
                <w:szCs w:val="20"/>
                <w:color w:val="auto"/>
              </w:rPr>
            </w:pPr>
            <w:r>
              <w:rPr>
                <w:rFonts w:ascii="Arial" w:cs="Arial" w:eastAsia="Arial" w:hAnsi="Arial"/>
                <w:sz w:val="20"/>
                <w:szCs w:val="20"/>
                <w:color w:val="auto"/>
              </w:rPr>
              <w:t>(26,186)</w:t>
            </w:r>
          </w:p>
        </w:tc>
        <w:tc>
          <w:tcPr>
            <w:tcW w:w="1020" w:type="dxa"/>
            <w:vAlign w:val="bottom"/>
            <w:gridSpan w:val="3"/>
          </w:tcPr>
          <w:p>
            <w:pPr>
              <w:jc w:val="right"/>
              <w:ind w:right="40"/>
              <w:spacing w:after="0"/>
              <w:rPr>
                <w:sz w:val="20"/>
                <w:szCs w:val="20"/>
                <w:color w:val="auto"/>
              </w:rPr>
            </w:pPr>
            <w:r>
              <w:rPr>
                <w:rFonts w:ascii="Arial" w:cs="Arial" w:eastAsia="Arial" w:hAnsi="Arial"/>
                <w:sz w:val="20"/>
                <w:szCs w:val="20"/>
                <w:color w:val="auto"/>
              </w:rPr>
              <w:t>(40,778)</w:t>
            </w:r>
          </w:p>
        </w:tc>
      </w:tr>
      <w:tr>
        <w:trPr>
          <w:trHeight w:val="250"/>
        </w:trPr>
        <w:tc>
          <w:tcPr>
            <w:tcW w:w="67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State and local income taxes, net of federal income tax effect</w:t>
            </w:r>
          </w:p>
        </w:tc>
        <w:tc>
          <w:tcPr>
            <w:tcW w:w="24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118,085</w:t>
            </w:r>
          </w:p>
        </w:tc>
        <w:tc>
          <w:tcPr>
            <w:tcW w:w="1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112,451</w:t>
            </w: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83,327</w:t>
            </w:r>
          </w:p>
        </w:tc>
        <w:tc>
          <w:tcPr>
            <w:tcW w:w="120" w:type="dxa"/>
            <w:vAlign w:val="bottom"/>
            <w:shd w:val="clear" w:color="auto" w:fill="CFF0FC"/>
          </w:tcPr>
          <w:p>
            <w:pPr>
              <w:spacing w:after="0"/>
              <w:rPr>
                <w:sz w:val="21"/>
                <w:szCs w:val="21"/>
                <w:color w:val="auto"/>
              </w:rPr>
            </w:pPr>
          </w:p>
        </w:tc>
      </w:tr>
      <w:tr>
        <w:trPr>
          <w:trHeight w:val="250"/>
        </w:trPr>
        <w:tc>
          <w:tcPr>
            <w:tcW w:w="6760" w:type="dxa"/>
            <w:vAlign w:val="bottom"/>
          </w:tcPr>
          <w:p>
            <w:pPr>
              <w:ind w:left="240"/>
              <w:spacing w:after="0"/>
              <w:rPr>
                <w:sz w:val="20"/>
                <w:szCs w:val="20"/>
                <w:color w:val="auto"/>
              </w:rPr>
            </w:pPr>
            <w:r>
              <w:rPr>
                <w:rFonts w:ascii="Arial" w:cs="Arial" w:eastAsia="Arial" w:hAnsi="Arial"/>
                <w:sz w:val="20"/>
                <w:szCs w:val="20"/>
                <w:color w:val="auto"/>
              </w:rPr>
              <w:t>Qualified affordable housing project federal tax credits, net</w:t>
            </w:r>
          </w:p>
        </w:tc>
        <w:tc>
          <w:tcPr>
            <w:tcW w:w="2560" w:type="dxa"/>
            <w:vAlign w:val="bottom"/>
            <w:gridSpan w:val="3"/>
          </w:tcPr>
          <w:p>
            <w:pPr>
              <w:jc w:val="right"/>
              <w:ind w:right="60"/>
              <w:spacing w:after="0"/>
              <w:rPr>
                <w:sz w:val="20"/>
                <w:szCs w:val="20"/>
                <w:color w:val="auto"/>
              </w:rPr>
            </w:pPr>
            <w:r>
              <w:rPr>
                <w:rFonts w:ascii="Arial" w:cs="Arial" w:eastAsia="Arial" w:hAnsi="Arial"/>
                <w:sz w:val="20"/>
                <w:szCs w:val="20"/>
                <w:color w:val="auto"/>
              </w:rPr>
              <w:t>(15,324)</w:t>
            </w:r>
          </w:p>
        </w:tc>
        <w:tc>
          <w:tcPr>
            <w:tcW w:w="1080" w:type="dxa"/>
            <w:vAlign w:val="bottom"/>
            <w:gridSpan w:val="3"/>
          </w:tcPr>
          <w:p>
            <w:pPr>
              <w:jc w:val="right"/>
              <w:ind w:right="100"/>
              <w:spacing w:after="0"/>
              <w:rPr>
                <w:sz w:val="20"/>
                <w:szCs w:val="20"/>
                <w:color w:val="auto"/>
              </w:rPr>
            </w:pPr>
            <w:r>
              <w:rPr>
                <w:rFonts w:ascii="Arial" w:cs="Arial" w:eastAsia="Arial" w:hAnsi="Arial"/>
                <w:sz w:val="20"/>
                <w:szCs w:val="20"/>
                <w:color w:val="auto"/>
              </w:rPr>
              <w:t>(12,240)</w:t>
            </w:r>
          </w:p>
        </w:tc>
        <w:tc>
          <w:tcPr>
            <w:tcW w:w="1020" w:type="dxa"/>
            <w:vAlign w:val="bottom"/>
            <w:gridSpan w:val="3"/>
          </w:tcPr>
          <w:p>
            <w:pPr>
              <w:jc w:val="right"/>
              <w:ind w:right="40"/>
              <w:spacing w:after="0"/>
              <w:rPr>
                <w:sz w:val="20"/>
                <w:szCs w:val="20"/>
                <w:color w:val="auto"/>
              </w:rPr>
            </w:pPr>
            <w:r>
              <w:rPr>
                <w:rFonts w:ascii="Arial" w:cs="Arial" w:eastAsia="Arial" w:hAnsi="Arial"/>
                <w:sz w:val="20"/>
                <w:szCs w:val="20"/>
                <w:color w:val="auto"/>
              </w:rPr>
              <w:t>(16,015)</w:t>
            </w:r>
          </w:p>
        </w:tc>
      </w:tr>
      <w:tr>
        <w:trPr>
          <w:trHeight w:val="250"/>
        </w:trPr>
        <w:tc>
          <w:tcPr>
            <w:tcW w:w="67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Initial impact of enactment of Tax Act</w:t>
            </w:r>
          </w:p>
        </w:tc>
        <w:tc>
          <w:tcPr>
            <w:tcW w:w="16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85,431</w:t>
            </w:r>
          </w:p>
        </w:tc>
        <w:tc>
          <w:tcPr>
            <w:tcW w:w="120" w:type="dxa"/>
            <w:vAlign w:val="bottom"/>
            <w:shd w:val="clear" w:color="auto" w:fill="CFF0FC"/>
          </w:tcPr>
          <w:p>
            <w:pPr>
              <w:spacing w:after="0"/>
              <w:rPr>
                <w:sz w:val="21"/>
                <w:szCs w:val="21"/>
                <w:color w:val="auto"/>
              </w:rPr>
            </w:pPr>
          </w:p>
        </w:tc>
      </w:tr>
      <w:tr>
        <w:trPr>
          <w:trHeight w:val="250"/>
        </w:trPr>
        <w:tc>
          <w:tcPr>
            <w:tcW w:w="6760" w:type="dxa"/>
            <w:vAlign w:val="bottom"/>
          </w:tcPr>
          <w:p>
            <w:pPr>
              <w:ind w:left="240"/>
              <w:spacing w:after="0"/>
              <w:rPr>
                <w:sz w:val="20"/>
                <w:szCs w:val="20"/>
                <w:color w:val="auto"/>
              </w:rPr>
            </w:pPr>
            <w:r>
              <w:rPr>
                <w:rFonts w:ascii="Arial" w:cs="Arial" w:eastAsia="Arial" w:hAnsi="Arial"/>
                <w:sz w:val="20"/>
                <w:szCs w:val="20"/>
                <w:color w:val="auto"/>
              </w:rPr>
              <w:t>Other</w:t>
            </w:r>
          </w:p>
        </w:tc>
        <w:tc>
          <w:tcPr>
            <w:tcW w:w="2420" w:type="dxa"/>
            <w:vAlign w:val="bottom"/>
            <w:gridSpan w:val="2"/>
          </w:tcPr>
          <w:p>
            <w:pPr>
              <w:jc w:val="right"/>
              <w:spacing w:after="0"/>
              <w:rPr>
                <w:sz w:val="20"/>
                <w:szCs w:val="20"/>
                <w:color w:val="auto"/>
              </w:rPr>
            </w:pPr>
            <w:r>
              <w:rPr>
                <w:rFonts w:ascii="Arial" w:cs="Arial" w:eastAsia="Arial" w:hAnsi="Arial"/>
                <w:sz w:val="20"/>
                <w:szCs w:val="20"/>
                <w:color w:val="auto"/>
              </w:rPr>
              <w:t>7,745</w:t>
            </w:r>
          </w:p>
        </w:tc>
        <w:tc>
          <w:tcPr>
            <w:tcW w:w="14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20"/>
                <w:szCs w:val="20"/>
                <w:color w:val="auto"/>
              </w:rPr>
              <w:t>(10,595)</w:t>
            </w:r>
          </w:p>
        </w:tc>
        <w:tc>
          <w:tcPr>
            <w:tcW w:w="1020" w:type="dxa"/>
            <w:vAlign w:val="bottom"/>
            <w:gridSpan w:val="3"/>
          </w:tcPr>
          <w:p>
            <w:pPr>
              <w:jc w:val="right"/>
              <w:ind w:right="40"/>
              <w:spacing w:after="0"/>
              <w:rPr>
                <w:sz w:val="20"/>
                <w:szCs w:val="20"/>
                <w:color w:val="auto"/>
              </w:rPr>
            </w:pPr>
            <w:r>
              <w:rPr>
                <w:rFonts w:ascii="Arial" w:cs="Arial" w:eastAsia="Arial" w:hAnsi="Arial"/>
                <w:sz w:val="20"/>
                <w:szCs w:val="20"/>
                <w:color w:val="auto"/>
              </w:rPr>
              <w:t>(9,761)</w:t>
            </w:r>
          </w:p>
        </w:tc>
      </w:tr>
      <w:tr>
        <w:trPr>
          <w:trHeight w:val="243"/>
        </w:trPr>
        <w:tc>
          <w:tcPr>
            <w:tcW w:w="6760" w:type="dxa"/>
            <w:vAlign w:val="bottom"/>
            <w:tcBorders>
              <w:top w:val="single" w:sz="8" w:color="CFF0FC"/>
              <w:bottom w:val="single" w:sz="8" w:color="CFF0FC"/>
            </w:tcBorders>
            <w:shd w:val="clear" w:color="auto" w:fill="CFF0FC"/>
          </w:tcPr>
          <w:p>
            <w:pPr>
              <w:spacing w:after="0"/>
              <w:rPr>
                <w:sz w:val="21"/>
                <w:szCs w:val="21"/>
                <w:color w:val="auto"/>
              </w:rPr>
            </w:pPr>
          </w:p>
        </w:tc>
        <w:tc>
          <w:tcPr>
            <w:tcW w:w="1620" w:type="dxa"/>
            <w:vAlign w:val="bottom"/>
            <w:tcBorders>
              <w:top w:val="single" w:sz="8" w:color="CFF0FC"/>
              <w:bottom w:val="single" w:sz="8" w:color="CFF0FC"/>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7"/>
              </w:rPr>
              <w:t>$ 618,112</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7"/>
              </w:rPr>
              <w:t>$ 590,160</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9"/>
              </w:rPr>
              <w:t>$ 915,556</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20"/>
        </w:trPr>
        <w:tc>
          <w:tcPr>
            <w:tcW w:w="6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Deferred tax assets (liabilities) were comprised of the following at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76"/>
        </w:trPr>
        <w:tc>
          <w:tcPr>
            <w:tcW w:w="7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82"/>
        </w:trPr>
        <w:tc>
          <w:tcPr>
            <w:tcW w:w="7200" w:type="dxa"/>
            <w:vAlign w:val="bottom"/>
          </w:tcPr>
          <w:p>
            <w:pPr>
              <w:spacing w:after="0"/>
              <w:rPr>
                <w:sz w:val="20"/>
                <w:szCs w:val="20"/>
                <w:color w:val="auto"/>
              </w:rPr>
            </w:pPr>
            <w:r>
              <w:rPr>
                <w:rFonts w:ascii="Arial" w:cs="Arial" w:eastAsia="Arial" w:hAnsi="Arial"/>
                <w:sz w:val="20"/>
                <w:szCs w:val="20"/>
                <w:color w:val="auto"/>
              </w:rPr>
              <w:t>Losses on loans and other assets</w:t>
            </w:r>
          </w:p>
        </w:tc>
        <w:tc>
          <w:tcPr>
            <w:tcW w:w="280" w:type="dxa"/>
            <w:vAlign w:val="bottom"/>
          </w:tcPr>
          <w:p>
            <w:pPr>
              <w:jc w:val="right"/>
              <w:ind w:right="79"/>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309,523</w:t>
            </w:r>
          </w:p>
        </w:tc>
        <w:tc>
          <w:tcPr>
            <w:tcW w:w="1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322,818</w:t>
            </w:r>
          </w:p>
        </w:tc>
        <w:tc>
          <w:tcPr>
            <w:tcW w:w="22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20"/>
                <w:szCs w:val="20"/>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345,609</w:t>
            </w:r>
          </w:p>
        </w:tc>
        <w:tc>
          <w:tcPr>
            <w:tcW w:w="100" w:type="dxa"/>
            <w:vAlign w:val="bottom"/>
          </w:tcPr>
          <w:p>
            <w:pPr>
              <w:spacing w:after="0"/>
              <w:rPr>
                <w:sz w:val="24"/>
                <w:szCs w:val="24"/>
                <w:color w:val="auto"/>
              </w:rPr>
            </w:pPr>
          </w:p>
        </w:tc>
      </w:tr>
      <w:tr>
        <w:trPr>
          <w:trHeight w:val="250"/>
        </w:trPr>
        <w:tc>
          <w:tcPr>
            <w:tcW w:w="7200" w:type="dxa"/>
            <w:vAlign w:val="bottom"/>
            <w:shd w:val="clear" w:color="auto" w:fill="CFF0FC"/>
          </w:tcPr>
          <w:p>
            <w:pPr>
              <w:spacing w:after="0"/>
              <w:rPr>
                <w:sz w:val="20"/>
                <w:szCs w:val="20"/>
                <w:color w:val="auto"/>
              </w:rPr>
            </w:pPr>
            <w:r>
              <w:rPr>
                <w:rFonts w:ascii="Arial" w:cs="Arial" w:eastAsia="Arial" w:hAnsi="Arial"/>
                <w:sz w:val="20"/>
                <w:szCs w:val="20"/>
                <w:color w:val="auto"/>
              </w:rPr>
              <w:t>Operating lease liabilities</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128,178</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50"/>
        </w:trPr>
        <w:tc>
          <w:tcPr>
            <w:tcW w:w="7200" w:type="dxa"/>
            <w:vAlign w:val="bottom"/>
          </w:tcPr>
          <w:p>
            <w:pPr>
              <w:spacing w:after="0"/>
              <w:rPr>
                <w:sz w:val="20"/>
                <w:szCs w:val="20"/>
                <w:color w:val="auto"/>
              </w:rPr>
            </w:pPr>
            <w:r>
              <w:rPr>
                <w:rFonts w:ascii="Arial" w:cs="Arial" w:eastAsia="Arial" w:hAnsi="Arial"/>
                <w:sz w:val="20"/>
                <w:szCs w:val="20"/>
                <w:color w:val="auto"/>
              </w:rPr>
              <w:t>Retirement benefits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55,048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30,057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45,322</w:t>
            </w:r>
          </w:p>
        </w:tc>
        <w:tc>
          <w:tcPr>
            <w:tcW w:w="100" w:type="dxa"/>
            <w:vAlign w:val="bottom"/>
          </w:tcPr>
          <w:p>
            <w:pPr>
              <w:spacing w:after="0"/>
              <w:rPr>
                <w:sz w:val="21"/>
                <w:szCs w:val="21"/>
                <w:color w:val="auto"/>
              </w:rPr>
            </w:pPr>
          </w:p>
        </w:tc>
      </w:tr>
      <w:tr>
        <w:trPr>
          <w:trHeight w:val="250"/>
        </w:trPr>
        <w:tc>
          <w:tcPr>
            <w:tcW w:w="7200" w:type="dxa"/>
            <w:vAlign w:val="bottom"/>
            <w:shd w:val="clear" w:color="auto" w:fill="CFF0FC"/>
          </w:tcPr>
          <w:p>
            <w:pPr>
              <w:spacing w:after="0"/>
              <w:rPr>
                <w:sz w:val="20"/>
                <w:szCs w:val="20"/>
                <w:color w:val="auto"/>
              </w:rPr>
            </w:pPr>
            <w:r>
              <w:rPr>
                <w:rFonts w:ascii="Arial" w:cs="Arial" w:eastAsia="Arial" w:hAnsi="Arial"/>
                <w:sz w:val="20"/>
                <w:szCs w:val="20"/>
                <w:color w:val="auto"/>
              </w:rPr>
              <w:t>Postretirement and other employee benefits</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24,023</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23,563</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26,009</w:t>
            </w:r>
          </w:p>
        </w:tc>
        <w:tc>
          <w:tcPr>
            <w:tcW w:w="100" w:type="dxa"/>
            <w:vAlign w:val="bottom"/>
            <w:shd w:val="clear" w:color="auto" w:fill="CFF0FC"/>
          </w:tcPr>
          <w:p>
            <w:pPr>
              <w:spacing w:after="0"/>
              <w:rPr>
                <w:sz w:val="21"/>
                <w:szCs w:val="21"/>
                <w:color w:val="auto"/>
              </w:rPr>
            </w:pPr>
          </w:p>
        </w:tc>
      </w:tr>
      <w:tr>
        <w:trPr>
          <w:trHeight w:val="250"/>
        </w:trPr>
        <w:tc>
          <w:tcPr>
            <w:tcW w:w="7200" w:type="dxa"/>
            <w:vAlign w:val="bottom"/>
          </w:tcPr>
          <w:p>
            <w:pPr>
              <w:spacing w:after="0"/>
              <w:rPr>
                <w:sz w:val="20"/>
                <w:szCs w:val="20"/>
                <w:color w:val="auto"/>
              </w:rPr>
            </w:pPr>
            <w:r>
              <w:rPr>
                <w:rFonts w:ascii="Arial" w:cs="Arial" w:eastAsia="Arial" w:hAnsi="Arial"/>
                <w:sz w:val="20"/>
                <w:szCs w:val="20"/>
                <w:color w:val="auto"/>
              </w:rPr>
              <w:t>Incentive and other compensation plans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26,861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24,796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25,050</w:t>
            </w:r>
          </w:p>
        </w:tc>
        <w:tc>
          <w:tcPr>
            <w:tcW w:w="100" w:type="dxa"/>
            <w:vAlign w:val="bottom"/>
          </w:tcPr>
          <w:p>
            <w:pPr>
              <w:spacing w:after="0"/>
              <w:rPr>
                <w:sz w:val="21"/>
                <w:szCs w:val="21"/>
                <w:color w:val="auto"/>
              </w:rPr>
            </w:pPr>
          </w:p>
        </w:tc>
      </w:tr>
      <w:tr>
        <w:trPr>
          <w:trHeight w:val="250"/>
        </w:trPr>
        <w:tc>
          <w:tcPr>
            <w:tcW w:w="7200" w:type="dxa"/>
            <w:vAlign w:val="bottom"/>
            <w:shd w:val="clear" w:color="auto" w:fill="CFF0FC"/>
          </w:tcPr>
          <w:p>
            <w:pPr>
              <w:spacing w:after="0"/>
              <w:rPr>
                <w:sz w:val="20"/>
                <w:szCs w:val="20"/>
                <w:color w:val="auto"/>
              </w:rPr>
            </w:pPr>
            <w:r>
              <w:rPr>
                <w:rFonts w:ascii="Arial" w:cs="Arial" w:eastAsia="Arial" w:hAnsi="Arial"/>
                <w:sz w:val="20"/>
                <w:szCs w:val="20"/>
                <w:color w:val="auto"/>
              </w:rPr>
              <w:t>Interest on loans</w:t>
            </w: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37,900</w:t>
            </w:r>
          </w:p>
        </w:tc>
        <w:tc>
          <w:tcPr>
            <w:tcW w:w="100" w:type="dxa"/>
            <w:vAlign w:val="bottom"/>
            <w:shd w:val="clear" w:color="auto" w:fill="CFF0FC"/>
          </w:tcPr>
          <w:p>
            <w:pPr>
              <w:spacing w:after="0"/>
              <w:rPr>
                <w:sz w:val="21"/>
                <w:szCs w:val="21"/>
                <w:color w:val="auto"/>
              </w:rPr>
            </w:pPr>
          </w:p>
        </w:tc>
      </w:tr>
      <w:tr>
        <w:trPr>
          <w:trHeight w:val="250"/>
        </w:trPr>
        <w:tc>
          <w:tcPr>
            <w:tcW w:w="7200" w:type="dxa"/>
            <w:vAlign w:val="bottom"/>
          </w:tcPr>
          <w:p>
            <w:pPr>
              <w:spacing w:after="0"/>
              <w:rPr>
                <w:sz w:val="20"/>
                <w:szCs w:val="20"/>
                <w:color w:val="auto"/>
              </w:rPr>
            </w:pPr>
            <w:r>
              <w:rPr>
                <w:rFonts w:ascii="Arial" w:cs="Arial" w:eastAsia="Arial" w:hAnsi="Arial"/>
                <w:sz w:val="20"/>
                <w:szCs w:val="20"/>
                <w:color w:val="auto"/>
              </w:rPr>
              <w:t>Stock-based compensation</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27,912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26,759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26,676</w:t>
            </w:r>
          </w:p>
        </w:tc>
        <w:tc>
          <w:tcPr>
            <w:tcW w:w="100" w:type="dxa"/>
            <w:vAlign w:val="bottom"/>
          </w:tcPr>
          <w:p>
            <w:pPr>
              <w:spacing w:after="0"/>
              <w:rPr>
                <w:sz w:val="21"/>
                <w:szCs w:val="21"/>
                <w:color w:val="auto"/>
              </w:rPr>
            </w:pPr>
          </w:p>
        </w:tc>
      </w:tr>
      <w:tr>
        <w:trPr>
          <w:trHeight w:val="250"/>
        </w:trPr>
        <w:tc>
          <w:tcPr>
            <w:tcW w:w="7200" w:type="dxa"/>
            <w:vAlign w:val="bottom"/>
            <w:shd w:val="clear" w:color="auto" w:fill="CFF0FC"/>
          </w:tcPr>
          <w:p>
            <w:pPr>
              <w:spacing w:after="0"/>
              <w:rPr>
                <w:sz w:val="20"/>
                <w:szCs w:val="20"/>
                <w:color w:val="auto"/>
              </w:rPr>
            </w:pPr>
            <w:r>
              <w:rPr>
                <w:rFonts w:ascii="Arial" w:cs="Arial" w:eastAsia="Arial" w:hAnsi="Arial"/>
                <w:sz w:val="20"/>
                <w:szCs w:val="20"/>
                <w:color w:val="auto"/>
              </w:rPr>
              <w:t>Unrealized losses</w:t>
            </w: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52,580</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50"/>
        </w:trPr>
        <w:tc>
          <w:tcPr>
            <w:tcW w:w="7200" w:type="dxa"/>
            <w:vAlign w:val="bottom"/>
          </w:tcPr>
          <w:p>
            <w:pPr>
              <w:spacing w:after="0"/>
              <w:rPr>
                <w:sz w:val="20"/>
                <w:szCs w:val="20"/>
                <w:color w:val="auto"/>
              </w:rPr>
            </w:pPr>
            <w:r>
              <w:rPr>
                <w:rFonts w:ascii="Arial" w:cs="Arial" w:eastAsia="Arial" w:hAnsi="Arial"/>
                <w:sz w:val="20"/>
                <w:szCs w:val="20"/>
                <w:color w:val="auto"/>
              </w:rPr>
              <w:t>Losses on cash flow hedges</w:t>
            </w:r>
          </w:p>
        </w:tc>
        <w:tc>
          <w:tcPr>
            <w:tcW w:w="2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1,861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4,033</w:t>
            </w:r>
          </w:p>
        </w:tc>
        <w:tc>
          <w:tcPr>
            <w:tcW w:w="100" w:type="dxa"/>
            <w:vAlign w:val="bottom"/>
          </w:tcPr>
          <w:p>
            <w:pPr>
              <w:spacing w:after="0"/>
              <w:rPr>
                <w:sz w:val="21"/>
                <w:szCs w:val="21"/>
                <w:color w:val="auto"/>
              </w:rPr>
            </w:pPr>
          </w:p>
        </w:tc>
      </w:tr>
      <w:tr>
        <w:trPr>
          <w:trHeight w:val="250"/>
        </w:trPr>
        <w:tc>
          <w:tcPr>
            <w:tcW w:w="7200" w:type="dxa"/>
            <w:vAlign w:val="bottom"/>
            <w:shd w:val="clear" w:color="auto" w:fill="CFF0FC"/>
          </w:tcPr>
          <w:p>
            <w:pPr>
              <w:spacing w:after="0"/>
              <w:rPr>
                <w:sz w:val="20"/>
                <w:szCs w:val="20"/>
                <w:color w:val="auto"/>
              </w:rPr>
            </w:pPr>
            <w:r>
              <w:rPr>
                <w:rFonts w:ascii="Arial" w:cs="Arial" w:eastAsia="Arial" w:hAnsi="Arial"/>
                <w:sz w:val="20"/>
                <w:szCs w:val="20"/>
                <w:color w:val="auto"/>
              </w:rPr>
              <w:t>Other</w:t>
            </w: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69,863</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43,880</w:t>
            </w:r>
          </w:p>
        </w:tc>
        <w:tc>
          <w:tcPr>
            <w:tcW w:w="22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66,247</w:t>
            </w:r>
          </w:p>
        </w:tc>
        <w:tc>
          <w:tcPr>
            <w:tcW w:w="100" w:type="dxa"/>
            <w:vAlign w:val="bottom"/>
            <w:shd w:val="clear" w:color="auto" w:fill="CFF0FC"/>
          </w:tcPr>
          <w:p>
            <w:pPr>
              <w:spacing w:after="0"/>
              <w:rPr>
                <w:sz w:val="21"/>
                <w:szCs w:val="21"/>
                <w:color w:val="auto"/>
              </w:rPr>
            </w:pPr>
          </w:p>
        </w:tc>
      </w:tr>
      <w:tr>
        <w:trPr>
          <w:trHeight w:val="243"/>
        </w:trPr>
        <w:tc>
          <w:tcPr>
            <w:tcW w:w="720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Gross deferred tax assets</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641,408</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526,314</w:t>
            </w:r>
          </w:p>
        </w:tc>
        <w:tc>
          <w:tcPr>
            <w:tcW w:w="2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576,846</w:t>
            </w:r>
          </w:p>
        </w:tc>
        <w:tc>
          <w:tcPr>
            <w:tcW w:w="100" w:type="dxa"/>
            <w:vAlign w:val="bottom"/>
            <w:tcBorders>
              <w:bottom w:val="single" w:sz="8" w:color="CFF0FC"/>
            </w:tcBorders>
          </w:tcPr>
          <w:p>
            <w:pPr>
              <w:spacing w:after="0"/>
              <w:rPr>
                <w:sz w:val="21"/>
                <w:szCs w:val="21"/>
                <w:color w:val="auto"/>
              </w:rPr>
            </w:pPr>
          </w:p>
        </w:tc>
      </w:tr>
      <w:tr>
        <w:trPr>
          <w:trHeight w:val="243"/>
        </w:trPr>
        <w:tc>
          <w:tcPr>
            <w:tcW w:w="7200" w:type="dxa"/>
            <w:vAlign w:val="bottom"/>
            <w:shd w:val="clear" w:color="auto" w:fill="CFF0FC"/>
          </w:tcPr>
          <w:p>
            <w:pPr>
              <w:spacing w:after="0"/>
              <w:rPr>
                <w:sz w:val="20"/>
                <w:szCs w:val="20"/>
                <w:color w:val="auto"/>
              </w:rPr>
            </w:pPr>
            <w:r>
              <w:rPr>
                <w:rFonts w:ascii="Arial" w:cs="Arial" w:eastAsia="Arial" w:hAnsi="Arial"/>
                <w:sz w:val="20"/>
                <w:szCs w:val="20"/>
                <w:color w:val="auto"/>
              </w:rPr>
              <w:t>Right of use assets and other leasing transactions</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(326,626)</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(186,787)</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(181,159)</w:t>
            </w:r>
          </w:p>
        </w:tc>
        <w:tc>
          <w:tcPr>
            <w:tcW w:w="100" w:type="dxa"/>
            <w:vAlign w:val="bottom"/>
            <w:shd w:val="clear" w:color="auto" w:fill="CFF0FC"/>
          </w:tcPr>
          <w:p>
            <w:pPr>
              <w:spacing w:after="0"/>
              <w:rPr>
                <w:sz w:val="21"/>
                <w:szCs w:val="21"/>
                <w:color w:val="auto"/>
              </w:rPr>
            </w:pPr>
          </w:p>
        </w:tc>
      </w:tr>
      <w:tr>
        <w:trPr>
          <w:trHeight w:val="250"/>
        </w:trPr>
        <w:tc>
          <w:tcPr>
            <w:tcW w:w="7200" w:type="dxa"/>
            <w:vAlign w:val="bottom"/>
          </w:tcPr>
          <w:p>
            <w:pPr>
              <w:spacing w:after="0"/>
              <w:rPr>
                <w:sz w:val="20"/>
                <w:szCs w:val="20"/>
                <w:color w:val="auto"/>
              </w:rPr>
            </w:pPr>
            <w:r>
              <w:rPr>
                <w:rFonts w:ascii="Arial" w:cs="Arial" w:eastAsia="Arial" w:hAnsi="Arial"/>
                <w:sz w:val="20"/>
                <w:szCs w:val="20"/>
                <w:color w:val="auto"/>
              </w:rPr>
              <w:t>Unrealized gains</w:t>
            </w:r>
          </w:p>
        </w:tc>
        <w:tc>
          <w:tcPr>
            <w:tcW w:w="28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20"/>
                <w:szCs w:val="20"/>
                <w:color w:val="auto"/>
              </w:rPr>
              <w:t>(13,322)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(94,285)</w:t>
            </w:r>
          </w:p>
        </w:tc>
      </w:tr>
      <w:tr>
        <w:trPr>
          <w:trHeight w:val="250"/>
        </w:trPr>
        <w:tc>
          <w:tcPr>
            <w:tcW w:w="7200" w:type="dxa"/>
            <w:vAlign w:val="bottom"/>
            <w:shd w:val="clear" w:color="auto" w:fill="CFF0FC"/>
          </w:tcPr>
          <w:p>
            <w:pPr>
              <w:spacing w:after="0"/>
              <w:rPr>
                <w:sz w:val="20"/>
                <w:szCs w:val="20"/>
                <w:color w:val="auto"/>
              </w:rPr>
            </w:pPr>
            <w:r>
              <w:rPr>
                <w:rFonts w:ascii="Arial" w:cs="Arial" w:eastAsia="Arial" w:hAnsi="Arial"/>
                <w:sz w:val="20"/>
                <w:szCs w:val="20"/>
                <w:color w:val="auto"/>
              </w:rPr>
              <w:t>Capitalized servicing rights</w:t>
            </w: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(56,649)</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(54,894)</w:t>
            </w: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(51,781)</w:t>
            </w:r>
          </w:p>
        </w:tc>
      </w:tr>
      <w:tr>
        <w:trPr>
          <w:trHeight w:val="250"/>
        </w:trPr>
        <w:tc>
          <w:tcPr>
            <w:tcW w:w="720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28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20"/>
                <w:szCs w:val="20"/>
                <w:color w:val="auto"/>
              </w:rPr>
              <w:t>(66,925)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20"/>
                <w:szCs w:val="20"/>
                <w:color w:val="auto"/>
              </w:rPr>
              <w:t>(61,881)</w:t>
            </w:r>
          </w:p>
        </w:tc>
        <w:tc>
          <w:tcPr>
            <w:tcW w:w="28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(52,733)</w:t>
            </w:r>
          </w:p>
        </w:tc>
      </w:tr>
      <w:tr>
        <w:trPr>
          <w:trHeight w:val="250"/>
        </w:trPr>
        <w:tc>
          <w:tcPr>
            <w:tcW w:w="7200" w:type="dxa"/>
            <w:vAlign w:val="bottom"/>
            <w:shd w:val="clear" w:color="auto" w:fill="CFF0FC"/>
          </w:tcPr>
          <w:p>
            <w:pPr>
              <w:spacing w:after="0"/>
              <w:rPr>
                <w:sz w:val="20"/>
                <w:szCs w:val="20"/>
                <w:color w:val="auto"/>
              </w:rPr>
            </w:pPr>
            <w:r>
              <w:rPr>
                <w:rFonts w:ascii="Arial" w:cs="Arial" w:eastAsia="Arial" w:hAnsi="Arial"/>
                <w:sz w:val="20"/>
                <w:szCs w:val="20"/>
                <w:color w:val="auto"/>
              </w:rPr>
              <w:t>Interest on loans</w:t>
            </w: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(23,552)</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(18,920)</w:t>
            </w: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50"/>
        </w:trPr>
        <w:tc>
          <w:tcPr>
            <w:tcW w:w="7200" w:type="dxa"/>
            <w:vAlign w:val="bottom"/>
          </w:tcPr>
          <w:p>
            <w:pPr>
              <w:spacing w:after="0"/>
              <w:rPr>
                <w:sz w:val="20"/>
                <w:szCs w:val="20"/>
                <w:color w:val="auto"/>
              </w:rPr>
            </w:pPr>
            <w:r>
              <w:rPr>
                <w:rFonts w:ascii="Arial" w:cs="Arial" w:eastAsia="Arial" w:hAnsi="Arial"/>
                <w:sz w:val="20"/>
                <w:szCs w:val="20"/>
                <w:color w:val="auto"/>
              </w:rPr>
              <w:t>Gains on cash flow hedges</w:t>
            </w:r>
          </w:p>
        </w:tc>
        <w:tc>
          <w:tcPr>
            <w:tcW w:w="28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20"/>
                <w:szCs w:val="20"/>
                <w:color w:val="auto"/>
              </w:rPr>
              <w:t>(36,845)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50"/>
        </w:trPr>
        <w:tc>
          <w:tcPr>
            <w:tcW w:w="7200" w:type="dxa"/>
            <w:vAlign w:val="bottom"/>
            <w:shd w:val="clear" w:color="auto" w:fill="CFF0FC"/>
          </w:tcPr>
          <w:p>
            <w:pPr>
              <w:spacing w:after="0"/>
              <w:rPr>
                <w:sz w:val="20"/>
                <w:szCs w:val="20"/>
                <w:color w:val="auto"/>
              </w:rPr>
            </w:pPr>
            <w:r>
              <w:rPr>
                <w:rFonts w:ascii="Arial" w:cs="Arial" w:eastAsia="Arial" w:hAnsi="Arial"/>
                <w:sz w:val="20"/>
                <w:szCs w:val="20"/>
                <w:color w:val="auto"/>
              </w:rPr>
              <w:t>Other</w:t>
            </w: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(40,472)</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(30,211)</w:t>
            </w: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(25,632)</w:t>
            </w:r>
          </w:p>
        </w:tc>
      </w:tr>
      <w:tr>
        <w:trPr>
          <w:trHeight w:val="243"/>
        </w:trPr>
        <w:tc>
          <w:tcPr>
            <w:tcW w:w="720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Gross deferred tax liabilities</w:t>
            </w:r>
          </w:p>
        </w:tc>
        <w:tc>
          <w:tcPr>
            <w:tcW w:w="2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(564,391)</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(352,693)</w:t>
            </w:r>
          </w:p>
        </w:tc>
        <w:tc>
          <w:tcPr>
            <w:tcW w:w="22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(405,590)</w:t>
            </w:r>
          </w:p>
        </w:tc>
        <w:tc>
          <w:tcPr>
            <w:tcW w:w="100" w:type="dxa"/>
            <w:vAlign w:val="bottom"/>
            <w:tcBorders>
              <w:bottom w:val="single" w:sz="8" w:color="CFF0FC"/>
            </w:tcBorders>
          </w:tcPr>
          <w:p>
            <w:pPr>
              <w:spacing w:after="0"/>
              <w:rPr>
                <w:sz w:val="21"/>
                <w:szCs w:val="21"/>
                <w:color w:val="auto"/>
              </w:rPr>
            </w:pPr>
          </w:p>
        </w:tc>
      </w:tr>
      <w:tr>
        <w:trPr>
          <w:trHeight w:val="243"/>
        </w:trPr>
        <w:tc>
          <w:tcPr>
            <w:tcW w:w="7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deferred tax asset</w:t>
            </w:r>
          </w:p>
        </w:tc>
        <w:tc>
          <w:tcPr>
            <w:tcW w:w="2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77,017</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173,621</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20"/>
                <w:szCs w:val="20"/>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171,256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ind w:right="840" w:firstLine="598"/>
        <w:spacing w:after="0" w:line="256" w:lineRule="auto"/>
        <w:rPr>
          <w:sz w:val="20"/>
          <w:szCs w:val="20"/>
          <w:color w:val="auto"/>
        </w:rPr>
      </w:pPr>
      <w:r>
        <w:rPr>
          <w:rFonts w:ascii="Arial" w:cs="Arial" w:eastAsia="Arial" w:hAnsi="Arial"/>
          <w:sz w:val="20"/>
          <w:szCs w:val="20"/>
          <w:color w:val="auto"/>
        </w:rPr>
        <w:t>The Company believes that it is more likely than not that the deferred tax assets will be realized through taxable earnings or alternative tax strategies.</w:t>
      </w:r>
    </w:p>
    <w:p>
      <w:pPr>
        <w:ind w:right="100" w:firstLine="598"/>
        <w:spacing w:after="0" w:line="256" w:lineRule="auto"/>
        <w:rPr>
          <w:sz w:val="20"/>
          <w:szCs w:val="20"/>
          <w:color w:val="auto"/>
        </w:rPr>
      </w:pPr>
      <w:r>
        <w:rPr>
          <w:rFonts w:ascii="Arial" w:cs="Arial" w:eastAsia="Arial" w:hAnsi="Arial"/>
          <w:sz w:val="20"/>
          <w:szCs w:val="20"/>
          <w:color w:val="auto"/>
        </w:rPr>
        <w:t>The income tax credits shown in the statement of income of M&amp;T in note 25 arise principally from operating losses before dividends from subsidiaries.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61" w:name="page162"/>
    <w:bookmarkEnd w:id="161"/>
    <w:p>
      <w:pPr>
        <w:ind w:left="600"/>
        <w:spacing w:after="0"/>
        <w:rPr>
          <w:sz w:val="20"/>
          <w:szCs w:val="20"/>
          <w:color w:val="auto"/>
        </w:rPr>
      </w:pPr>
      <w:r>
        <w:rPr>
          <w:rFonts w:ascii="Arial" w:cs="Arial" w:eastAsia="Arial" w:hAnsi="Arial"/>
          <w:sz w:val="20"/>
          <w:szCs w:val="20"/>
          <w:color w:val="auto"/>
        </w:rPr>
        <w:t>A reconciliation of the beginning and ending amount of unrecognized tax benefits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Federal,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9"/>
              </w:rPr>
              <w:t>Accrued</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Unrecognized</w:t>
            </w:r>
          </w:p>
        </w:tc>
        <w:tc>
          <w:tcPr>
            <w:tcW w:w="0" w:type="dxa"/>
            <w:vAlign w:val="bottom"/>
          </w:tcPr>
          <w:p>
            <w:pPr>
              <w:spacing w:after="0"/>
              <w:rPr>
                <w:sz w:val="1"/>
                <w:szCs w:val="1"/>
                <w:color w:val="auto"/>
              </w:rPr>
            </w:pPr>
          </w:p>
        </w:tc>
      </w:tr>
      <w:tr>
        <w:trPr>
          <w:trHeight w:val="145"/>
        </w:trPr>
        <w:tc>
          <w:tcPr>
            <w:tcW w:w="6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1"/>
              </w:rPr>
              <w:t>State and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Income Tax</w:t>
            </w:r>
          </w:p>
        </w:tc>
        <w:tc>
          <w:tcPr>
            <w:tcW w:w="0" w:type="dxa"/>
            <w:vAlign w:val="bottom"/>
          </w:tcPr>
          <w:p>
            <w:pPr>
              <w:spacing w:after="0"/>
              <w:rPr>
                <w:sz w:val="1"/>
                <w:szCs w:val="1"/>
                <w:color w:val="auto"/>
              </w:rPr>
            </w:pPr>
          </w:p>
        </w:tc>
      </w:tr>
      <w:tr>
        <w:trPr>
          <w:trHeight w:val="167"/>
        </w:trPr>
        <w:tc>
          <w:tcPr>
            <w:tcW w:w="6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Local Tax</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Benefits</w:t>
            </w:r>
          </w:p>
        </w:tc>
        <w:tc>
          <w:tcPr>
            <w:tcW w:w="0" w:type="dxa"/>
            <w:vAlign w:val="bottom"/>
          </w:tcPr>
          <w:p>
            <w:pPr>
              <w:spacing w:after="0"/>
              <w:rPr>
                <w:sz w:val="1"/>
                <w:szCs w:val="1"/>
                <w:color w:val="auto"/>
              </w:rPr>
            </w:pPr>
          </w:p>
        </w:tc>
      </w:tr>
      <w:tr>
        <w:trPr>
          <w:trHeight w:val="176"/>
        </w:trPr>
        <w:tc>
          <w:tcPr>
            <w:tcW w:w="6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6280" w:type="dxa"/>
            <w:vAlign w:val="bottom"/>
          </w:tcPr>
          <w:p>
            <w:pPr>
              <w:spacing w:after="0"/>
              <w:rPr>
                <w:sz w:val="20"/>
                <w:szCs w:val="20"/>
                <w:color w:val="auto"/>
              </w:rPr>
            </w:pPr>
            <w:r>
              <w:rPr>
                <w:rFonts w:ascii="Arial" w:cs="Arial" w:eastAsia="Arial" w:hAnsi="Arial"/>
                <w:sz w:val="20"/>
                <w:szCs w:val="20"/>
                <w:color w:val="auto"/>
              </w:rPr>
              <w:t>Gross unrecognized tax benefits at January 1, 2017</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35,889</w:t>
            </w:r>
          </w:p>
        </w:tc>
        <w:tc>
          <w:tcPr>
            <w:tcW w:w="1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7,915</w:t>
            </w:r>
          </w:p>
        </w:tc>
        <w:tc>
          <w:tcPr>
            <w:tcW w:w="2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43,804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80" w:type="dxa"/>
            <w:vAlign w:val="bottom"/>
            <w:shd w:val="clear" w:color="auto" w:fill="CFF0FC"/>
          </w:tcPr>
          <w:p>
            <w:pPr>
              <w:ind w:left="160"/>
              <w:spacing w:after="0"/>
              <w:rPr>
                <w:sz w:val="20"/>
                <w:szCs w:val="20"/>
                <w:color w:val="auto"/>
              </w:rPr>
            </w:pPr>
            <w:r>
              <w:rPr>
                <w:rFonts w:ascii="Arial" w:cs="Arial" w:eastAsia="Arial" w:hAnsi="Arial"/>
                <w:sz w:val="20"/>
                <w:szCs w:val="20"/>
                <w:color w:val="auto"/>
              </w:rPr>
              <w:t>Increases as a result of tax positions taken during 2017</w:t>
            </w:r>
          </w:p>
        </w:tc>
        <w:tc>
          <w:tcPr>
            <w:tcW w:w="1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13,019</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13,019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80" w:type="dxa"/>
            <w:vAlign w:val="bottom"/>
          </w:tcPr>
          <w:p>
            <w:pPr>
              <w:ind w:left="160"/>
              <w:spacing w:after="0"/>
              <w:rPr>
                <w:sz w:val="20"/>
                <w:szCs w:val="20"/>
                <w:color w:val="auto"/>
              </w:rPr>
            </w:pPr>
            <w:r>
              <w:rPr>
                <w:rFonts w:ascii="Arial" w:cs="Arial" w:eastAsia="Arial" w:hAnsi="Arial"/>
                <w:sz w:val="20"/>
                <w:szCs w:val="20"/>
                <w:color w:val="auto"/>
              </w:rPr>
              <w:t>Increases as a result of tax positions taken in prior years</w:t>
            </w: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1,379</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1,379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80" w:type="dxa"/>
            <w:vAlign w:val="bottom"/>
            <w:shd w:val="clear" w:color="auto" w:fill="CFF0FC"/>
          </w:tcPr>
          <w:p>
            <w:pPr>
              <w:ind w:left="160"/>
              <w:spacing w:after="0"/>
              <w:rPr>
                <w:sz w:val="20"/>
                <w:szCs w:val="20"/>
                <w:color w:val="auto"/>
              </w:rPr>
            </w:pPr>
            <w:r>
              <w:rPr>
                <w:rFonts w:ascii="Arial" w:cs="Arial" w:eastAsia="Arial" w:hAnsi="Arial"/>
                <w:sz w:val="20"/>
                <w:szCs w:val="20"/>
                <w:color w:val="auto"/>
              </w:rPr>
              <w:t>Decreases as a result of settlements with taxing authorities</w:t>
            </w:r>
          </w:p>
        </w:tc>
        <w:tc>
          <w:tcPr>
            <w:tcW w:w="1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(332)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(168)</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(500)</w:t>
            </w:r>
          </w:p>
        </w:tc>
        <w:tc>
          <w:tcPr>
            <w:tcW w:w="0" w:type="dxa"/>
            <w:vAlign w:val="bottom"/>
          </w:tcPr>
          <w:p>
            <w:pPr>
              <w:spacing w:after="0"/>
              <w:rPr>
                <w:sz w:val="1"/>
                <w:szCs w:val="1"/>
                <w:color w:val="auto"/>
              </w:rPr>
            </w:pPr>
          </w:p>
        </w:tc>
      </w:tr>
      <w:tr>
        <w:trPr>
          <w:trHeight w:val="250"/>
        </w:trPr>
        <w:tc>
          <w:tcPr>
            <w:tcW w:w="6280" w:type="dxa"/>
            <w:vAlign w:val="bottom"/>
          </w:tcPr>
          <w:p>
            <w:pPr>
              <w:ind w:left="160"/>
              <w:spacing w:after="0"/>
              <w:rPr>
                <w:sz w:val="20"/>
                <w:szCs w:val="20"/>
                <w:color w:val="auto"/>
              </w:rPr>
            </w:pPr>
            <w:r>
              <w:rPr>
                <w:rFonts w:ascii="Arial" w:cs="Arial" w:eastAsia="Arial" w:hAnsi="Arial"/>
                <w:sz w:val="20"/>
                <w:szCs w:val="20"/>
                <w:color w:val="auto"/>
              </w:rPr>
              <w:t>Decreases as a result of tax positions taken in prior years</w:t>
            </w: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20"/>
                <w:szCs w:val="20"/>
                <w:color w:val="auto"/>
              </w:rPr>
              <w:t>(3,144)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20"/>
                <w:szCs w:val="20"/>
                <w:color w:val="auto"/>
              </w:rPr>
              <w:t>(3,475)</w:t>
            </w:r>
          </w:p>
        </w:tc>
        <w:tc>
          <w:tcPr>
            <w:tcW w:w="12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20"/>
                <w:szCs w:val="20"/>
                <w:color w:val="auto"/>
              </w:rPr>
              <w:t>(6,619)</w:t>
            </w:r>
          </w:p>
        </w:tc>
        <w:tc>
          <w:tcPr>
            <w:tcW w:w="0" w:type="dxa"/>
            <w:vAlign w:val="bottom"/>
          </w:tcPr>
          <w:p>
            <w:pPr>
              <w:spacing w:after="0"/>
              <w:rPr>
                <w:sz w:val="1"/>
                <w:szCs w:val="1"/>
                <w:color w:val="auto"/>
              </w:rPr>
            </w:pPr>
          </w:p>
        </w:tc>
      </w:tr>
      <w:tr>
        <w:trPr>
          <w:trHeight w:val="243"/>
        </w:trPr>
        <w:tc>
          <w:tcPr>
            <w:tcW w:w="6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Gross unrecognized tax benefits at December 31, 2017</w:t>
            </w:r>
          </w:p>
        </w:tc>
        <w:tc>
          <w:tcPr>
            <w:tcW w:w="142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45,432</w:t>
            </w:r>
          </w:p>
        </w:tc>
        <w:tc>
          <w:tcPr>
            <w:tcW w:w="180" w:type="dxa"/>
            <w:vAlign w:val="bottom"/>
            <w:tcBorders>
              <w:top w:val="single" w:sz="8" w:color="CFF0FC"/>
            </w:tcBorders>
            <w:shd w:val="clear" w:color="auto" w:fill="CFF0FC"/>
          </w:tcPr>
          <w:p>
            <w:pPr>
              <w:spacing w:after="0"/>
              <w:rPr>
                <w:sz w:val="21"/>
                <w:szCs w:val="21"/>
                <w:color w:val="auto"/>
              </w:rPr>
            </w:pPr>
          </w:p>
        </w:tc>
        <w:tc>
          <w:tcPr>
            <w:tcW w:w="10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5,651</w:t>
            </w:r>
          </w:p>
        </w:tc>
        <w:tc>
          <w:tcPr>
            <w:tcW w:w="28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51,083</w:t>
            </w:r>
          </w:p>
        </w:tc>
        <w:tc>
          <w:tcPr>
            <w:tcW w:w="120" w:type="dxa"/>
            <w:vAlign w:val="bottom"/>
            <w:tcBorders>
              <w:top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80" w:type="dxa"/>
            <w:vAlign w:val="bottom"/>
          </w:tcPr>
          <w:p>
            <w:pPr>
              <w:ind w:left="160"/>
              <w:spacing w:after="0"/>
              <w:rPr>
                <w:sz w:val="20"/>
                <w:szCs w:val="20"/>
                <w:color w:val="auto"/>
              </w:rPr>
            </w:pPr>
            <w:r>
              <w:rPr>
                <w:rFonts w:ascii="Arial" w:cs="Arial" w:eastAsia="Arial" w:hAnsi="Arial"/>
                <w:sz w:val="20"/>
                <w:szCs w:val="20"/>
                <w:color w:val="auto"/>
              </w:rPr>
              <w:t>Increases as a result of tax positions taken during 2018</w:t>
            </w: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13,426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13,426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80" w:type="dxa"/>
            <w:vAlign w:val="bottom"/>
            <w:shd w:val="clear" w:color="auto" w:fill="CFF0FC"/>
          </w:tcPr>
          <w:p>
            <w:pPr>
              <w:ind w:left="160"/>
              <w:spacing w:after="0"/>
              <w:rPr>
                <w:sz w:val="20"/>
                <w:szCs w:val="20"/>
                <w:color w:val="auto"/>
              </w:rPr>
            </w:pPr>
            <w:r>
              <w:rPr>
                <w:rFonts w:ascii="Arial" w:cs="Arial" w:eastAsia="Arial" w:hAnsi="Arial"/>
                <w:sz w:val="20"/>
                <w:szCs w:val="20"/>
                <w:color w:val="auto"/>
              </w:rPr>
              <w:t>Increases as a result of tax positions taken in prior years</w:t>
            </w:r>
          </w:p>
        </w:tc>
        <w:tc>
          <w:tcPr>
            <w:tcW w:w="1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1,969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1,969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80" w:type="dxa"/>
            <w:vAlign w:val="bottom"/>
          </w:tcPr>
          <w:p>
            <w:pPr>
              <w:ind w:left="160"/>
              <w:spacing w:after="0"/>
              <w:rPr>
                <w:sz w:val="20"/>
                <w:szCs w:val="20"/>
                <w:color w:val="auto"/>
              </w:rPr>
            </w:pPr>
            <w:r>
              <w:rPr>
                <w:rFonts w:ascii="Arial" w:cs="Arial" w:eastAsia="Arial" w:hAnsi="Arial"/>
                <w:sz w:val="20"/>
                <w:szCs w:val="20"/>
                <w:color w:val="auto"/>
              </w:rPr>
              <w:t>Decreases as a result of settlements with taxing authorities</w:t>
            </w: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20"/>
                <w:szCs w:val="20"/>
                <w:color w:val="auto"/>
              </w:rPr>
              <w:t>(664)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20"/>
                <w:szCs w:val="20"/>
                <w:color w:val="auto"/>
              </w:rPr>
              <w:t>(289)</w:t>
            </w:r>
          </w:p>
        </w:tc>
        <w:tc>
          <w:tcPr>
            <w:tcW w:w="12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20"/>
                <w:szCs w:val="20"/>
                <w:color w:val="auto"/>
              </w:rPr>
              <w:t>(953)</w:t>
            </w:r>
          </w:p>
        </w:tc>
        <w:tc>
          <w:tcPr>
            <w:tcW w:w="0" w:type="dxa"/>
            <w:vAlign w:val="bottom"/>
          </w:tcPr>
          <w:p>
            <w:pPr>
              <w:spacing w:after="0"/>
              <w:rPr>
                <w:sz w:val="1"/>
                <w:szCs w:val="1"/>
                <w:color w:val="auto"/>
              </w:rPr>
            </w:pPr>
          </w:p>
        </w:tc>
      </w:tr>
      <w:tr>
        <w:trPr>
          <w:trHeight w:val="250"/>
        </w:trPr>
        <w:tc>
          <w:tcPr>
            <w:tcW w:w="6280" w:type="dxa"/>
            <w:vAlign w:val="bottom"/>
            <w:shd w:val="clear" w:color="auto" w:fill="CFF0FC"/>
          </w:tcPr>
          <w:p>
            <w:pPr>
              <w:ind w:left="160"/>
              <w:spacing w:after="0"/>
              <w:rPr>
                <w:sz w:val="20"/>
                <w:szCs w:val="20"/>
                <w:color w:val="auto"/>
              </w:rPr>
            </w:pPr>
            <w:r>
              <w:rPr>
                <w:rFonts w:ascii="Arial" w:cs="Arial" w:eastAsia="Arial" w:hAnsi="Arial"/>
                <w:sz w:val="20"/>
                <w:szCs w:val="20"/>
                <w:color w:val="auto"/>
              </w:rPr>
              <w:t>Decreases as a result of tax positions taken in prior years</w:t>
            </w:r>
          </w:p>
        </w:tc>
        <w:tc>
          <w:tcPr>
            <w:tcW w:w="1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(1,920)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(702)</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(2,622)</w:t>
            </w: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0"/>
                <w:szCs w:val="20"/>
                <w:color w:val="auto"/>
              </w:rPr>
            </w:pPr>
            <w:r>
              <w:rPr>
                <w:rFonts w:ascii="Arial" w:cs="Arial" w:eastAsia="Arial" w:hAnsi="Arial"/>
                <w:sz w:val="20"/>
                <w:szCs w:val="20"/>
                <w:color w:val="auto"/>
              </w:rPr>
              <w:t>Gross unrecognized tax benefits at December 31, 2018</w:t>
            </w:r>
          </w:p>
        </w:tc>
        <w:tc>
          <w:tcPr>
            <w:tcW w:w="14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56,274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6,629</w:t>
            </w:r>
          </w:p>
        </w:tc>
        <w:tc>
          <w:tcPr>
            <w:tcW w:w="2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62,903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80" w:type="dxa"/>
            <w:vAlign w:val="bottom"/>
            <w:shd w:val="clear" w:color="auto" w:fill="CFF0FC"/>
          </w:tcPr>
          <w:p>
            <w:pPr>
              <w:ind w:left="160"/>
              <w:spacing w:after="0"/>
              <w:rPr>
                <w:sz w:val="20"/>
                <w:szCs w:val="20"/>
                <w:color w:val="auto"/>
              </w:rPr>
            </w:pPr>
            <w:r>
              <w:rPr>
                <w:rFonts w:ascii="Arial" w:cs="Arial" w:eastAsia="Arial" w:hAnsi="Arial"/>
                <w:sz w:val="20"/>
                <w:szCs w:val="20"/>
                <w:color w:val="auto"/>
              </w:rPr>
              <w:t>Increases as a result of tax positions taken during 2019</w:t>
            </w:r>
          </w:p>
        </w:tc>
        <w:tc>
          <w:tcPr>
            <w:tcW w:w="1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6,996</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6,996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80" w:type="dxa"/>
            <w:vAlign w:val="bottom"/>
          </w:tcPr>
          <w:p>
            <w:pPr>
              <w:ind w:left="160"/>
              <w:spacing w:after="0"/>
              <w:rPr>
                <w:sz w:val="20"/>
                <w:szCs w:val="20"/>
                <w:color w:val="auto"/>
              </w:rPr>
            </w:pPr>
            <w:r>
              <w:rPr>
                <w:rFonts w:ascii="Arial" w:cs="Arial" w:eastAsia="Arial" w:hAnsi="Arial"/>
                <w:sz w:val="20"/>
                <w:szCs w:val="20"/>
                <w:color w:val="auto"/>
              </w:rPr>
              <w:t>Increases as a result of tax positions taken in prior years</w:t>
            </w: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3,265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3,255</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6,520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80" w:type="dxa"/>
            <w:vAlign w:val="bottom"/>
            <w:shd w:val="clear" w:color="auto" w:fill="CFF0FC"/>
          </w:tcPr>
          <w:p>
            <w:pPr>
              <w:ind w:left="160"/>
              <w:spacing w:after="0"/>
              <w:rPr>
                <w:sz w:val="20"/>
                <w:szCs w:val="20"/>
                <w:color w:val="auto"/>
              </w:rPr>
            </w:pPr>
            <w:r>
              <w:rPr>
                <w:rFonts w:ascii="Arial" w:cs="Arial" w:eastAsia="Arial" w:hAnsi="Arial"/>
                <w:sz w:val="20"/>
                <w:szCs w:val="20"/>
                <w:color w:val="auto"/>
              </w:rPr>
              <w:t>Decreases as a result of tax positions taken in prior years</w:t>
            </w:r>
          </w:p>
        </w:tc>
        <w:tc>
          <w:tcPr>
            <w:tcW w:w="1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(7,566)</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(2,685)</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(10,251)</w:t>
            </w:r>
          </w:p>
        </w:tc>
        <w:tc>
          <w:tcPr>
            <w:tcW w:w="0" w:type="dxa"/>
            <w:vAlign w:val="bottom"/>
          </w:tcPr>
          <w:p>
            <w:pPr>
              <w:spacing w:after="0"/>
              <w:rPr>
                <w:sz w:val="1"/>
                <w:szCs w:val="1"/>
                <w:color w:val="auto"/>
              </w:rPr>
            </w:pPr>
          </w:p>
        </w:tc>
      </w:tr>
      <w:tr>
        <w:trPr>
          <w:trHeight w:val="283"/>
        </w:trPr>
        <w:tc>
          <w:tcPr>
            <w:tcW w:w="628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Gross unrecognized tax benefits at December 31, 2019</w:t>
            </w:r>
          </w:p>
        </w:tc>
        <w:tc>
          <w:tcPr>
            <w:tcW w:w="1420" w:type="dxa"/>
            <w:vAlign w:val="bottom"/>
            <w:tcBorders>
              <w:bottom w:val="single" w:sz="8" w:color="CFF0FC"/>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58,969</w:t>
            </w:r>
          </w:p>
        </w:tc>
        <w:tc>
          <w:tcPr>
            <w:tcW w:w="1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7,199</w:t>
            </w:r>
          </w:p>
        </w:tc>
        <w:tc>
          <w:tcPr>
            <w:tcW w:w="280" w:type="dxa"/>
            <w:vAlign w:val="bottom"/>
            <w:tcBorders>
              <w:bottom w:val="single" w:sz="8" w:color="CFF0FC"/>
            </w:tcBorders>
          </w:tcPr>
          <w:p>
            <w:pPr>
              <w:spacing w:after="0"/>
              <w:rPr>
                <w:sz w:val="24"/>
                <w:szCs w:val="24"/>
                <w:color w:val="auto"/>
              </w:rPr>
            </w:pPr>
          </w:p>
        </w:tc>
        <w:tc>
          <w:tcPr>
            <w:tcW w:w="120" w:type="dxa"/>
            <w:vAlign w:val="bottom"/>
            <w:tcBorders>
              <w:top w:val="single" w:sz="8" w:color="auto"/>
              <w:bottom w:val="single" w:sz="8" w:color="CFF0FC"/>
            </w:tcBorders>
          </w:tcPr>
          <w:p>
            <w:pPr>
              <w:spacing w:after="0"/>
              <w:rPr>
                <w:sz w:val="24"/>
                <w:szCs w:val="24"/>
                <w:color w:val="auto"/>
              </w:rPr>
            </w:pPr>
          </w:p>
        </w:tc>
        <w:tc>
          <w:tcPr>
            <w:tcW w:w="90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20"/>
                <w:szCs w:val="20"/>
                <w:color w:val="auto"/>
              </w:rPr>
              <w:t>66,168</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20"/>
                <w:szCs w:val="20"/>
                <w:color w:val="auto"/>
              </w:rPr>
              <w:t>Less: Federal, state and local income tax benefits</w:t>
            </w: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(13,208)</w:t>
            </w:r>
          </w:p>
        </w:tc>
        <w:tc>
          <w:tcPr>
            <w:tcW w:w="0" w:type="dxa"/>
            <w:vAlign w:val="bottom"/>
          </w:tcPr>
          <w:p>
            <w:pPr>
              <w:spacing w:after="0"/>
              <w:rPr>
                <w:sz w:val="1"/>
                <w:szCs w:val="1"/>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20"/>
                <w:szCs w:val="20"/>
                <w:color w:val="auto"/>
              </w:rPr>
              <w:t>Net unrecognized tax benefits at December 31, 2019 that,</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280" w:type="dxa"/>
            <w:vAlign w:val="bottom"/>
          </w:tcPr>
          <w:p>
            <w:pPr>
              <w:ind w:left="160"/>
              <w:spacing w:after="0"/>
              <w:rPr>
                <w:sz w:val="20"/>
                <w:szCs w:val="20"/>
                <w:color w:val="auto"/>
              </w:rPr>
            </w:pPr>
            <w:r>
              <w:rPr>
                <w:rFonts w:ascii="Arial" w:cs="Arial" w:eastAsia="Arial" w:hAnsi="Arial"/>
                <w:sz w:val="20"/>
                <w:szCs w:val="20"/>
                <w:color w:val="auto"/>
              </w:rPr>
              <w:t>if recognized, would impact the effective income tax rate</w:t>
            </w: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52,960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60" w:firstLine="598"/>
        <w:spacing w:after="0" w:line="264" w:lineRule="auto"/>
        <w:rPr>
          <w:sz w:val="20"/>
          <w:szCs w:val="20"/>
          <w:color w:val="auto"/>
        </w:rPr>
      </w:pPr>
      <w:r>
        <w:rPr>
          <w:rFonts w:ascii="Arial" w:cs="Arial" w:eastAsia="Arial" w:hAnsi="Arial"/>
          <w:sz w:val="19"/>
          <w:szCs w:val="19"/>
          <w:color w:val="auto"/>
        </w:rPr>
        <w:t>The Company’s policy is to recognize interest and penalties, if any, related to unrecognized tax benefits in income taxes in the consolidated statement of income. The balance of accrued interest at December 31, 2019 is included in the table above. The Company’s federal, state and local income tax returns are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determinations rendered by tax authorities ultimately indicate that management’s assumptions were inappropriate, the result and adjustments required could have a material effect on the Company’s results of operations. Examinations by the Internal Revenue Service of the Company’s federal income tax returns have been largely concluded through 2018, although under statute the income tax returns from 2016 through 2018 could be adjusted. The Company also files income tax returns in over forty states and numerous local jurisdictions. Substantially all material state and local matters have been concluded for years through 2013. It is not reasonably possible to estimate when examinations for any subsequent years will be completed.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62" w:name="page163"/>
    <w:bookmarkEnd w:id="162"/>
    <w:p>
      <w:pPr>
        <w:spacing w:after="0"/>
        <w:tabs>
          <w:tab w:leader="none" w:pos="44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7"/>
          <w:szCs w:val="17"/>
          <w:b w:val="1"/>
          <w:bCs w:val="1"/>
          <w:color w:val="auto"/>
        </w:rPr>
        <w:t>Earnings per common share</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The computations of basic earnings per common share follow:</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0"/>
              </w:rPr>
              <w:t>Year Ended December 31</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76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line="151"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4"/>
              <w:spacing w:after="0" w:line="151"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4"/>
              <w:spacing w:after="0" w:line="151"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1"/>
        </w:trPr>
        <w:tc>
          <w:tcPr>
            <w:tcW w:w="7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gridSpan w:val="7"/>
          </w:tcPr>
          <w:p>
            <w:pPr>
              <w:jc w:val="right"/>
              <w:ind w:right="23"/>
              <w:spacing w:after="0" w:line="151" w:lineRule="exact"/>
              <w:rPr>
                <w:sz w:val="20"/>
                <w:szCs w:val="20"/>
                <w:color w:val="auto"/>
              </w:rPr>
            </w:pPr>
            <w:r>
              <w:rPr>
                <w:rFonts w:ascii="Arial" w:cs="Arial" w:eastAsia="Arial" w:hAnsi="Arial"/>
                <w:sz w:val="14"/>
                <w:szCs w:val="14"/>
                <w:b w:val="1"/>
                <w:bCs w:val="1"/>
                <w:color w:val="auto"/>
              </w:rPr>
              <w:t>(In thousands, except per share)</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Income available to common shareholders:</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76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1,929,149</w:t>
            </w: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1,918,080</w:t>
            </w:r>
          </w:p>
        </w:tc>
        <w:tc>
          <w:tcPr>
            <w:tcW w:w="38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1,408,306</w:t>
            </w:r>
          </w:p>
        </w:tc>
        <w:tc>
          <w:tcPr>
            <w:tcW w:w="100" w:type="dxa"/>
            <w:vAlign w:val="bottom"/>
          </w:tcPr>
          <w:p>
            <w:pPr>
              <w:spacing w:after="0"/>
              <w:rPr>
                <w:sz w:val="19"/>
                <w:szCs w:val="19"/>
                <w:color w:val="auto"/>
              </w:rPr>
            </w:pPr>
          </w:p>
        </w:tc>
      </w:tr>
      <w:tr>
        <w:trPr>
          <w:trHeight w:val="224"/>
        </w:trPr>
        <w:tc>
          <w:tcPr>
            <w:tcW w:w="7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Preferred stock dividends(a)</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(69,441)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(72,521)</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(72,734)</w:t>
            </w:r>
          </w:p>
        </w:tc>
      </w:tr>
      <w:tr>
        <w:trPr>
          <w:trHeight w:val="216"/>
        </w:trPr>
        <w:tc>
          <w:tcPr>
            <w:tcW w:w="7620" w:type="dxa"/>
            <w:vAlign w:val="bottom"/>
          </w:tcPr>
          <w:p>
            <w:pPr>
              <w:ind w:left="240"/>
              <w:spacing w:after="0"/>
              <w:rPr>
                <w:sz w:val="20"/>
                <w:szCs w:val="20"/>
                <w:color w:val="auto"/>
              </w:rPr>
            </w:pPr>
            <w:r>
              <w:rPr>
                <w:rFonts w:ascii="Arial" w:cs="Arial" w:eastAsia="Arial" w:hAnsi="Arial"/>
                <w:sz w:val="18"/>
                <w:szCs w:val="18"/>
                <w:color w:val="auto"/>
              </w:rPr>
              <w:t>Net income available to common equity</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1,859,708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1,845,559</w:t>
            </w: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1,335,572</w:t>
            </w:r>
          </w:p>
        </w:tc>
        <w:tc>
          <w:tcPr>
            <w:tcW w:w="100" w:type="dxa"/>
            <w:vAlign w:val="bottom"/>
          </w:tcPr>
          <w:p>
            <w:pPr>
              <w:spacing w:after="0"/>
              <w:rPr>
                <w:sz w:val="18"/>
                <w:szCs w:val="18"/>
                <w:color w:val="auto"/>
              </w:rPr>
            </w:pPr>
          </w:p>
        </w:tc>
      </w:tr>
      <w:tr>
        <w:trPr>
          <w:trHeight w:val="211"/>
        </w:trPr>
        <w:tc>
          <w:tcPr>
            <w:tcW w:w="7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Income attributable to unvested stock-based</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7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compensation awards</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(10,199)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(9,531)</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(8,069)</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Net income available to common shareholders</w:t>
            </w: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1,849,509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1,836,028</w:t>
            </w:r>
          </w:p>
        </w:tc>
        <w:tc>
          <w:tcPr>
            <w:tcW w:w="38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1,327,503</w:t>
            </w:r>
          </w:p>
        </w:tc>
        <w:tc>
          <w:tcPr>
            <w:tcW w:w="100" w:type="dxa"/>
            <w:vAlign w:val="bottom"/>
          </w:tcPr>
          <w:p>
            <w:pPr>
              <w:spacing w:after="0"/>
              <w:rPr>
                <w:sz w:val="18"/>
                <w:szCs w:val="18"/>
                <w:color w:val="auto"/>
              </w:rPr>
            </w:pPr>
          </w:p>
        </w:tc>
      </w:tr>
      <w:tr>
        <w:trPr>
          <w:trHeight w:val="224"/>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outstanding:</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1"/>
        </w:trPr>
        <w:tc>
          <w:tcPr>
            <w:tcW w:w="7620" w:type="dxa"/>
            <w:vAlign w:val="bottom"/>
          </w:tcPr>
          <w:p>
            <w:pPr>
              <w:ind w:left="240"/>
              <w:spacing w:after="0"/>
              <w:rPr>
                <w:sz w:val="20"/>
                <w:szCs w:val="20"/>
                <w:color w:val="auto"/>
              </w:rPr>
            </w:pPr>
            <w:r>
              <w:rPr>
                <w:rFonts w:ascii="Arial" w:cs="Arial" w:eastAsia="Arial" w:hAnsi="Arial"/>
                <w:sz w:val="18"/>
                <w:szCs w:val="18"/>
                <w:color w:val="auto"/>
              </w:rPr>
              <w:t>Common shares outstanding (including common stock</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7620" w:type="dxa"/>
            <w:vAlign w:val="bottom"/>
          </w:tcPr>
          <w:p>
            <w:pPr>
              <w:ind w:left="380"/>
              <w:spacing w:after="0"/>
              <w:rPr>
                <w:sz w:val="20"/>
                <w:szCs w:val="20"/>
                <w:color w:val="auto"/>
              </w:rPr>
            </w:pPr>
            <w:r>
              <w:rPr>
                <w:rFonts w:ascii="Arial" w:cs="Arial" w:eastAsia="Arial" w:hAnsi="Arial"/>
                <w:sz w:val="18"/>
                <w:szCs w:val="18"/>
                <w:color w:val="auto"/>
              </w:rPr>
              <w:t>issuable) and unvested stock-based compensation awards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135,169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144,740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153,092</w:t>
            </w:r>
          </w:p>
        </w:tc>
        <w:tc>
          <w:tcPr>
            <w:tcW w:w="100" w:type="dxa"/>
            <w:vAlign w:val="bottom"/>
          </w:tcPr>
          <w:p>
            <w:pPr>
              <w:spacing w:after="0"/>
              <w:rPr>
                <w:sz w:val="19"/>
                <w:szCs w:val="19"/>
                <w:color w:val="auto"/>
              </w:rPr>
            </w:pPr>
          </w:p>
        </w:tc>
      </w:tr>
      <w:tr>
        <w:trPr>
          <w:trHeight w:val="224"/>
        </w:trPr>
        <w:tc>
          <w:tcPr>
            <w:tcW w:w="7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Unvested stock-based compensation awards</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(748)</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(933)</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134,428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143,992</w:t>
            </w: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152,159</w:t>
            </w:r>
          </w:p>
        </w:tc>
        <w:tc>
          <w:tcPr>
            <w:tcW w:w="100" w:type="dxa"/>
            <w:vAlign w:val="bottom"/>
          </w:tcPr>
          <w:p>
            <w:pPr>
              <w:spacing w:after="0"/>
              <w:rPr>
                <w:sz w:val="18"/>
                <w:szCs w:val="18"/>
                <w:color w:val="auto"/>
              </w:rPr>
            </w:pPr>
          </w:p>
        </w:tc>
      </w:tr>
      <w:tr>
        <w:trPr>
          <w:trHeight w:val="224"/>
        </w:trPr>
        <w:tc>
          <w:tcPr>
            <w:tcW w:w="7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12.75</w:t>
            </w:r>
          </w:p>
        </w:tc>
        <w:tc>
          <w:tcPr>
            <w:tcW w:w="38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1" w:lineRule="exact"/>
        <w:rPr>
          <w:sz w:val="20"/>
          <w:szCs w:val="20"/>
          <w:color w:val="auto"/>
        </w:rPr>
      </w:pPr>
    </w:p>
    <w:p>
      <w:pPr>
        <w:ind w:left="600" w:right="5640" w:hanging="595"/>
        <w:spacing w:after="0" w:line="421" w:lineRule="auto"/>
        <w:tabs>
          <w:tab w:leader="none" w:pos="593"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Including impact of not as yet declared cumulative dividends. </w:t>
      </w:r>
      <w:r>
        <w:rPr>
          <w:rFonts w:ascii="Arial" w:cs="Arial" w:eastAsia="Arial" w:hAnsi="Arial"/>
          <w:sz w:val="18"/>
          <w:szCs w:val="18"/>
          <w:color w:val="auto"/>
        </w:rPr>
        <w:t>The computations of diluted earnings per common share follow: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0"/>
              </w:rPr>
              <w:t>Year Ended December 31</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76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line="151"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4"/>
              <w:spacing w:after="0" w:line="151"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4"/>
              <w:spacing w:after="0" w:line="151"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76"/>
        </w:trPr>
        <w:tc>
          <w:tcPr>
            <w:tcW w:w="7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7"/>
          </w:tcPr>
          <w:p>
            <w:pPr>
              <w:jc w:val="right"/>
              <w:ind w:right="23"/>
              <w:spacing w:after="0"/>
              <w:rPr>
                <w:sz w:val="20"/>
                <w:szCs w:val="20"/>
                <w:color w:val="auto"/>
              </w:rPr>
            </w:pPr>
            <w:r>
              <w:rPr>
                <w:rFonts w:ascii="Arial" w:cs="Arial" w:eastAsia="Arial" w:hAnsi="Arial"/>
                <w:sz w:val="14"/>
                <w:szCs w:val="14"/>
                <w:b w:val="1"/>
                <w:bCs w:val="1"/>
                <w:color w:val="auto"/>
              </w:rPr>
              <w:t>(In thousands, except per share)</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21"/>
        </w:trPr>
        <w:tc>
          <w:tcPr>
            <w:tcW w:w="7620" w:type="dxa"/>
            <w:vAlign w:val="bottom"/>
          </w:tcPr>
          <w:p>
            <w:pPr>
              <w:spacing w:after="0"/>
              <w:rPr>
                <w:sz w:val="20"/>
                <w:szCs w:val="20"/>
                <w:color w:val="auto"/>
              </w:rPr>
            </w:pPr>
            <w:r>
              <w:rPr>
                <w:rFonts w:ascii="Arial" w:cs="Arial" w:eastAsia="Arial" w:hAnsi="Arial"/>
                <w:sz w:val="18"/>
                <w:szCs w:val="18"/>
                <w:color w:val="auto"/>
              </w:rPr>
              <w:t>Net income available to common equity</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1,859,708</w:t>
            </w:r>
          </w:p>
        </w:tc>
        <w:tc>
          <w:tcPr>
            <w:tcW w:w="10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1,845,559</w:t>
            </w:r>
          </w:p>
        </w:tc>
        <w:tc>
          <w:tcPr>
            <w:tcW w:w="38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1,335,572</w:t>
            </w:r>
          </w:p>
        </w:tc>
        <w:tc>
          <w:tcPr>
            <w:tcW w:w="100" w:type="dxa"/>
            <w:vAlign w:val="bottom"/>
          </w:tcPr>
          <w:p>
            <w:pPr>
              <w:spacing w:after="0"/>
              <w:rPr>
                <w:sz w:val="24"/>
                <w:szCs w:val="24"/>
                <w:color w:val="auto"/>
              </w:rPr>
            </w:pPr>
          </w:p>
        </w:tc>
      </w:tr>
      <w:tr>
        <w:trPr>
          <w:trHeight w:val="211"/>
        </w:trPr>
        <w:tc>
          <w:tcPr>
            <w:tcW w:w="7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Income attributable to unvested stock-based</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7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compensation awards</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(10,197)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(9,524)</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(8,055)</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Net income available to common shareholders</w:t>
            </w: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1,849,511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1,836,035</w:t>
            </w:r>
          </w:p>
        </w:tc>
        <w:tc>
          <w:tcPr>
            <w:tcW w:w="38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1,327,517</w:t>
            </w:r>
          </w:p>
        </w:tc>
        <w:tc>
          <w:tcPr>
            <w:tcW w:w="100" w:type="dxa"/>
            <w:vAlign w:val="bottom"/>
          </w:tcPr>
          <w:p>
            <w:pPr>
              <w:spacing w:after="0"/>
              <w:rPr>
                <w:sz w:val="18"/>
                <w:szCs w:val="18"/>
                <w:color w:val="auto"/>
              </w:rPr>
            </w:pPr>
          </w:p>
        </w:tc>
      </w:tr>
      <w:tr>
        <w:trPr>
          <w:trHeight w:val="224"/>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Adjusted weighted-average shares outstanding:</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7620" w:type="dxa"/>
            <w:vAlign w:val="bottom"/>
          </w:tcPr>
          <w:p>
            <w:pPr>
              <w:ind w:left="240"/>
              <w:spacing w:after="0"/>
              <w:rPr>
                <w:sz w:val="20"/>
                <w:szCs w:val="20"/>
                <w:color w:val="auto"/>
              </w:rPr>
            </w:pPr>
            <w:r>
              <w:rPr>
                <w:rFonts w:ascii="Arial" w:cs="Arial" w:eastAsia="Arial" w:hAnsi="Arial"/>
                <w:sz w:val="18"/>
                <w:szCs w:val="18"/>
                <w:color w:val="auto"/>
              </w:rPr>
              <w:t>Common and unvested stock-based compensation awards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135,169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144,740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153,092</w:t>
            </w:r>
          </w:p>
        </w:tc>
        <w:tc>
          <w:tcPr>
            <w:tcW w:w="100" w:type="dxa"/>
            <w:vAlign w:val="bottom"/>
          </w:tcPr>
          <w:p>
            <w:pPr>
              <w:spacing w:after="0"/>
              <w:rPr>
                <w:sz w:val="19"/>
                <w:szCs w:val="19"/>
                <w:color w:val="auto"/>
              </w:rPr>
            </w:pPr>
          </w:p>
        </w:tc>
      </w:tr>
      <w:tr>
        <w:trPr>
          <w:trHeight w:val="224"/>
        </w:trPr>
        <w:tc>
          <w:tcPr>
            <w:tcW w:w="7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Unvested stock-based compensation awards</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(748)</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(933)</w:t>
            </w:r>
          </w:p>
        </w:tc>
      </w:tr>
      <w:tr>
        <w:trPr>
          <w:trHeight w:val="211"/>
        </w:trPr>
        <w:tc>
          <w:tcPr>
            <w:tcW w:w="7620" w:type="dxa"/>
            <w:vAlign w:val="bottom"/>
          </w:tcPr>
          <w:p>
            <w:pPr>
              <w:ind w:left="240"/>
              <w:spacing w:after="0"/>
              <w:rPr>
                <w:sz w:val="20"/>
                <w:szCs w:val="20"/>
                <w:color w:val="auto"/>
              </w:rPr>
            </w:pPr>
            <w:r>
              <w:rPr>
                <w:rFonts w:ascii="Arial" w:cs="Arial" w:eastAsia="Arial" w:hAnsi="Arial"/>
                <w:sz w:val="18"/>
                <w:szCs w:val="18"/>
                <w:color w:val="auto"/>
              </w:rPr>
              <w:t>Plus: Incremental shares from assumed conversion of</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620" w:type="dxa"/>
            <w:vAlign w:val="bottom"/>
          </w:tcPr>
          <w:p>
            <w:pPr>
              <w:ind w:left="380"/>
              <w:spacing w:after="0"/>
              <w:rPr>
                <w:sz w:val="20"/>
                <w:szCs w:val="20"/>
                <w:color w:val="auto"/>
              </w:rPr>
            </w:pPr>
            <w:r>
              <w:rPr>
                <w:rFonts w:ascii="Arial" w:cs="Arial" w:eastAsia="Arial" w:hAnsi="Arial"/>
                <w:sz w:val="18"/>
                <w:szCs w:val="18"/>
                <w:color w:val="auto"/>
              </w:rPr>
              <w:t>stock-based compensation awards and warrants to</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76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purchase common stock</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3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FF0FC"/>
            </w:tcBorders>
          </w:tcPr>
          <w:p>
            <w:pPr>
              <w:spacing w:after="0"/>
              <w:rPr>
                <w:sz w:val="19"/>
                <w:szCs w:val="19"/>
                <w:color w:val="auto"/>
              </w:rPr>
            </w:pPr>
          </w:p>
        </w:tc>
      </w:tr>
      <w:tr>
        <w:trPr>
          <w:trHeight w:val="217"/>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Adjusted weighted-average shares outstanding</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134,462</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144,151</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152,551</w:t>
            </w:r>
          </w:p>
        </w:tc>
        <w:tc>
          <w:tcPr>
            <w:tcW w:w="100" w:type="dxa"/>
            <w:vAlign w:val="bottom"/>
            <w:shd w:val="clear" w:color="auto" w:fill="CFF0FC"/>
          </w:tcPr>
          <w:p>
            <w:pPr>
              <w:spacing w:after="0"/>
              <w:rPr>
                <w:sz w:val="18"/>
                <w:szCs w:val="18"/>
                <w:color w:val="auto"/>
              </w:rPr>
            </w:pPr>
          </w:p>
        </w:tc>
      </w:tr>
      <w:tr>
        <w:trPr>
          <w:trHeight w:val="223"/>
        </w:trPr>
        <w:tc>
          <w:tcPr>
            <w:tcW w:w="7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FF0FC"/>
          </w:tcPr>
          <w:p>
            <w:pPr>
              <w:spacing w:after="0"/>
              <w:rPr>
                <w:sz w:val="19"/>
                <w:szCs w:val="19"/>
                <w:color w:val="auto"/>
              </w:rPr>
            </w:pPr>
          </w:p>
        </w:tc>
      </w:tr>
    </w:tbl>
    <w:p>
      <w:pPr>
        <w:spacing w:after="0" w:line="197" w:lineRule="exact"/>
        <w:rPr>
          <w:sz w:val="20"/>
          <w:szCs w:val="20"/>
          <w:color w:val="auto"/>
        </w:rPr>
      </w:pPr>
    </w:p>
    <w:p>
      <w:pPr>
        <w:ind w:right="120" w:firstLine="598"/>
        <w:spacing w:after="0" w:line="251" w:lineRule="auto"/>
        <w:rPr>
          <w:sz w:val="20"/>
          <w:szCs w:val="20"/>
          <w:color w:val="auto"/>
        </w:rPr>
      </w:pPr>
      <w:r>
        <w:rPr>
          <w:rFonts w:ascii="Arial" w:cs="Arial" w:eastAsia="Arial" w:hAnsi="Arial"/>
          <w:sz w:val="20"/>
          <w:szCs w:val="20"/>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2" w:lineRule="exact"/>
        <w:rPr>
          <w:sz w:val="20"/>
          <w:szCs w:val="20"/>
          <w:color w:val="auto"/>
        </w:rPr>
      </w:pPr>
    </w:p>
    <w:p>
      <w:pPr>
        <w:ind w:right="40" w:firstLine="598"/>
        <w:spacing w:after="0" w:line="251" w:lineRule="auto"/>
        <w:rPr>
          <w:sz w:val="20"/>
          <w:szCs w:val="20"/>
          <w:color w:val="auto"/>
        </w:rPr>
      </w:pPr>
      <w:r>
        <w:rPr>
          <w:rFonts w:ascii="Arial" w:cs="Arial" w:eastAsia="Arial" w:hAnsi="Arial"/>
          <w:sz w:val="20"/>
          <w:szCs w:val="20"/>
          <w:color w:val="auto"/>
        </w:rPr>
        <w:t>Stock-based compensation awards and warrants to purchase common stock of M&amp;T representing common shares of 238,000 in 2019, 194,000 in 2018 and 401,000 in 2017 were not included in the computations of diluted earnings per common share because the effect on those years would have been antidilutive.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63" w:name="page164"/>
    <w:bookmarkEnd w:id="163"/>
    <w:p>
      <w:pPr>
        <w:spacing w:after="0"/>
        <w:tabs>
          <w:tab w:leader="none" w:pos="44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7"/>
          <w:szCs w:val="17"/>
          <w:b w:val="1"/>
          <w:bCs w:val="1"/>
          <w:color w:val="auto"/>
        </w:rPr>
        <w:t>Comprehensive income</w:t>
      </w:r>
    </w:p>
    <w:p>
      <w:pPr>
        <w:spacing w:after="0" w:line="29" w:lineRule="exact"/>
        <w:rPr>
          <w:sz w:val="20"/>
          <w:szCs w:val="20"/>
          <w:color w:val="auto"/>
        </w:rPr>
      </w:pPr>
    </w:p>
    <w:p>
      <w:pPr>
        <w:ind w:right="120"/>
        <w:spacing w:after="0" w:line="249" w:lineRule="auto"/>
        <w:rPr>
          <w:sz w:val="20"/>
          <w:szCs w:val="20"/>
          <w:color w:val="auto"/>
        </w:rPr>
      </w:pPr>
      <w:r>
        <w:rPr>
          <w:rFonts w:ascii="Arial" w:cs="Arial" w:eastAsia="Arial" w:hAnsi="Arial"/>
          <w:sz w:val="20"/>
          <w:szCs w:val="20"/>
          <w:color w:val="auto"/>
        </w:rPr>
        <w:t>In February 2018, the FASB issued accounting guidance related to reclassification of certain tax effects from AOCI so that following enactment of the Tax Act the tax effects of items within AOCI reflect the appropriate tax. The guidance provided for a reclassification from AOCI to retained earnings for the effect of remeasuring deferred tax assets and liabilities related to items within AOCI at the 21 percent corporate tax rate established by the Tax Act. The impact of that reclassification was an increase in retained earnings as of December 31, 2017 resulting from items remaining in AOCI as of that date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0"/>
        </w:trPr>
        <w:tc>
          <w:tcPr>
            <w:tcW w:w="4640" w:type="dxa"/>
            <w:vAlign w:val="bottom"/>
            <w:shd w:val="clear" w:color="auto" w:fill="CFF0FC"/>
          </w:tcPr>
          <w:p>
            <w:pPr>
              <w:spacing w:after="0"/>
              <w:rPr>
                <w:sz w:val="21"/>
                <w:szCs w:val="21"/>
                <w:color w:val="auto"/>
              </w:rPr>
            </w:pPr>
          </w:p>
        </w:tc>
        <w:tc>
          <w:tcPr>
            <w:tcW w:w="5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0"/>
                <w:szCs w:val="20"/>
                <w:color w:val="auto"/>
              </w:rPr>
            </w:pPr>
            <w:r>
              <w:rPr>
                <w:rFonts w:ascii="Arial" w:cs="Arial" w:eastAsia="Arial" w:hAnsi="Arial"/>
                <w:sz w:val="20"/>
                <w:szCs w:val="20"/>
                <w:color w:val="auto"/>
              </w:rPr>
              <w:t>Net unrealized losses on investment securities</w:t>
            </w:r>
          </w:p>
        </w:tc>
        <w:tc>
          <w:tcPr>
            <w:tcW w:w="5620" w:type="dxa"/>
            <w:vAlign w:val="bottom"/>
            <w:gridSpan w:val="2"/>
          </w:tcPr>
          <w:p>
            <w:pPr>
              <w:jc w:val="right"/>
              <w:ind w:right="7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8,065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40" w:type="dxa"/>
            <w:vAlign w:val="bottom"/>
            <w:shd w:val="clear" w:color="auto" w:fill="CFF0FC"/>
          </w:tcPr>
          <w:p>
            <w:pPr>
              <w:spacing w:after="0"/>
              <w:rPr>
                <w:sz w:val="20"/>
                <w:szCs w:val="20"/>
                <w:color w:val="auto"/>
              </w:rPr>
            </w:pPr>
            <w:r>
              <w:rPr>
                <w:rFonts w:ascii="Arial" w:cs="Arial" w:eastAsia="Arial" w:hAnsi="Arial"/>
                <w:sz w:val="20"/>
                <w:szCs w:val="20"/>
                <w:color w:val="auto"/>
              </w:rPr>
              <w:t>Defined benefit plans liability adjustments</w:t>
            </w:r>
          </w:p>
        </w:tc>
        <w:tc>
          <w:tcPr>
            <w:tcW w:w="5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53,960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Cash flow hedges and other</w:t>
            </w:r>
          </w:p>
        </w:tc>
        <w:tc>
          <w:tcPr>
            <w:tcW w:w="53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Increase to retained earnings</w:t>
            </w:r>
          </w:p>
        </w:tc>
        <w:tc>
          <w:tcPr>
            <w:tcW w:w="53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64,029</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5340" w:type="dxa"/>
            <w:vAlign w:val="bottom"/>
            <w:vMerge w:val="restart"/>
          </w:tcPr>
          <w:p>
            <w:pPr>
              <w:jc w:val="right"/>
              <w:ind w:right="4046"/>
              <w:spacing w:after="0"/>
              <w:rPr>
                <w:sz w:val="20"/>
                <w:szCs w:val="20"/>
                <w:color w:val="auto"/>
              </w:rPr>
            </w:pPr>
            <w:r>
              <w:rPr>
                <w:rFonts w:ascii="Arial" w:cs="Arial" w:eastAsia="Arial" w:hAnsi="Arial"/>
                <w:sz w:val="18"/>
                <w:szCs w:val="18"/>
                <w:color w:val="auto"/>
              </w:rPr>
              <w:t>164</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4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640" w:type="dxa"/>
            <w:vAlign w:val="bottom"/>
            <w:tcBorders>
              <w:bottom w:val="single" w:sz="8" w:color="9A9A9A"/>
            </w:tcBorders>
          </w:tcPr>
          <w:p>
            <w:pPr>
              <w:spacing w:after="0"/>
              <w:rPr>
                <w:sz w:val="9"/>
                <w:szCs w:val="9"/>
                <w:color w:val="auto"/>
              </w:rPr>
            </w:pPr>
          </w:p>
        </w:tc>
        <w:tc>
          <w:tcPr>
            <w:tcW w:w="5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64" w:name="page165"/>
    <w:bookmarkEnd w:id="164"/>
    <w:p>
      <w:pPr>
        <w:ind w:right="280" w:firstLine="878"/>
        <w:spacing w:after="0" w:line="275" w:lineRule="auto"/>
        <w:rPr>
          <w:sz w:val="20"/>
          <w:szCs w:val="20"/>
          <w:color w:val="auto"/>
        </w:rPr>
      </w:pPr>
      <w:r>
        <w:rPr>
          <w:rFonts w:ascii="Arial" w:cs="Arial" w:eastAsia="Arial" w:hAnsi="Arial"/>
          <w:sz w:val="20"/>
          <w:szCs w:val="20"/>
          <w:color w:val="auto"/>
        </w:rPr>
        <w:t>The following tables display the components of other comprehensive income (loss) and amounts reclassified from accumulated other comprehensive income (loss) to net income: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Defined</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Total</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4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Investment</w:t>
            </w:r>
          </w:p>
        </w:tc>
        <w:tc>
          <w:tcPr>
            <w:tcW w:w="10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Benefit</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Amount</w:t>
            </w:r>
          </w:p>
        </w:tc>
        <w:tc>
          <w:tcPr>
            <w:tcW w:w="32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Income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4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7"/>
              </w:rPr>
              <w:t>Securities (a)</w:t>
            </w:r>
          </w:p>
        </w:tc>
        <w:tc>
          <w:tcPr>
            <w:tcW w:w="10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Plans</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13"/>
                <w:szCs w:val="13"/>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9"/>
              </w:rPr>
              <w:t>Before Tax</w:t>
            </w:r>
          </w:p>
        </w:tc>
        <w:tc>
          <w:tcPr>
            <w:tcW w:w="3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Tax</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Net</w:t>
            </w:r>
          </w:p>
        </w:tc>
      </w:tr>
      <w:tr>
        <w:trPr>
          <w:trHeight w:val="163"/>
        </w:trPr>
        <w:tc>
          <w:tcPr>
            <w:tcW w:w="4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6"/>
          </w:tcPr>
          <w:p>
            <w:pPr>
              <w:jc w:val="right"/>
              <w:ind w:right="600"/>
              <w:spacing w:after="0"/>
              <w:rPr>
                <w:sz w:val="20"/>
                <w:szCs w:val="20"/>
                <w:color w:val="auto"/>
              </w:rPr>
            </w:pPr>
            <w:r>
              <w:rPr>
                <w:rFonts w:ascii="Arial" w:cs="Arial" w:eastAsia="Arial" w:hAnsi="Arial"/>
                <w:sz w:val="13"/>
                <w:szCs w:val="13"/>
                <w:b w:val="1"/>
                <w:bCs w:val="1"/>
                <w:color w:val="auto"/>
              </w:rPr>
              <w:t>(In thousands)</w:t>
            </w: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4380" w:type="dxa"/>
            <w:vAlign w:val="bottom"/>
          </w:tcPr>
          <w:p>
            <w:pPr>
              <w:spacing w:after="0"/>
              <w:rPr>
                <w:sz w:val="20"/>
                <w:szCs w:val="20"/>
                <w:color w:val="auto"/>
              </w:rPr>
            </w:pPr>
            <w:r>
              <w:rPr>
                <w:rFonts w:ascii="Arial" w:cs="Arial" w:eastAsia="Arial" w:hAnsi="Arial"/>
                <w:sz w:val="14"/>
                <w:szCs w:val="14"/>
                <w:color w:val="auto"/>
              </w:rPr>
              <w:t>Balance — January 1, 2019</w:t>
            </w:r>
          </w:p>
        </w:tc>
        <w:tc>
          <w:tcPr>
            <w:tcW w:w="1440" w:type="dxa"/>
            <w:vAlign w:val="bottom"/>
            <w:gridSpan w:val="2"/>
          </w:tcPr>
          <w:p>
            <w:pPr>
              <w:jc w:val="right"/>
              <w:ind w:right="5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(200,107)</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color w:val="auto"/>
              </w:rPr>
              <w:t>(354,502)</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(14,719)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(569,328)</w:t>
            </w: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149,247</w:t>
            </w:r>
          </w:p>
        </w:tc>
        <w:tc>
          <w:tcPr>
            <w:tcW w:w="2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(420,081)</w:t>
            </w:r>
          </w:p>
        </w:tc>
      </w:tr>
      <w:tr>
        <w:trPr>
          <w:trHeight w:val="163"/>
        </w:trPr>
        <w:tc>
          <w:tcPr>
            <w:tcW w:w="4380" w:type="dxa"/>
            <w:vAlign w:val="bottom"/>
          </w:tcPr>
          <w:p>
            <w:pPr>
              <w:spacing w:after="0"/>
              <w:rPr>
                <w:sz w:val="20"/>
                <w:szCs w:val="20"/>
                <w:color w:val="auto"/>
              </w:rPr>
            </w:pPr>
            <w:r>
              <w:rPr>
                <w:rFonts w:ascii="Arial" w:cs="Arial" w:eastAsia="Arial" w:hAnsi="Arial"/>
                <w:sz w:val="14"/>
                <w:szCs w:val="14"/>
                <w:color w:val="auto"/>
              </w:rPr>
              <w:t>Other comprehensive income before reclassifications:</w:t>
            </w: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4380" w:type="dxa"/>
            <w:vAlign w:val="bottom"/>
            <w:shd w:val="clear" w:color="auto" w:fill="CFF0FC"/>
          </w:tcPr>
          <w:p>
            <w:pPr>
              <w:ind w:left="220"/>
              <w:spacing w:after="0" w:line="158" w:lineRule="exact"/>
              <w:rPr>
                <w:sz w:val="20"/>
                <w:szCs w:val="20"/>
                <w:color w:val="auto"/>
              </w:rPr>
            </w:pPr>
            <w:r>
              <w:rPr>
                <w:rFonts w:ascii="Arial" w:cs="Arial" w:eastAsia="Arial" w:hAnsi="Arial"/>
                <w:sz w:val="14"/>
                <w:szCs w:val="14"/>
                <w:color w:val="auto"/>
              </w:rPr>
              <w:t>Unrealized holding gains, net</w:t>
            </w:r>
          </w:p>
        </w:tc>
        <w:tc>
          <w:tcPr>
            <w:tcW w:w="1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247,411</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247,411</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line="158" w:lineRule="exact"/>
              <w:rPr>
                <w:sz w:val="20"/>
                <w:szCs w:val="20"/>
                <w:color w:val="auto"/>
              </w:rPr>
            </w:pPr>
            <w:r>
              <w:rPr>
                <w:rFonts w:ascii="Arial" w:cs="Arial" w:eastAsia="Arial" w:hAnsi="Arial"/>
                <w:sz w:val="14"/>
                <w:szCs w:val="14"/>
                <w:color w:val="auto"/>
              </w:rPr>
              <w:t>(65,009)</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182,402</w:t>
            </w:r>
          </w:p>
        </w:tc>
        <w:tc>
          <w:tcPr>
            <w:tcW w:w="100" w:type="dxa"/>
            <w:vAlign w:val="bottom"/>
            <w:shd w:val="clear" w:color="auto" w:fill="CFF0FC"/>
          </w:tcPr>
          <w:p>
            <w:pPr>
              <w:spacing w:after="0"/>
              <w:rPr>
                <w:sz w:val="13"/>
                <w:szCs w:val="13"/>
                <w:color w:val="auto"/>
              </w:rPr>
            </w:pPr>
          </w:p>
        </w:tc>
      </w:tr>
      <w:tr>
        <w:trPr>
          <w:trHeight w:val="158"/>
        </w:trPr>
        <w:tc>
          <w:tcPr>
            <w:tcW w:w="4380" w:type="dxa"/>
            <w:vAlign w:val="bottom"/>
          </w:tcPr>
          <w:p>
            <w:pPr>
              <w:ind w:left="220"/>
              <w:spacing w:after="0" w:line="158" w:lineRule="exact"/>
              <w:rPr>
                <w:sz w:val="20"/>
                <w:szCs w:val="20"/>
                <w:color w:val="auto"/>
              </w:rPr>
            </w:pPr>
            <w:r>
              <w:rPr>
                <w:rFonts w:ascii="Arial" w:cs="Arial" w:eastAsia="Arial" w:hAnsi="Arial"/>
                <w:sz w:val="14"/>
                <w:szCs w:val="14"/>
                <w:color w:val="auto"/>
              </w:rPr>
              <w:t>Foreign currency translation adjustment</w:t>
            </w: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1,381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1,381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(290)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1,091</w:t>
            </w:r>
          </w:p>
        </w:tc>
        <w:tc>
          <w:tcPr>
            <w:tcW w:w="100" w:type="dxa"/>
            <w:vAlign w:val="bottom"/>
          </w:tcPr>
          <w:p>
            <w:pPr>
              <w:spacing w:after="0"/>
              <w:rPr>
                <w:sz w:val="13"/>
                <w:szCs w:val="13"/>
                <w:color w:val="auto"/>
              </w:rPr>
            </w:pPr>
          </w:p>
        </w:tc>
      </w:tr>
      <w:tr>
        <w:trPr>
          <w:trHeight w:val="158"/>
        </w:trPr>
        <w:tc>
          <w:tcPr>
            <w:tcW w:w="4380" w:type="dxa"/>
            <w:vAlign w:val="bottom"/>
            <w:shd w:val="clear" w:color="auto" w:fill="CFF0FC"/>
          </w:tcPr>
          <w:p>
            <w:pPr>
              <w:ind w:left="220"/>
              <w:spacing w:after="0" w:line="158" w:lineRule="exact"/>
              <w:rPr>
                <w:sz w:val="20"/>
                <w:szCs w:val="20"/>
                <w:color w:val="auto"/>
              </w:rPr>
            </w:pPr>
            <w:r>
              <w:rPr>
                <w:rFonts w:ascii="Arial" w:cs="Arial" w:eastAsia="Arial" w:hAnsi="Arial"/>
                <w:sz w:val="14"/>
                <w:szCs w:val="14"/>
                <w:color w:val="auto"/>
              </w:rPr>
              <w:t>Unrealized gains on cash flow hedges</w:t>
            </w:r>
          </w:p>
        </w:tc>
        <w:tc>
          <w:tcPr>
            <w:tcW w:w="1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160,373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160,373</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line="158" w:lineRule="exact"/>
              <w:rPr>
                <w:sz w:val="20"/>
                <w:szCs w:val="20"/>
                <w:color w:val="auto"/>
              </w:rPr>
            </w:pPr>
            <w:r>
              <w:rPr>
                <w:rFonts w:ascii="Arial" w:cs="Arial" w:eastAsia="Arial" w:hAnsi="Arial"/>
                <w:sz w:val="14"/>
                <w:szCs w:val="14"/>
                <w:color w:val="auto"/>
              </w:rPr>
              <w:t>(42,163)</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118,210</w:t>
            </w:r>
          </w:p>
        </w:tc>
        <w:tc>
          <w:tcPr>
            <w:tcW w:w="100" w:type="dxa"/>
            <w:vAlign w:val="bottom"/>
            <w:shd w:val="clear" w:color="auto" w:fill="CFF0FC"/>
          </w:tcPr>
          <w:p>
            <w:pPr>
              <w:spacing w:after="0"/>
              <w:rPr>
                <w:sz w:val="13"/>
                <w:szCs w:val="13"/>
                <w:color w:val="auto"/>
              </w:rPr>
            </w:pPr>
          </w:p>
        </w:tc>
      </w:tr>
      <w:tr>
        <w:trPr>
          <w:trHeight w:val="158"/>
        </w:trPr>
        <w:tc>
          <w:tcPr>
            <w:tcW w:w="4380" w:type="dxa"/>
            <w:vAlign w:val="bottom"/>
          </w:tcPr>
          <w:p>
            <w:pPr>
              <w:ind w:left="220"/>
              <w:spacing w:after="0" w:line="158" w:lineRule="exact"/>
              <w:rPr>
                <w:sz w:val="20"/>
                <w:szCs w:val="20"/>
                <w:color w:val="auto"/>
              </w:rPr>
            </w:pPr>
            <w:r>
              <w:rPr>
                <w:rFonts w:ascii="Arial" w:cs="Arial" w:eastAsia="Arial" w:hAnsi="Arial"/>
                <w:sz w:val="14"/>
                <w:szCs w:val="14"/>
                <w:color w:val="auto"/>
              </w:rPr>
              <w:t>Current year benefit plans losses</w:t>
            </w: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20"/>
              <w:spacing w:after="0" w:line="158" w:lineRule="exact"/>
              <w:rPr>
                <w:sz w:val="20"/>
                <w:szCs w:val="20"/>
                <w:color w:val="auto"/>
              </w:rPr>
            </w:pPr>
            <w:r>
              <w:rPr>
                <w:rFonts w:ascii="Arial" w:cs="Arial" w:eastAsia="Arial" w:hAnsi="Arial"/>
                <w:sz w:val="14"/>
                <w:szCs w:val="14"/>
                <w:color w:val="auto"/>
              </w:rPr>
              <w:t>(126,618)</w:t>
            </w:r>
          </w:p>
        </w:tc>
        <w:tc>
          <w:tcPr>
            <w:tcW w:w="7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(126,618)</w:t>
            </w:r>
          </w:p>
        </w:tc>
        <w:tc>
          <w:tcPr>
            <w:tcW w:w="32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33,287</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(93,331)</w:t>
            </w:r>
          </w:p>
        </w:tc>
      </w:tr>
      <w:tr>
        <w:trPr>
          <w:trHeight w:val="132"/>
        </w:trPr>
        <w:tc>
          <w:tcPr>
            <w:tcW w:w="438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color w:val="auto"/>
              </w:rPr>
              <w:t>Total other comprehensive income (loss) before</w:t>
            </w:r>
          </w:p>
        </w:tc>
        <w:tc>
          <w:tcPr>
            <w:tcW w:w="128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63"/>
        </w:trPr>
        <w:tc>
          <w:tcPr>
            <w:tcW w:w="43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reclassifications</w:t>
            </w:r>
          </w:p>
        </w:tc>
        <w:tc>
          <w:tcPr>
            <w:tcW w:w="1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247,411</w:t>
            </w:r>
          </w:p>
        </w:tc>
        <w:tc>
          <w:tcPr>
            <w:tcW w:w="100" w:type="dxa"/>
            <w:vAlign w:val="bottom"/>
            <w:shd w:val="clear" w:color="auto" w:fill="CFF0FC"/>
          </w:tcPr>
          <w:p>
            <w:pPr>
              <w:spacing w:after="0"/>
              <w:rPr>
                <w:sz w:val="14"/>
                <w:szCs w:val="14"/>
                <w:color w:val="auto"/>
              </w:rPr>
            </w:pPr>
          </w:p>
        </w:tc>
        <w:tc>
          <w:tcPr>
            <w:tcW w:w="94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(126,618)</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161,754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282,547</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(74,175)</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208,372</w:t>
            </w:r>
          </w:p>
        </w:tc>
        <w:tc>
          <w:tcPr>
            <w:tcW w:w="100" w:type="dxa"/>
            <w:vAlign w:val="bottom"/>
            <w:shd w:val="clear" w:color="auto" w:fill="CFF0FC"/>
          </w:tcPr>
          <w:p>
            <w:pPr>
              <w:spacing w:after="0"/>
              <w:rPr>
                <w:sz w:val="14"/>
                <w:szCs w:val="14"/>
                <w:color w:val="auto"/>
              </w:rPr>
            </w:pPr>
          </w:p>
        </w:tc>
      </w:tr>
      <w:tr>
        <w:trPr>
          <w:trHeight w:val="132"/>
        </w:trPr>
        <w:tc>
          <w:tcPr>
            <w:tcW w:w="4380" w:type="dxa"/>
            <w:vAlign w:val="bottom"/>
          </w:tcPr>
          <w:p>
            <w:pPr>
              <w:spacing w:after="0" w:line="133" w:lineRule="exact"/>
              <w:rPr>
                <w:sz w:val="20"/>
                <w:szCs w:val="20"/>
                <w:color w:val="auto"/>
              </w:rPr>
            </w:pPr>
            <w:r>
              <w:rPr>
                <w:rFonts w:ascii="Arial" w:cs="Arial" w:eastAsia="Arial" w:hAnsi="Arial"/>
                <w:sz w:val="14"/>
                <w:szCs w:val="14"/>
                <w:color w:val="auto"/>
              </w:rPr>
              <w:t>Amounts reclassified from accumulated other</w:t>
            </w:r>
          </w:p>
        </w:tc>
        <w:tc>
          <w:tcPr>
            <w:tcW w:w="1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5"/>
        </w:trPr>
        <w:tc>
          <w:tcPr>
            <w:tcW w:w="4380" w:type="dxa"/>
            <w:vAlign w:val="bottom"/>
          </w:tcPr>
          <w:p>
            <w:pPr>
              <w:ind w:left="120"/>
              <w:spacing w:after="0" w:line="145" w:lineRule="exact"/>
              <w:rPr>
                <w:sz w:val="20"/>
                <w:szCs w:val="20"/>
                <w:color w:val="auto"/>
              </w:rPr>
            </w:pPr>
            <w:r>
              <w:rPr>
                <w:rFonts w:ascii="Arial" w:cs="Arial" w:eastAsia="Arial" w:hAnsi="Arial"/>
                <w:sz w:val="14"/>
                <w:szCs w:val="14"/>
                <w:color w:val="auto"/>
              </w:rPr>
              <w:t>comprehensive income that (increase) decrease net</w:t>
            </w: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3"/>
        </w:trPr>
        <w:tc>
          <w:tcPr>
            <w:tcW w:w="4380" w:type="dxa"/>
            <w:vAlign w:val="bottom"/>
          </w:tcPr>
          <w:p>
            <w:pPr>
              <w:ind w:left="120"/>
              <w:spacing w:after="0"/>
              <w:rPr>
                <w:sz w:val="20"/>
                <w:szCs w:val="20"/>
                <w:color w:val="auto"/>
              </w:rPr>
            </w:pPr>
            <w:r>
              <w:rPr>
                <w:rFonts w:ascii="Arial" w:cs="Arial" w:eastAsia="Arial" w:hAnsi="Arial"/>
                <w:sz w:val="14"/>
                <w:szCs w:val="14"/>
                <w:color w:val="auto"/>
              </w:rPr>
              <w:t>income:</w:t>
            </w: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9"/>
        </w:trPr>
        <w:tc>
          <w:tcPr>
            <w:tcW w:w="4380" w:type="dxa"/>
            <w:vAlign w:val="bottom"/>
            <w:shd w:val="clear" w:color="auto" w:fill="CFF0FC"/>
          </w:tcPr>
          <w:p>
            <w:pPr>
              <w:ind w:left="200"/>
              <w:spacing w:after="0" w:line="139" w:lineRule="exact"/>
              <w:rPr>
                <w:sz w:val="20"/>
                <w:szCs w:val="20"/>
                <w:color w:val="auto"/>
              </w:rPr>
            </w:pPr>
            <w:r>
              <w:rPr>
                <w:rFonts w:ascii="Arial" w:cs="Arial" w:eastAsia="Arial" w:hAnsi="Arial"/>
                <w:sz w:val="14"/>
                <w:szCs w:val="14"/>
                <w:color w:val="auto"/>
              </w:rPr>
              <w:t>Amortization of unrealized holding losses on</w:t>
            </w:r>
          </w:p>
        </w:tc>
        <w:tc>
          <w:tcPr>
            <w:tcW w:w="1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3"/>
        </w:trPr>
        <w:tc>
          <w:tcPr>
            <w:tcW w:w="4380" w:type="dxa"/>
            <w:vAlign w:val="bottom"/>
            <w:shd w:val="clear" w:color="auto" w:fill="CFF0FC"/>
          </w:tcPr>
          <w:p>
            <w:pPr>
              <w:ind w:left="400"/>
              <w:spacing w:after="0"/>
              <w:rPr>
                <w:sz w:val="20"/>
                <w:szCs w:val="20"/>
                <w:color w:val="auto"/>
              </w:rPr>
            </w:pPr>
            <w:r>
              <w:rPr>
                <w:rFonts w:ascii="Arial" w:cs="Arial" w:eastAsia="Arial" w:hAnsi="Arial"/>
                <w:sz w:val="14"/>
                <w:szCs w:val="14"/>
                <w:color w:val="auto"/>
              </w:rPr>
              <w:t>held-to-maturity (“HTM”) securities</w:t>
            </w:r>
          </w:p>
        </w:tc>
        <w:tc>
          <w:tcPr>
            <w:tcW w:w="1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3,394</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(c)</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(892)</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2,502</w:t>
            </w:r>
          </w:p>
        </w:tc>
        <w:tc>
          <w:tcPr>
            <w:tcW w:w="100" w:type="dxa"/>
            <w:vAlign w:val="bottom"/>
            <w:shd w:val="clear" w:color="auto" w:fill="CFF0FC"/>
          </w:tcPr>
          <w:p>
            <w:pPr>
              <w:spacing w:after="0"/>
              <w:rPr>
                <w:sz w:val="14"/>
                <w:szCs w:val="14"/>
                <w:color w:val="auto"/>
              </w:rPr>
            </w:pPr>
          </w:p>
        </w:tc>
      </w:tr>
      <w:tr>
        <w:trPr>
          <w:trHeight w:val="158"/>
        </w:trPr>
        <w:tc>
          <w:tcPr>
            <w:tcW w:w="4380" w:type="dxa"/>
            <w:vAlign w:val="bottom"/>
          </w:tcPr>
          <w:p>
            <w:pPr>
              <w:ind w:left="220"/>
              <w:spacing w:after="0" w:line="158" w:lineRule="exact"/>
              <w:rPr>
                <w:sz w:val="20"/>
                <w:szCs w:val="20"/>
                <w:color w:val="auto"/>
              </w:rPr>
            </w:pPr>
            <w:r>
              <w:rPr>
                <w:rFonts w:ascii="Arial" w:cs="Arial" w:eastAsia="Arial" w:hAnsi="Arial"/>
                <w:sz w:val="14"/>
                <w:szCs w:val="14"/>
                <w:color w:val="auto"/>
              </w:rPr>
              <w:t>Losses realized in net income</w:t>
            </w: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line="158"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3"/>
                <w:szCs w:val="13"/>
                <w:color w:val="auto"/>
              </w:rPr>
            </w:pPr>
          </w:p>
        </w:tc>
        <w:tc>
          <w:tcPr>
            <w:tcW w:w="320" w:type="dxa"/>
            <w:vAlign w:val="bottom"/>
          </w:tcPr>
          <w:p>
            <w:pPr>
              <w:jc w:val="right"/>
              <w:ind w:right="50"/>
              <w:spacing w:after="0" w:line="158" w:lineRule="exact"/>
              <w:rPr>
                <w:sz w:val="20"/>
                <w:szCs w:val="20"/>
                <w:color w:val="auto"/>
              </w:rPr>
            </w:pPr>
            <w:r>
              <w:rPr>
                <w:rFonts w:ascii="Arial" w:cs="Arial" w:eastAsia="Arial" w:hAnsi="Arial"/>
                <w:sz w:val="14"/>
                <w:szCs w:val="14"/>
                <w:color w:val="auto"/>
              </w:rPr>
              <w:t>(d)</w:t>
            </w:r>
          </w:p>
        </w:tc>
        <w:tc>
          <w:tcPr>
            <w:tcW w:w="80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r>
      <w:tr>
        <w:trPr>
          <w:trHeight w:val="139"/>
        </w:trPr>
        <w:tc>
          <w:tcPr>
            <w:tcW w:w="4380" w:type="dxa"/>
            <w:vAlign w:val="bottom"/>
            <w:shd w:val="clear" w:color="auto" w:fill="CFF0FC"/>
          </w:tcPr>
          <w:p>
            <w:pPr>
              <w:ind w:left="200"/>
              <w:spacing w:after="0" w:line="139" w:lineRule="exact"/>
              <w:rPr>
                <w:sz w:val="20"/>
                <w:szCs w:val="20"/>
                <w:color w:val="auto"/>
              </w:rPr>
            </w:pPr>
            <w:r>
              <w:rPr>
                <w:rFonts w:ascii="Arial" w:cs="Arial" w:eastAsia="Arial" w:hAnsi="Arial"/>
                <w:sz w:val="14"/>
                <w:szCs w:val="14"/>
                <w:color w:val="auto"/>
              </w:rPr>
              <w:t>Accretion of net gain on terminated cash flow</w:t>
            </w:r>
          </w:p>
        </w:tc>
        <w:tc>
          <w:tcPr>
            <w:tcW w:w="1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3"/>
        </w:trPr>
        <w:tc>
          <w:tcPr>
            <w:tcW w:w="4380" w:type="dxa"/>
            <w:vAlign w:val="bottom"/>
            <w:shd w:val="clear" w:color="auto" w:fill="CFF0FC"/>
          </w:tcPr>
          <w:p>
            <w:pPr>
              <w:ind w:left="400"/>
              <w:spacing w:after="0"/>
              <w:rPr>
                <w:sz w:val="20"/>
                <w:szCs w:val="20"/>
                <w:color w:val="auto"/>
              </w:rPr>
            </w:pPr>
            <w:r>
              <w:rPr>
                <w:rFonts w:ascii="Arial" w:cs="Arial" w:eastAsia="Arial" w:hAnsi="Arial"/>
                <w:sz w:val="14"/>
                <w:szCs w:val="14"/>
                <w:color w:val="auto"/>
              </w:rPr>
              <w:t>hedges</w:t>
            </w:r>
          </w:p>
        </w:tc>
        <w:tc>
          <w:tcPr>
            <w:tcW w:w="1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(136)</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(136)</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(e)</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w:t>
            </w:r>
          </w:p>
        </w:tc>
      </w:tr>
      <w:tr>
        <w:trPr>
          <w:trHeight w:val="139"/>
        </w:trPr>
        <w:tc>
          <w:tcPr>
            <w:tcW w:w="4380" w:type="dxa"/>
            <w:vAlign w:val="bottom"/>
          </w:tcPr>
          <w:p>
            <w:pPr>
              <w:ind w:left="220"/>
              <w:spacing w:after="0" w:line="139" w:lineRule="exact"/>
              <w:rPr>
                <w:sz w:val="20"/>
                <w:szCs w:val="20"/>
                <w:color w:val="auto"/>
              </w:rPr>
            </w:pPr>
            <w:r>
              <w:rPr>
                <w:rFonts w:ascii="Arial" w:cs="Arial" w:eastAsia="Arial" w:hAnsi="Arial"/>
                <w:sz w:val="14"/>
                <w:szCs w:val="14"/>
                <w:color w:val="auto"/>
              </w:rPr>
              <w:t>Net yield adjustment from cash flow hedges</w:t>
            </w: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3"/>
        </w:trPr>
        <w:tc>
          <w:tcPr>
            <w:tcW w:w="4380" w:type="dxa"/>
            <w:vAlign w:val="bottom"/>
          </w:tcPr>
          <w:p>
            <w:pPr>
              <w:ind w:left="400"/>
              <w:spacing w:after="0"/>
              <w:rPr>
                <w:sz w:val="20"/>
                <w:szCs w:val="20"/>
                <w:color w:val="auto"/>
              </w:rPr>
            </w:pPr>
            <w:r>
              <w:rPr>
                <w:rFonts w:ascii="Arial" w:cs="Arial" w:eastAsia="Arial" w:hAnsi="Arial"/>
                <w:sz w:val="14"/>
                <w:szCs w:val="14"/>
                <w:color w:val="auto"/>
              </w:rPr>
              <w:t>currently in effect</w:t>
            </w: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(13,011)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(13,011)</w:t>
            </w:r>
          </w:p>
        </w:tc>
        <w:tc>
          <w:tcPr>
            <w:tcW w:w="320" w:type="dxa"/>
            <w:vAlign w:val="bottom"/>
          </w:tcPr>
          <w:p>
            <w:pPr>
              <w:jc w:val="right"/>
              <w:ind w:right="50"/>
              <w:spacing w:after="0"/>
              <w:rPr>
                <w:sz w:val="20"/>
                <w:szCs w:val="20"/>
                <w:color w:val="auto"/>
              </w:rPr>
            </w:pPr>
            <w:r>
              <w:rPr>
                <w:rFonts w:ascii="Arial" w:cs="Arial" w:eastAsia="Arial" w:hAnsi="Arial"/>
                <w:sz w:val="14"/>
                <w:szCs w:val="14"/>
                <w:color w:val="auto"/>
              </w:rPr>
              <w:t>(c)</w:t>
            </w:r>
          </w:p>
        </w:tc>
        <w:tc>
          <w:tcPr>
            <w:tcW w:w="600" w:type="dxa"/>
            <w:vAlign w:val="bottom"/>
          </w:tcPr>
          <w:p>
            <w:pPr>
              <w:jc w:val="right"/>
              <w:spacing w:after="0"/>
              <w:rPr>
                <w:sz w:val="20"/>
                <w:szCs w:val="20"/>
                <w:color w:val="auto"/>
              </w:rPr>
            </w:pPr>
            <w:r>
              <w:rPr>
                <w:rFonts w:ascii="Arial" w:cs="Arial" w:eastAsia="Arial" w:hAnsi="Arial"/>
                <w:sz w:val="14"/>
                <w:szCs w:val="14"/>
                <w:color w:val="auto"/>
              </w:rPr>
              <w:t>3,421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(9,590)</w:t>
            </w:r>
          </w:p>
        </w:tc>
      </w:tr>
      <w:tr>
        <w:trPr>
          <w:trHeight w:val="158"/>
        </w:trPr>
        <w:tc>
          <w:tcPr>
            <w:tcW w:w="4380" w:type="dxa"/>
            <w:vAlign w:val="bottom"/>
            <w:shd w:val="clear" w:color="auto" w:fill="CFF0FC"/>
          </w:tcPr>
          <w:p>
            <w:pPr>
              <w:ind w:left="200"/>
              <w:spacing w:after="0" w:line="158" w:lineRule="exact"/>
              <w:rPr>
                <w:sz w:val="20"/>
                <w:szCs w:val="20"/>
                <w:color w:val="auto"/>
              </w:rPr>
            </w:pPr>
            <w:r>
              <w:rPr>
                <w:rFonts w:ascii="Arial" w:cs="Arial" w:eastAsia="Arial" w:hAnsi="Arial"/>
                <w:sz w:val="14"/>
                <w:szCs w:val="14"/>
                <w:color w:val="auto"/>
              </w:rPr>
              <w:t>Amortization of prior service credit</w:t>
            </w:r>
          </w:p>
        </w:tc>
        <w:tc>
          <w:tcPr>
            <w:tcW w:w="1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FF0FC"/>
          </w:tcPr>
          <w:p>
            <w:pPr>
              <w:jc w:val="right"/>
              <w:ind w:right="120"/>
              <w:spacing w:after="0" w:line="158" w:lineRule="exact"/>
              <w:rPr>
                <w:sz w:val="20"/>
                <w:szCs w:val="20"/>
                <w:color w:val="auto"/>
              </w:rPr>
            </w:pPr>
            <w:r>
              <w:rPr>
                <w:rFonts w:ascii="Arial" w:cs="Arial" w:eastAsia="Arial" w:hAnsi="Arial"/>
                <w:sz w:val="14"/>
                <w:szCs w:val="14"/>
                <w:color w:val="auto"/>
              </w:rPr>
              <w:t>(4,173)</w:t>
            </w:r>
          </w:p>
        </w:tc>
        <w:tc>
          <w:tcPr>
            <w:tcW w:w="72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(4,173)</w:t>
            </w:r>
          </w:p>
        </w:tc>
        <w:tc>
          <w:tcPr>
            <w:tcW w:w="320" w:type="dxa"/>
            <w:vAlign w:val="bottom"/>
            <w:shd w:val="clear" w:color="auto" w:fill="CFF0FC"/>
          </w:tcPr>
          <w:p>
            <w:pPr>
              <w:jc w:val="right"/>
              <w:ind w:right="50"/>
              <w:spacing w:after="0" w:line="158" w:lineRule="exact"/>
              <w:rPr>
                <w:sz w:val="20"/>
                <w:szCs w:val="20"/>
                <w:color w:val="auto"/>
              </w:rPr>
            </w:pPr>
            <w:r>
              <w:rPr>
                <w:rFonts w:ascii="Arial" w:cs="Arial" w:eastAsia="Arial" w:hAnsi="Arial"/>
                <w:sz w:val="14"/>
                <w:szCs w:val="14"/>
                <w:color w:val="auto"/>
              </w:rPr>
              <w:t>(f)</w:t>
            </w:r>
          </w:p>
        </w:tc>
        <w:tc>
          <w:tcPr>
            <w:tcW w:w="6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1,097</w:t>
            </w: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(3,076)</w:t>
            </w:r>
          </w:p>
        </w:tc>
      </w:tr>
      <w:tr>
        <w:trPr>
          <w:trHeight w:val="158"/>
        </w:trPr>
        <w:tc>
          <w:tcPr>
            <w:tcW w:w="4380" w:type="dxa"/>
            <w:vAlign w:val="bottom"/>
          </w:tcPr>
          <w:p>
            <w:pPr>
              <w:ind w:left="200"/>
              <w:spacing w:after="0" w:line="158" w:lineRule="exact"/>
              <w:rPr>
                <w:sz w:val="20"/>
                <w:szCs w:val="20"/>
                <w:color w:val="auto"/>
              </w:rPr>
            </w:pPr>
            <w:r>
              <w:rPr>
                <w:rFonts w:ascii="Arial" w:cs="Arial" w:eastAsia="Arial" w:hAnsi="Arial"/>
                <w:sz w:val="14"/>
                <w:szCs w:val="14"/>
                <w:color w:val="auto"/>
              </w:rPr>
              <w:t>Amortization of actuarial losses</w:t>
            </w: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20,745</w:t>
            </w:r>
          </w:p>
        </w:tc>
        <w:tc>
          <w:tcPr>
            <w:tcW w:w="200" w:type="dxa"/>
            <w:vAlign w:val="bottom"/>
          </w:tcPr>
          <w:p>
            <w:pPr>
              <w:spacing w:after="0"/>
              <w:rPr>
                <w:sz w:val="13"/>
                <w:szCs w:val="13"/>
                <w:color w:val="auto"/>
              </w:rPr>
            </w:pPr>
          </w:p>
        </w:tc>
        <w:tc>
          <w:tcPr>
            <w:tcW w:w="7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20,745</w:t>
            </w:r>
          </w:p>
        </w:tc>
        <w:tc>
          <w:tcPr>
            <w:tcW w:w="80" w:type="dxa"/>
            <w:vAlign w:val="bottom"/>
          </w:tcPr>
          <w:p>
            <w:pPr>
              <w:spacing w:after="0"/>
              <w:rPr>
                <w:sz w:val="13"/>
                <w:szCs w:val="13"/>
                <w:color w:val="auto"/>
              </w:rPr>
            </w:pPr>
          </w:p>
        </w:tc>
        <w:tc>
          <w:tcPr>
            <w:tcW w:w="320" w:type="dxa"/>
            <w:vAlign w:val="bottom"/>
          </w:tcPr>
          <w:p>
            <w:pPr>
              <w:jc w:val="right"/>
              <w:ind w:right="50"/>
              <w:spacing w:after="0" w:line="158" w:lineRule="exact"/>
              <w:rPr>
                <w:sz w:val="20"/>
                <w:szCs w:val="20"/>
                <w:color w:val="auto"/>
              </w:rPr>
            </w:pPr>
            <w:r>
              <w:rPr>
                <w:rFonts w:ascii="Arial" w:cs="Arial" w:eastAsia="Arial" w:hAnsi="Arial"/>
                <w:sz w:val="14"/>
                <w:szCs w:val="14"/>
                <w:color w:val="auto"/>
              </w:rPr>
              <w:t>(f)</w:t>
            </w:r>
          </w:p>
        </w:tc>
        <w:tc>
          <w:tcPr>
            <w:tcW w:w="80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(5,454)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15,291</w:t>
            </w:r>
          </w:p>
        </w:tc>
        <w:tc>
          <w:tcPr>
            <w:tcW w:w="100" w:type="dxa"/>
            <w:vAlign w:val="bottom"/>
          </w:tcPr>
          <w:p>
            <w:pPr>
              <w:spacing w:after="0"/>
              <w:rPr>
                <w:sz w:val="13"/>
                <w:szCs w:val="13"/>
                <w:color w:val="auto"/>
              </w:rPr>
            </w:pPr>
          </w:p>
        </w:tc>
      </w:tr>
      <w:tr>
        <w:trPr>
          <w:trHeight w:val="151"/>
        </w:trPr>
        <w:tc>
          <w:tcPr>
            <w:tcW w:w="4380" w:type="dxa"/>
            <w:vAlign w:val="bottom"/>
            <w:tcBorders>
              <w:top w:val="single" w:sz="8" w:color="CFF0FC"/>
            </w:tcBorders>
            <w:shd w:val="clear" w:color="auto" w:fill="CFF0FC"/>
          </w:tcPr>
          <w:p>
            <w:pPr>
              <w:spacing w:after="0" w:line="151" w:lineRule="exact"/>
              <w:rPr>
                <w:sz w:val="20"/>
                <w:szCs w:val="20"/>
                <w:color w:val="auto"/>
              </w:rPr>
            </w:pPr>
            <w:r>
              <w:rPr>
                <w:rFonts w:ascii="Arial" w:cs="Arial" w:eastAsia="Arial" w:hAnsi="Arial"/>
                <w:sz w:val="14"/>
                <w:szCs w:val="14"/>
                <w:color w:val="auto"/>
              </w:rPr>
              <w:t>Total other comprehensive income (loss)</w:t>
            </w:r>
          </w:p>
        </w:tc>
        <w:tc>
          <w:tcPr>
            <w:tcW w:w="12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250,808</w:t>
            </w:r>
          </w:p>
        </w:tc>
        <w:tc>
          <w:tcPr>
            <w:tcW w:w="1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gridSpan w:val="2"/>
            <w:shd w:val="clear" w:color="auto" w:fill="CFF0FC"/>
          </w:tcPr>
          <w:p>
            <w:pPr>
              <w:jc w:val="right"/>
              <w:spacing w:after="0" w:line="151" w:lineRule="exact"/>
              <w:rPr>
                <w:sz w:val="20"/>
                <w:szCs w:val="20"/>
                <w:color w:val="auto"/>
              </w:rPr>
            </w:pPr>
            <w:r>
              <w:rPr>
                <w:rFonts w:ascii="Arial" w:cs="Arial" w:eastAsia="Arial" w:hAnsi="Arial"/>
                <w:sz w:val="14"/>
                <w:szCs w:val="14"/>
                <w:color w:val="auto"/>
              </w:rPr>
              <w:t>(110,046)</w:t>
            </w:r>
          </w:p>
        </w:tc>
        <w:tc>
          <w:tcPr>
            <w:tcW w:w="20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148,607</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289,369</w:t>
            </w:r>
          </w:p>
        </w:tc>
        <w:tc>
          <w:tcPr>
            <w:tcW w:w="8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(75,968)</w:t>
            </w:r>
          </w:p>
        </w:tc>
        <w:tc>
          <w:tcPr>
            <w:tcW w:w="2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213,401</w:t>
            </w:r>
          </w:p>
        </w:tc>
        <w:tc>
          <w:tcPr>
            <w:tcW w:w="100" w:type="dxa"/>
            <w:vAlign w:val="bottom"/>
            <w:tcBorders>
              <w:top w:val="single" w:sz="8" w:color="CFF0FC"/>
            </w:tcBorders>
            <w:shd w:val="clear" w:color="auto" w:fill="CFF0FC"/>
          </w:tcPr>
          <w:p>
            <w:pPr>
              <w:spacing w:after="0"/>
              <w:rPr>
                <w:sz w:val="13"/>
                <w:szCs w:val="13"/>
                <w:color w:val="auto"/>
              </w:rPr>
            </w:pPr>
          </w:p>
        </w:tc>
      </w:tr>
      <w:tr>
        <w:trPr>
          <w:trHeight w:val="151"/>
        </w:trPr>
        <w:tc>
          <w:tcPr>
            <w:tcW w:w="4380" w:type="dxa"/>
            <w:vAlign w:val="bottom"/>
          </w:tcPr>
          <w:p>
            <w:pPr>
              <w:spacing w:after="0" w:line="151" w:lineRule="exact"/>
              <w:rPr>
                <w:sz w:val="20"/>
                <w:szCs w:val="20"/>
                <w:color w:val="auto"/>
              </w:rPr>
            </w:pPr>
            <w:r>
              <w:rPr>
                <w:rFonts w:ascii="Arial" w:cs="Arial" w:eastAsia="Arial" w:hAnsi="Arial"/>
                <w:sz w:val="14"/>
                <w:szCs w:val="14"/>
                <w:color w:val="auto"/>
              </w:rPr>
              <w:t>Balance — December 31, 2019</w:t>
            </w:r>
          </w:p>
        </w:tc>
        <w:tc>
          <w:tcPr>
            <w:tcW w:w="1280" w:type="dxa"/>
            <w:vAlign w:val="bottom"/>
          </w:tcPr>
          <w:p>
            <w:pPr>
              <w:spacing w:after="0"/>
              <w:rPr>
                <w:sz w:val="13"/>
                <w:szCs w:val="13"/>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50,701</w:t>
            </w:r>
          </w:p>
        </w:tc>
        <w:tc>
          <w:tcPr>
            <w:tcW w:w="100" w:type="dxa"/>
            <w:vAlign w:val="bottom"/>
          </w:tcPr>
          <w:p>
            <w:pPr>
              <w:spacing w:after="0"/>
              <w:rPr>
                <w:sz w:val="13"/>
                <w:szCs w:val="13"/>
                <w:color w:val="auto"/>
              </w:rPr>
            </w:pPr>
          </w:p>
        </w:tc>
        <w:tc>
          <w:tcPr>
            <w:tcW w:w="74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(464,548</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6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133,888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7"/>
              </w:rPr>
              <w:t>(279,959</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32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73,279</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4"/>
              </w:rPr>
              <w:t>(206,680</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r>
      <w:tr>
        <w:trPr>
          <w:trHeight w:val="20"/>
        </w:trPr>
        <w:tc>
          <w:tcPr>
            <w:tcW w:w="4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5"/>
        </w:trPr>
        <w:tc>
          <w:tcPr>
            <w:tcW w:w="4380" w:type="dxa"/>
            <w:vAlign w:val="bottom"/>
          </w:tcPr>
          <w:p>
            <w:pPr>
              <w:spacing w:after="0"/>
              <w:rPr>
                <w:sz w:val="20"/>
                <w:szCs w:val="20"/>
                <w:color w:val="auto"/>
              </w:rPr>
            </w:pPr>
            <w:r>
              <w:rPr>
                <w:rFonts w:ascii="Arial" w:cs="Arial" w:eastAsia="Arial" w:hAnsi="Arial"/>
                <w:sz w:val="14"/>
                <w:szCs w:val="14"/>
                <w:color w:val="auto"/>
              </w:rPr>
              <w:t>Balance — January 1, 2018</w:t>
            </w:r>
          </w:p>
        </w:tc>
        <w:tc>
          <w:tcPr>
            <w:tcW w:w="1440" w:type="dxa"/>
            <w:vAlign w:val="bottom"/>
            <w:gridSpan w:val="2"/>
          </w:tcPr>
          <w:p>
            <w:pPr>
              <w:jc w:val="right"/>
              <w:ind w:right="5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(59,957)</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color w:val="auto"/>
              </w:rPr>
              <w:t>(413,168)</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(20,165)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(493,290)</w:t>
            </w: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129,476</w:t>
            </w:r>
          </w:p>
        </w:tc>
        <w:tc>
          <w:tcPr>
            <w:tcW w:w="2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(363,814)</w:t>
            </w:r>
          </w:p>
        </w:tc>
      </w:tr>
      <w:tr>
        <w:trPr>
          <w:trHeight w:val="139"/>
        </w:trPr>
        <w:tc>
          <w:tcPr>
            <w:tcW w:w="4380" w:type="dxa"/>
            <w:vAlign w:val="bottom"/>
            <w:shd w:val="clear" w:color="auto" w:fill="CFF0FC"/>
          </w:tcPr>
          <w:p>
            <w:pPr>
              <w:spacing w:after="0" w:line="139" w:lineRule="exact"/>
              <w:rPr>
                <w:sz w:val="20"/>
                <w:szCs w:val="20"/>
                <w:color w:val="auto"/>
              </w:rPr>
            </w:pPr>
            <w:r>
              <w:rPr>
                <w:rFonts w:ascii="Arial" w:cs="Arial" w:eastAsia="Arial" w:hAnsi="Arial"/>
                <w:sz w:val="14"/>
                <w:szCs w:val="14"/>
                <w:color w:val="auto"/>
              </w:rPr>
              <w:t>Cumulative effect of change in accounting principle —</w:t>
            </w:r>
          </w:p>
        </w:tc>
        <w:tc>
          <w:tcPr>
            <w:tcW w:w="1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3"/>
        </w:trPr>
        <w:tc>
          <w:tcPr>
            <w:tcW w:w="43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equity securities (a)</w:t>
            </w:r>
          </w:p>
        </w:tc>
        <w:tc>
          <w:tcPr>
            <w:tcW w:w="1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(22,795)</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(22,795)</w:t>
            </w: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5,942</w:t>
            </w: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(16,853)</w:t>
            </w:r>
          </w:p>
        </w:tc>
      </w:tr>
      <w:tr>
        <w:trPr>
          <w:trHeight w:val="158"/>
        </w:trPr>
        <w:tc>
          <w:tcPr>
            <w:tcW w:w="4380" w:type="dxa"/>
            <w:vAlign w:val="bottom"/>
          </w:tcPr>
          <w:p>
            <w:pPr>
              <w:spacing w:after="0" w:line="158" w:lineRule="exact"/>
              <w:rPr>
                <w:sz w:val="20"/>
                <w:szCs w:val="20"/>
                <w:color w:val="auto"/>
              </w:rPr>
            </w:pPr>
            <w:r>
              <w:rPr>
                <w:rFonts w:ascii="Arial" w:cs="Arial" w:eastAsia="Arial" w:hAnsi="Arial"/>
                <w:sz w:val="14"/>
                <w:szCs w:val="14"/>
                <w:color w:val="auto"/>
              </w:rPr>
              <w:t>Other comprehensive income before reclassifications:</w:t>
            </w: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4380" w:type="dxa"/>
            <w:vAlign w:val="bottom"/>
            <w:shd w:val="clear" w:color="auto" w:fill="CFF0FC"/>
          </w:tcPr>
          <w:p>
            <w:pPr>
              <w:ind w:left="220"/>
              <w:spacing w:after="0" w:line="158" w:lineRule="exact"/>
              <w:rPr>
                <w:sz w:val="20"/>
                <w:szCs w:val="20"/>
                <w:color w:val="auto"/>
              </w:rPr>
            </w:pPr>
            <w:r>
              <w:rPr>
                <w:rFonts w:ascii="Arial" w:cs="Arial" w:eastAsia="Arial" w:hAnsi="Arial"/>
                <w:sz w:val="14"/>
                <w:szCs w:val="14"/>
                <w:color w:val="auto"/>
              </w:rPr>
              <w:t>Unrealized holding losses, net</w:t>
            </w:r>
          </w:p>
        </w:tc>
        <w:tc>
          <w:tcPr>
            <w:tcW w:w="1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60"/>
              <w:spacing w:after="0" w:line="158" w:lineRule="exact"/>
              <w:rPr>
                <w:sz w:val="20"/>
                <w:szCs w:val="20"/>
                <w:color w:val="auto"/>
              </w:rPr>
            </w:pPr>
            <w:r>
              <w:rPr>
                <w:rFonts w:ascii="Arial" w:cs="Arial" w:eastAsia="Arial" w:hAnsi="Arial"/>
                <w:sz w:val="14"/>
                <w:szCs w:val="14"/>
                <w:color w:val="auto"/>
              </w:rPr>
              <w:t>(121,589)</w:t>
            </w: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(121,589)</w:t>
            </w:r>
          </w:p>
        </w:tc>
        <w:tc>
          <w:tcPr>
            <w:tcW w:w="3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31,946</w:t>
            </w: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(89,643)</w:t>
            </w:r>
          </w:p>
        </w:tc>
      </w:tr>
      <w:tr>
        <w:trPr>
          <w:trHeight w:val="158"/>
        </w:trPr>
        <w:tc>
          <w:tcPr>
            <w:tcW w:w="4380" w:type="dxa"/>
            <w:vAlign w:val="bottom"/>
          </w:tcPr>
          <w:p>
            <w:pPr>
              <w:ind w:left="220"/>
              <w:spacing w:after="0" w:line="158" w:lineRule="exact"/>
              <w:rPr>
                <w:sz w:val="20"/>
                <w:szCs w:val="20"/>
                <w:color w:val="auto"/>
              </w:rPr>
            </w:pPr>
            <w:r>
              <w:rPr>
                <w:rFonts w:ascii="Arial" w:cs="Arial" w:eastAsia="Arial" w:hAnsi="Arial"/>
                <w:sz w:val="14"/>
                <w:szCs w:val="14"/>
                <w:color w:val="auto"/>
              </w:rPr>
              <w:t>Foreign currency translation adjustment</w:t>
            </w: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(2,817)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(2,817)</w:t>
            </w:r>
          </w:p>
        </w:tc>
        <w:tc>
          <w:tcPr>
            <w:tcW w:w="32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592</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(2,225)</w:t>
            </w:r>
          </w:p>
        </w:tc>
      </w:tr>
      <w:tr>
        <w:trPr>
          <w:trHeight w:val="158"/>
        </w:trPr>
        <w:tc>
          <w:tcPr>
            <w:tcW w:w="4380" w:type="dxa"/>
            <w:vAlign w:val="bottom"/>
            <w:shd w:val="clear" w:color="auto" w:fill="CFF0FC"/>
          </w:tcPr>
          <w:p>
            <w:pPr>
              <w:ind w:left="220"/>
              <w:spacing w:after="0" w:line="158" w:lineRule="exact"/>
              <w:rPr>
                <w:sz w:val="20"/>
                <w:szCs w:val="20"/>
                <w:color w:val="auto"/>
              </w:rPr>
            </w:pPr>
            <w:r>
              <w:rPr>
                <w:rFonts w:ascii="Arial" w:cs="Arial" w:eastAsia="Arial" w:hAnsi="Arial"/>
                <w:sz w:val="14"/>
                <w:szCs w:val="14"/>
                <w:color w:val="auto"/>
              </w:rPr>
              <w:t>Unrealized losses on cash flow hedges</w:t>
            </w:r>
          </w:p>
        </w:tc>
        <w:tc>
          <w:tcPr>
            <w:tcW w:w="1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(4,965)</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(4,965)</w:t>
            </w:r>
          </w:p>
        </w:tc>
        <w:tc>
          <w:tcPr>
            <w:tcW w:w="3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1,306</w:t>
            </w: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(3,659)</w:t>
            </w:r>
          </w:p>
        </w:tc>
      </w:tr>
      <w:tr>
        <w:trPr>
          <w:trHeight w:val="158"/>
        </w:trPr>
        <w:tc>
          <w:tcPr>
            <w:tcW w:w="4380" w:type="dxa"/>
            <w:vAlign w:val="bottom"/>
          </w:tcPr>
          <w:p>
            <w:pPr>
              <w:ind w:left="220"/>
              <w:spacing w:after="0" w:line="158" w:lineRule="exact"/>
              <w:rPr>
                <w:sz w:val="20"/>
                <w:szCs w:val="20"/>
                <w:color w:val="auto"/>
              </w:rPr>
            </w:pPr>
            <w:r>
              <w:rPr>
                <w:rFonts w:ascii="Arial" w:cs="Arial" w:eastAsia="Arial" w:hAnsi="Arial"/>
                <w:sz w:val="14"/>
                <w:szCs w:val="14"/>
                <w:color w:val="auto"/>
              </w:rPr>
              <w:t>Current year benefit plans gains</w:t>
            </w: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19,871</w:t>
            </w:r>
          </w:p>
        </w:tc>
        <w:tc>
          <w:tcPr>
            <w:tcW w:w="200" w:type="dxa"/>
            <w:vAlign w:val="bottom"/>
          </w:tcPr>
          <w:p>
            <w:pPr>
              <w:spacing w:after="0"/>
              <w:rPr>
                <w:sz w:val="13"/>
                <w:szCs w:val="13"/>
                <w:color w:val="auto"/>
              </w:rPr>
            </w:pPr>
          </w:p>
        </w:tc>
        <w:tc>
          <w:tcPr>
            <w:tcW w:w="7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19,871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(5,224)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14,647</w:t>
            </w:r>
          </w:p>
        </w:tc>
        <w:tc>
          <w:tcPr>
            <w:tcW w:w="100" w:type="dxa"/>
            <w:vAlign w:val="bottom"/>
          </w:tcPr>
          <w:p>
            <w:pPr>
              <w:spacing w:after="0"/>
              <w:rPr>
                <w:sz w:val="13"/>
                <w:szCs w:val="13"/>
                <w:color w:val="auto"/>
              </w:rPr>
            </w:pPr>
          </w:p>
        </w:tc>
      </w:tr>
      <w:tr>
        <w:trPr>
          <w:trHeight w:val="132"/>
        </w:trPr>
        <w:tc>
          <w:tcPr>
            <w:tcW w:w="438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color w:val="auto"/>
              </w:rPr>
              <w:t>Total other comprehensive income (loss) before</w:t>
            </w:r>
          </w:p>
        </w:tc>
        <w:tc>
          <w:tcPr>
            <w:tcW w:w="128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63"/>
        </w:trPr>
        <w:tc>
          <w:tcPr>
            <w:tcW w:w="43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reclassifications</w:t>
            </w:r>
          </w:p>
        </w:tc>
        <w:tc>
          <w:tcPr>
            <w:tcW w:w="1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(121,589)</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19,871</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(7,782)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(109,500)</w:t>
            </w: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28,620</w:t>
            </w: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(80,880)</w:t>
            </w:r>
          </w:p>
        </w:tc>
      </w:tr>
      <w:tr>
        <w:trPr>
          <w:trHeight w:val="132"/>
        </w:trPr>
        <w:tc>
          <w:tcPr>
            <w:tcW w:w="4380" w:type="dxa"/>
            <w:vAlign w:val="bottom"/>
          </w:tcPr>
          <w:p>
            <w:pPr>
              <w:spacing w:after="0" w:line="133" w:lineRule="exact"/>
              <w:rPr>
                <w:sz w:val="20"/>
                <w:szCs w:val="20"/>
                <w:color w:val="auto"/>
              </w:rPr>
            </w:pPr>
            <w:r>
              <w:rPr>
                <w:rFonts w:ascii="Arial" w:cs="Arial" w:eastAsia="Arial" w:hAnsi="Arial"/>
                <w:sz w:val="14"/>
                <w:szCs w:val="14"/>
                <w:color w:val="auto"/>
              </w:rPr>
              <w:t>Amounts reclassified from accumulated other</w:t>
            </w:r>
          </w:p>
        </w:tc>
        <w:tc>
          <w:tcPr>
            <w:tcW w:w="1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5"/>
        </w:trPr>
        <w:tc>
          <w:tcPr>
            <w:tcW w:w="4380" w:type="dxa"/>
            <w:vAlign w:val="bottom"/>
          </w:tcPr>
          <w:p>
            <w:pPr>
              <w:ind w:left="120"/>
              <w:spacing w:after="0" w:line="145" w:lineRule="exact"/>
              <w:rPr>
                <w:sz w:val="20"/>
                <w:szCs w:val="20"/>
                <w:color w:val="auto"/>
              </w:rPr>
            </w:pPr>
            <w:r>
              <w:rPr>
                <w:rFonts w:ascii="Arial" w:cs="Arial" w:eastAsia="Arial" w:hAnsi="Arial"/>
                <w:sz w:val="14"/>
                <w:szCs w:val="14"/>
                <w:color w:val="auto"/>
              </w:rPr>
              <w:t>comprehensive income that (increase) decrease net</w:t>
            </w: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3"/>
        </w:trPr>
        <w:tc>
          <w:tcPr>
            <w:tcW w:w="4380" w:type="dxa"/>
            <w:vAlign w:val="bottom"/>
          </w:tcPr>
          <w:p>
            <w:pPr>
              <w:ind w:left="120"/>
              <w:spacing w:after="0"/>
              <w:rPr>
                <w:sz w:val="20"/>
                <w:szCs w:val="20"/>
                <w:color w:val="auto"/>
              </w:rPr>
            </w:pPr>
            <w:r>
              <w:rPr>
                <w:rFonts w:ascii="Arial" w:cs="Arial" w:eastAsia="Arial" w:hAnsi="Arial"/>
                <w:sz w:val="14"/>
                <w:szCs w:val="14"/>
                <w:color w:val="auto"/>
              </w:rPr>
              <w:t>income:</w:t>
            </w: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9"/>
        </w:trPr>
        <w:tc>
          <w:tcPr>
            <w:tcW w:w="4380" w:type="dxa"/>
            <w:vAlign w:val="bottom"/>
            <w:shd w:val="clear" w:color="auto" w:fill="CFF0FC"/>
          </w:tcPr>
          <w:p>
            <w:pPr>
              <w:ind w:left="200"/>
              <w:spacing w:after="0" w:line="139" w:lineRule="exact"/>
              <w:rPr>
                <w:sz w:val="20"/>
                <w:szCs w:val="20"/>
                <w:color w:val="auto"/>
              </w:rPr>
            </w:pPr>
            <w:r>
              <w:rPr>
                <w:rFonts w:ascii="Arial" w:cs="Arial" w:eastAsia="Arial" w:hAnsi="Arial"/>
                <w:sz w:val="14"/>
                <w:szCs w:val="14"/>
                <w:color w:val="auto"/>
              </w:rPr>
              <w:t>Amortization of unrealized holding losses on</w:t>
            </w:r>
          </w:p>
        </w:tc>
        <w:tc>
          <w:tcPr>
            <w:tcW w:w="1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3"/>
        </w:trPr>
        <w:tc>
          <w:tcPr>
            <w:tcW w:w="4380" w:type="dxa"/>
            <w:vAlign w:val="bottom"/>
            <w:shd w:val="clear" w:color="auto" w:fill="CFF0FC"/>
          </w:tcPr>
          <w:p>
            <w:pPr>
              <w:ind w:left="400"/>
              <w:spacing w:after="0"/>
              <w:rPr>
                <w:sz w:val="20"/>
                <w:szCs w:val="20"/>
                <w:color w:val="auto"/>
              </w:rPr>
            </w:pPr>
            <w:r>
              <w:rPr>
                <w:rFonts w:ascii="Arial" w:cs="Arial" w:eastAsia="Arial" w:hAnsi="Arial"/>
                <w:sz w:val="14"/>
                <w:szCs w:val="14"/>
                <w:color w:val="auto"/>
              </w:rPr>
              <w:t>HTM securities</w:t>
            </w:r>
          </w:p>
        </w:tc>
        <w:tc>
          <w:tcPr>
            <w:tcW w:w="1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4,252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4,252</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(c)</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(1,118)</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3,134</w:t>
            </w:r>
          </w:p>
        </w:tc>
        <w:tc>
          <w:tcPr>
            <w:tcW w:w="100" w:type="dxa"/>
            <w:vAlign w:val="bottom"/>
            <w:shd w:val="clear" w:color="auto" w:fill="CFF0FC"/>
          </w:tcPr>
          <w:p>
            <w:pPr>
              <w:spacing w:after="0"/>
              <w:rPr>
                <w:sz w:val="14"/>
                <w:szCs w:val="14"/>
                <w:color w:val="auto"/>
              </w:rPr>
            </w:pPr>
          </w:p>
        </w:tc>
      </w:tr>
      <w:tr>
        <w:trPr>
          <w:trHeight w:val="158"/>
        </w:trPr>
        <w:tc>
          <w:tcPr>
            <w:tcW w:w="4380" w:type="dxa"/>
            <w:vAlign w:val="bottom"/>
          </w:tcPr>
          <w:p>
            <w:pPr>
              <w:ind w:left="220"/>
              <w:spacing w:after="0" w:line="158" w:lineRule="exact"/>
              <w:rPr>
                <w:sz w:val="20"/>
                <w:szCs w:val="20"/>
                <w:color w:val="auto"/>
              </w:rPr>
            </w:pPr>
            <w:r>
              <w:rPr>
                <w:rFonts w:ascii="Arial" w:cs="Arial" w:eastAsia="Arial" w:hAnsi="Arial"/>
                <w:sz w:val="14"/>
                <w:szCs w:val="14"/>
                <w:color w:val="auto"/>
              </w:rPr>
              <w:t>Gains realized in net income</w:t>
            </w: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(18)</w:t>
            </w:r>
          </w:p>
        </w:tc>
        <w:tc>
          <w:tcPr>
            <w:tcW w:w="100" w:type="dxa"/>
            <w:vAlign w:val="bottom"/>
          </w:tcPr>
          <w:p>
            <w:pPr>
              <w:spacing w:after="0"/>
              <w:rPr>
                <w:sz w:val="13"/>
                <w:szCs w:val="13"/>
                <w:color w:val="auto"/>
              </w:rPr>
            </w:pPr>
          </w:p>
        </w:tc>
        <w:tc>
          <w:tcPr>
            <w:tcW w:w="84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(18)</w:t>
            </w:r>
          </w:p>
        </w:tc>
        <w:tc>
          <w:tcPr>
            <w:tcW w:w="320" w:type="dxa"/>
            <w:vAlign w:val="bottom"/>
          </w:tcPr>
          <w:p>
            <w:pPr>
              <w:jc w:val="right"/>
              <w:ind w:right="50"/>
              <w:spacing w:after="0" w:line="158" w:lineRule="exact"/>
              <w:rPr>
                <w:sz w:val="20"/>
                <w:szCs w:val="20"/>
                <w:color w:val="auto"/>
              </w:rPr>
            </w:pPr>
            <w:r>
              <w:rPr>
                <w:rFonts w:ascii="Arial" w:cs="Arial" w:eastAsia="Arial" w:hAnsi="Arial"/>
                <w:sz w:val="14"/>
                <w:szCs w:val="14"/>
                <w:color w:val="auto"/>
              </w:rPr>
              <w:t>(d)</w:t>
            </w: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4</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(14)</w:t>
            </w:r>
          </w:p>
        </w:tc>
      </w:tr>
      <w:tr>
        <w:trPr>
          <w:trHeight w:val="139"/>
        </w:trPr>
        <w:tc>
          <w:tcPr>
            <w:tcW w:w="4380" w:type="dxa"/>
            <w:vAlign w:val="bottom"/>
            <w:shd w:val="clear" w:color="auto" w:fill="CFF0FC"/>
          </w:tcPr>
          <w:p>
            <w:pPr>
              <w:ind w:left="200"/>
              <w:spacing w:after="0" w:line="139" w:lineRule="exact"/>
              <w:rPr>
                <w:sz w:val="20"/>
                <w:szCs w:val="20"/>
                <w:color w:val="auto"/>
              </w:rPr>
            </w:pPr>
            <w:r>
              <w:rPr>
                <w:rFonts w:ascii="Arial" w:cs="Arial" w:eastAsia="Arial" w:hAnsi="Arial"/>
                <w:sz w:val="14"/>
                <w:szCs w:val="14"/>
                <w:color w:val="auto"/>
              </w:rPr>
              <w:t>Accretion of net gain on terminated cash flow</w:t>
            </w:r>
          </w:p>
        </w:tc>
        <w:tc>
          <w:tcPr>
            <w:tcW w:w="1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3"/>
        </w:trPr>
        <w:tc>
          <w:tcPr>
            <w:tcW w:w="4380" w:type="dxa"/>
            <w:vAlign w:val="bottom"/>
            <w:shd w:val="clear" w:color="auto" w:fill="CFF0FC"/>
          </w:tcPr>
          <w:p>
            <w:pPr>
              <w:ind w:left="400"/>
              <w:spacing w:after="0"/>
              <w:rPr>
                <w:sz w:val="20"/>
                <w:szCs w:val="20"/>
                <w:color w:val="auto"/>
              </w:rPr>
            </w:pPr>
            <w:r>
              <w:rPr>
                <w:rFonts w:ascii="Arial" w:cs="Arial" w:eastAsia="Arial" w:hAnsi="Arial"/>
                <w:sz w:val="14"/>
                <w:szCs w:val="14"/>
                <w:color w:val="auto"/>
              </w:rPr>
              <w:t>hedges</w:t>
            </w:r>
          </w:p>
        </w:tc>
        <w:tc>
          <w:tcPr>
            <w:tcW w:w="1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(111)</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(111)</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(e)</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(82)</w:t>
            </w:r>
          </w:p>
        </w:tc>
      </w:tr>
      <w:tr>
        <w:trPr>
          <w:trHeight w:val="139"/>
        </w:trPr>
        <w:tc>
          <w:tcPr>
            <w:tcW w:w="4380" w:type="dxa"/>
            <w:vAlign w:val="bottom"/>
          </w:tcPr>
          <w:p>
            <w:pPr>
              <w:ind w:left="220"/>
              <w:spacing w:after="0" w:line="139" w:lineRule="exact"/>
              <w:rPr>
                <w:sz w:val="20"/>
                <w:szCs w:val="20"/>
                <w:color w:val="auto"/>
              </w:rPr>
            </w:pPr>
            <w:r>
              <w:rPr>
                <w:rFonts w:ascii="Arial" w:cs="Arial" w:eastAsia="Arial" w:hAnsi="Arial"/>
                <w:sz w:val="14"/>
                <w:szCs w:val="14"/>
                <w:color w:val="auto"/>
              </w:rPr>
              <w:t>Net yield adjustment from cash flow hedges</w:t>
            </w: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3"/>
        </w:trPr>
        <w:tc>
          <w:tcPr>
            <w:tcW w:w="4380" w:type="dxa"/>
            <w:vAlign w:val="bottom"/>
          </w:tcPr>
          <w:p>
            <w:pPr>
              <w:ind w:left="400"/>
              <w:spacing w:after="0"/>
              <w:rPr>
                <w:sz w:val="20"/>
                <w:szCs w:val="20"/>
                <w:color w:val="auto"/>
              </w:rPr>
            </w:pPr>
            <w:r>
              <w:rPr>
                <w:rFonts w:ascii="Arial" w:cs="Arial" w:eastAsia="Arial" w:hAnsi="Arial"/>
                <w:sz w:val="14"/>
                <w:szCs w:val="14"/>
                <w:color w:val="auto"/>
              </w:rPr>
              <w:t>currently in effect</w:t>
            </w: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13,339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13,339</w:t>
            </w:r>
          </w:p>
        </w:tc>
        <w:tc>
          <w:tcPr>
            <w:tcW w:w="80" w:type="dxa"/>
            <w:vAlign w:val="bottom"/>
          </w:tcPr>
          <w:p>
            <w:pPr>
              <w:spacing w:after="0"/>
              <w:rPr>
                <w:sz w:val="14"/>
                <w:szCs w:val="14"/>
                <w:color w:val="auto"/>
              </w:rPr>
            </w:pPr>
          </w:p>
        </w:tc>
        <w:tc>
          <w:tcPr>
            <w:tcW w:w="320" w:type="dxa"/>
            <w:vAlign w:val="bottom"/>
          </w:tcPr>
          <w:p>
            <w:pPr>
              <w:jc w:val="right"/>
              <w:ind w:right="50"/>
              <w:spacing w:after="0"/>
              <w:rPr>
                <w:sz w:val="20"/>
                <w:szCs w:val="20"/>
                <w:color w:val="auto"/>
              </w:rPr>
            </w:pPr>
            <w:r>
              <w:rPr>
                <w:rFonts w:ascii="Arial" w:cs="Arial" w:eastAsia="Arial" w:hAnsi="Arial"/>
                <w:sz w:val="14"/>
                <w:szCs w:val="14"/>
                <w:color w:val="auto"/>
              </w:rPr>
              <w:t>(c)</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(3,507)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9,832</w:t>
            </w:r>
          </w:p>
        </w:tc>
        <w:tc>
          <w:tcPr>
            <w:tcW w:w="100" w:type="dxa"/>
            <w:vAlign w:val="bottom"/>
          </w:tcPr>
          <w:p>
            <w:pPr>
              <w:spacing w:after="0"/>
              <w:rPr>
                <w:sz w:val="14"/>
                <w:szCs w:val="14"/>
                <w:color w:val="auto"/>
              </w:rPr>
            </w:pPr>
          </w:p>
        </w:tc>
      </w:tr>
      <w:tr>
        <w:trPr>
          <w:trHeight w:val="158"/>
        </w:trPr>
        <w:tc>
          <w:tcPr>
            <w:tcW w:w="4380" w:type="dxa"/>
            <w:vAlign w:val="bottom"/>
            <w:shd w:val="clear" w:color="auto" w:fill="CFF0FC"/>
          </w:tcPr>
          <w:p>
            <w:pPr>
              <w:ind w:left="200"/>
              <w:spacing w:after="0" w:line="158" w:lineRule="exact"/>
              <w:rPr>
                <w:sz w:val="20"/>
                <w:szCs w:val="20"/>
                <w:color w:val="auto"/>
              </w:rPr>
            </w:pPr>
            <w:r>
              <w:rPr>
                <w:rFonts w:ascii="Arial" w:cs="Arial" w:eastAsia="Arial" w:hAnsi="Arial"/>
                <w:sz w:val="14"/>
                <w:szCs w:val="14"/>
                <w:color w:val="auto"/>
              </w:rPr>
              <w:t>Amortization of prior service credit</w:t>
            </w:r>
          </w:p>
        </w:tc>
        <w:tc>
          <w:tcPr>
            <w:tcW w:w="1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FF0FC"/>
          </w:tcPr>
          <w:p>
            <w:pPr>
              <w:jc w:val="right"/>
              <w:ind w:right="120"/>
              <w:spacing w:after="0" w:line="158" w:lineRule="exact"/>
              <w:rPr>
                <w:sz w:val="20"/>
                <w:szCs w:val="20"/>
                <w:color w:val="auto"/>
              </w:rPr>
            </w:pPr>
            <w:r>
              <w:rPr>
                <w:rFonts w:ascii="Arial" w:cs="Arial" w:eastAsia="Arial" w:hAnsi="Arial"/>
                <w:sz w:val="14"/>
                <w:szCs w:val="14"/>
                <w:color w:val="auto"/>
              </w:rPr>
              <w:t>(4,172)</w:t>
            </w:r>
          </w:p>
        </w:tc>
        <w:tc>
          <w:tcPr>
            <w:tcW w:w="72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(4,172)</w:t>
            </w:r>
          </w:p>
        </w:tc>
        <w:tc>
          <w:tcPr>
            <w:tcW w:w="320" w:type="dxa"/>
            <w:vAlign w:val="bottom"/>
            <w:shd w:val="clear" w:color="auto" w:fill="CFF0FC"/>
          </w:tcPr>
          <w:p>
            <w:pPr>
              <w:jc w:val="right"/>
              <w:ind w:right="50"/>
              <w:spacing w:after="0" w:line="158" w:lineRule="exact"/>
              <w:rPr>
                <w:sz w:val="20"/>
                <w:szCs w:val="20"/>
                <w:color w:val="auto"/>
              </w:rPr>
            </w:pPr>
            <w:r>
              <w:rPr>
                <w:rFonts w:ascii="Arial" w:cs="Arial" w:eastAsia="Arial" w:hAnsi="Arial"/>
                <w:sz w:val="14"/>
                <w:szCs w:val="14"/>
                <w:color w:val="auto"/>
              </w:rPr>
              <w:t>(f)</w:t>
            </w:r>
          </w:p>
        </w:tc>
        <w:tc>
          <w:tcPr>
            <w:tcW w:w="6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1,097</w:t>
            </w: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(3,075)</w:t>
            </w:r>
          </w:p>
        </w:tc>
      </w:tr>
      <w:tr>
        <w:trPr>
          <w:trHeight w:val="158"/>
        </w:trPr>
        <w:tc>
          <w:tcPr>
            <w:tcW w:w="4380" w:type="dxa"/>
            <w:vAlign w:val="bottom"/>
          </w:tcPr>
          <w:p>
            <w:pPr>
              <w:ind w:left="200"/>
              <w:spacing w:after="0" w:line="158" w:lineRule="exact"/>
              <w:rPr>
                <w:sz w:val="20"/>
                <w:szCs w:val="20"/>
                <w:color w:val="auto"/>
              </w:rPr>
            </w:pPr>
            <w:r>
              <w:rPr>
                <w:rFonts w:ascii="Arial" w:cs="Arial" w:eastAsia="Arial" w:hAnsi="Arial"/>
                <w:sz w:val="14"/>
                <w:szCs w:val="14"/>
                <w:color w:val="auto"/>
              </w:rPr>
              <w:t>Amortization of actuarial losses</w:t>
            </w: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42,967</w:t>
            </w:r>
          </w:p>
        </w:tc>
        <w:tc>
          <w:tcPr>
            <w:tcW w:w="200" w:type="dxa"/>
            <w:vAlign w:val="bottom"/>
          </w:tcPr>
          <w:p>
            <w:pPr>
              <w:spacing w:after="0"/>
              <w:rPr>
                <w:sz w:val="13"/>
                <w:szCs w:val="13"/>
                <w:color w:val="auto"/>
              </w:rPr>
            </w:pPr>
          </w:p>
        </w:tc>
        <w:tc>
          <w:tcPr>
            <w:tcW w:w="7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42,967</w:t>
            </w:r>
          </w:p>
        </w:tc>
        <w:tc>
          <w:tcPr>
            <w:tcW w:w="80" w:type="dxa"/>
            <w:vAlign w:val="bottom"/>
          </w:tcPr>
          <w:p>
            <w:pPr>
              <w:spacing w:after="0"/>
              <w:rPr>
                <w:sz w:val="13"/>
                <w:szCs w:val="13"/>
                <w:color w:val="auto"/>
              </w:rPr>
            </w:pPr>
          </w:p>
        </w:tc>
        <w:tc>
          <w:tcPr>
            <w:tcW w:w="320" w:type="dxa"/>
            <w:vAlign w:val="bottom"/>
          </w:tcPr>
          <w:p>
            <w:pPr>
              <w:jc w:val="right"/>
              <w:ind w:right="50"/>
              <w:spacing w:after="0" w:line="158" w:lineRule="exact"/>
              <w:rPr>
                <w:sz w:val="20"/>
                <w:szCs w:val="20"/>
                <w:color w:val="auto"/>
              </w:rPr>
            </w:pPr>
            <w:r>
              <w:rPr>
                <w:rFonts w:ascii="Arial" w:cs="Arial" w:eastAsia="Arial" w:hAnsi="Arial"/>
                <w:sz w:val="14"/>
                <w:szCs w:val="14"/>
                <w:color w:val="auto"/>
              </w:rPr>
              <w:t>(f)</w:t>
            </w:r>
          </w:p>
        </w:tc>
        <w:tc>
          <w:tcPr>
            <w:tcW w:w="80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(11,296)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31,671</w:t>
            </w:r>
          </w:p>
        </w:tc>
        <w:tc>
          <w:tcPr>
            <w:tcW w:w="100" w:type="dxa"/>
            <w:vAlign w:val="bottom"/>
          </w:tcPr>
          <w:p>
            <w:pPr>
              <w:spacing w:after="0"/>
              <w:rPr>
                <w:sz w:val="13"/>
                <w:szCs w:val="13"/>
                <w:color w:val="auto"/>
              </w:rPr>
            </w:pPr>
          </w:p>
        </w:tc>
      </w:tr>
      <w:tr>
        <w:trPr>
          <w:trHeight w:val="151"/>
        </w:trPr>
        <w:tc>
          <w:tcPr>
            <w:tcW w:w="4380" w:type="dxa"/>
            <w:vAlign w:val="bottom"/>
            <w:tcBorders>
              <w:top w:val="single" w:sz="8" w:color="CFF0FC"/>
            </w:tcBorders>
            <w:shd w:val="clear" w:color="auto" w:fill="CFF0FC"/>
          </w:tcPr>
          <w:p>
            <w:pPr>
              <w:spacing w:after="0" w:line="151" w:lineRule="exact"/>
              <w:rPr>
                <w:sz w:val="20"/>
                <w:szCs w:val="20"/>
                <w:color w:val="auto"/>
              </w:rPr>
            </w:pPr>
            <w:r>
              <w:rPr>
                <w:rFonts w:ascii="Arial" w:cs="Arial" w:eastAsia="Arial" w:hAnsi="Arial"/>
                <w:sz w:val="14"/>
                <w:szCs w:val="14"/>
                <w:color w:val="auto"/>
              </w:rPr>
              <w:t>Total other comprehensive income (loss)</w:t>
            </w:r>
          </w:p>
        </w:tc>
        <w:tc>
          <w:tcPr>
            <w:tcW w:w="12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(117,355)</w:t>
            </w:r>
          </w:p>
        </w:tc>
        <w:tc>
          <w:tcPr>
            <w:tcW w:w="1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gridSpan w:val="2"/>
            <w:shd w:val="clear" w:color="auto" w:fill="CFF0FC"/>
          </w:tcPr>
          <w:p>
            <w:pPr>
              <w:jc w:val="right"/>
              <w:spacing w:after="0" w:line="151" w:lineRule="exact"/>
              <w:rPr>
                <w:sz w:val="20"/>
                <w:szCs w:val="20"/>
                <w:color w:val="auto"/>
              </w:rPr>
            </w:pPr>
            <w:r>
              <w:rPr>
                <w:rFonts w:ascii="Arial" w:cs="Arial" w:eastAsia="Arial" w:hAnsi="Arial"/>
                <w:sz w:val="14"/>
                <w:szCs w:val="14"/>
                <w:color w:val="auto"/>
              </w:rPr>
              <w:t>58,666</w:t>
            </w:r>
          </w:p>
        </w:tc>
        <w:tc>
          <w:tcPr>
            <w:tcW w:w="20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5,446</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(53,243)</w:t>
            </w:r>
          </w:p>
        </w:tc>
        <w:tc>
          <w:tcPr>
            <w:tcW w:w="8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13,829</w:t>
            </w:r>
          </w:p>
        </w:tc>
        <w:tc>
          <w:tcPr>
            <w:tcW w:w="2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(39,414)</w:t>
            </w:r>
          </w:p>
        </w:tc>
        <w:tc>
          <w:tcPr>
            <w:tcW w:w="100" w:type="dxa"/>
            <w:vAlign w:val="bottom"/>
            <w:tcBorders>
              <w:top w:val="single" w:sz="8" w:color="CFF0FC"/>
            </w:tcBorders>
            <w:shd w:val="clear" w:color="auto" w:fill="CFF0FC"/>
          </w:tcPr>
          <w:p>
            <w:pPr>
              <w:spacing w:after="0"/>
              <w:rPr>
                <w:sz w:val="13"/>
                <w:szCs w:val="13"/>
                <w:color w:val="auto"/>
              </w:rPr>
            </w:pPr>
          </w:p>
        </w:tc>
      </w:tr>
      <w:tr>
        <w:trPr>
          <w:trHeight w:val="151"/>
        </w:trPr>
        <w:tc>
          <w:tcPr>
            <w:tcW w:w="4380" w:type="dxa"/>
            <w:vAlign w:val="bottom"/>
          </w:tcPr>
          <w:p>
            <w:pPr>
              <w:spacing w:after="0" w:line="151" w:lineRule="exact"/>
              <w:rPr>
                <w:sz w:val="20"/>
                <w:szCs w:val="20"/>
                <w:color w:val="auto"/>
              </w:rPr>
            </w:pPr>
            <w:r>
              <w:rPr>
                <w:rFonts w:ascii="Arial" w:cs="Arial" w:eastAsia="Arial" w:hAnsi="Arial"/>
                <w:sz w:val="14"/>
                <w:szCs w:val="14"/>
                <w:color w:val="auto"/>
              </w:rPr>
              <w:t>Balance — December 31, 2018</w:t>
            </w:r>
          </w:p>
        </w:tc>
        <w:tc>
          <w:tcPr>
            <w:tcW w:w="1280" w:type="dxa"/>
            <w:vAlign w:val="bottom"/>
          </w:tcPr>
          <w:p>
            <w:pPr>
              <w:spacing w:after="0"/>
              <w:rPr>
                <w:sz w:val="13"/>
                <w:szCs w:val="13"/>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(200,107)</w:t>
            </w:r>
          </w:p>
        </w:tc>
        <w:tc>
          <w:tcPr>
            <w:tcW w:w="100" w:type="dxa"/>
            <w:vAlign w:val="bottom"/>
          </w:tcPr>
          <w:p>
            <w:pPr>
              <w:spacing w:after="0"/>
              <w:rPr>
                <w:sz w:val="13"/>
                <w:szCs w:val="13"/>
                <w:color w:val="auto"/>
              </w:rPr>
            </w:pPr>
          </w:p>
        </w:tc>
        <w:tc>
          <w:tcPr>
            <w:tcW w:w="74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(354,502)</w:t>
            </w:r>
          </w:p>
        </w:tc>
        <w:tc>
          <w:tcPr>
            <w:tcW w:w="20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(14,719)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7"/>
              </w:rPr>
              <w:t>(569,328</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32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149,247</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4"/>
              </w:rPr>
              <w:t>(420,081</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r>
      <w:tr>
        <w:trPr>
          <w:trHeight w:val="20"/>
        </w:trPr>
        <w:tc>
          <w:tcPr>
            <w:tcW w:w="4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158"/>
        </w:trPr>
        <w:tc>
          <w:tcPr>
            <w:tcW w:w="3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center"/>
              <w:ind w:right="170"/>
              <w:spacing w:after="0"/>
              <w:rPr>
                <w:sz w:val="20"/>
                <w:szCs w:val="20"/>
                <w:color w:val="auto"/>
              </w:rPr>
            </w:pPr>
            <w:r>
              <w:rPr>
                <w:rFonts w:ascii="Arial" w:cs="Arial" w:eastAsia="Arial" w:hAnsi="Arial"/>
                <w:sz w:val="13"/>
                <w:szCs w:val="13"/>
                <w:b w:val="1"/>
                <w:bCs w:val="1"/>
                <w:color w:val="auto"/>
                <w:w w:val="92"/>
              </w:rPr>
              <w:t>Defined</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Total</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3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3"/>
                <w:szCs w:val="13"/>
                <w:b w:val="1"/>
                <w:bCs w:val="1"/>
                <w:color w:val="auto"/>
              </w:rPr>
              <w:t>Investment Securities</w:t>
            </w:r>
          </w:p>
        </w:tc>
        <w:tc>
          <w:tcPr>
            <w:tcW w:w="220" w:type="dxa"/>
            <w:vAlign w:val="bottom"/>
          </w:tcPr>
          <w:p>
            <w:pPr>
              <w:spacing w:after="0"/>
              <w:rPr>
                <w:sz w:val="13"/>
                <w:szCs w:val="13"/>
                <w:color w:val="auto"/>
              </w:rPr>
            </w:pPr>
          </w:p>
        </w:tc>
        <w:tc>
          <w:tcPr>
            <w:tcW w:w="840" w:type="dxa"/>
            <w:vAlign w:val="bottom"/>
            <w:gridSpan w:val="2"/>
          </w:tcPr>
          <w:p>
            <w:pPr>
              <w:jc w:val="center"/>
              <w:ind w:right="170"/>
              <w:spacing w:after="0"/>
              <w:rPr>
                <w:sz w:val="20"/>
                <w:szCs w:val="20"/>
                <w:color w:val="auto"/>
              </w:rPr>
            </w:pPr>
            <w:r>
              <w:rPr>
                <w:rFonts w:ascii="Arial" w:cs="Arial" w:eastAsia="Arial" w:hAnsi="Arial"/>
                <w:sz w:val="13"/>
                <w:szCs w:val="13"/>
                <w:b w:val="1"/>
                <w:bCs w:val="1"/>
                <w:color w:val="auto"/>
                <w:w w:val="90"/>
              </w:rPr>
              <w:t>Benefit</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Amount</w:t>
            </w:r>
          </w:p>
        </w:tc>
        <w:tc>
          <w:tcPr>
            <w:tcW w:w="32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Income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3"/>
        </w:trPr>
        <w:tc>
          <w:tcPr>
            <w:tcW w:w="3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With OTTI (b)</w:t>
            </w:r>
          </w:p>
        </w:tc>
        <w:tc>
          <w:tcPr>
            <w:tcW w:w="148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All Other</w:t>
            </w:r>
          </w:p>
        </w:tc>
        <w:tc>
          <w:tcPr>
            <w:tcW w:w="840" w:type="dxa"/>
            <w:vAlign w:val="bottom"/>
            <w:gridSpan w:val="2"/>
          </w:tcPr>
          <w:p>
            <w:pPr>
              <w:jc w:val="center"/>
              <w:ind w:right="170"/>
              <w:spacing w:after="0"/>
              <w:rPr>
                <w:sz w:val="20"/>
                <w:szCs w:val="20"/>
                <w:color w:val="auto"/>
              </w:rPr>
            </w:pPr>
            <w:r>
              <w:rPr>
                <w:rFonts w:ascii="Arial" w:cs="Arial" w:eastAsia="Arial" w:hAnsi="Arial"/>
                <w:sz w:val="13"/>
                <w:szCs w:val="13"/>
                <w:b w:val="1"/>
                <w:bCs w:val="1"/>
                <w:color w:val="auto"/>
                <w:w w:val="92"/>
              </w:rPr>
              <w:t>Plans</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14"/>
                <w:szCs w:val="14"/>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9"/>
              </w:rPr>
              <w:t>Before Tax</w:t>
            </w:r>
          </w:p>
        </w:tc>
        <w:tc>
          <w:tcPr>
            <w:tcW w:w="32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Tax</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Net</w:t>
            </w:r>
          </w:p>
        </w:tc>
      </w:tr>
      <w:tr>
        <w:trPr>
          <w:trHeight w:val="67"/>
        </w:trPr>
        <w:tc>
          <w:tcPr>
            <w:tcW w:w="3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gridSpan w:val="4"/>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63"/>
        </w:trPr>
        <w:tc>
          <w:tcPr>
            <w:tcW w:w="3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4"/>
          </w:tcPr>
          <w:p>
            <w:pPr>
              <w:jc w:val="right"/>
              <w:ind w:right="380"/>
              <w:spacing w:after="0"/>
              <w:rPr>
                <w:sz w:val="20"/>
                <w:szCs w:val="20"/>
                <w:color w:val="auto"/>
              </w:rPr>
            </w:pPr>
            <w:r>
              <w:rPr>
                <w:rFonts w:ascii="Arial" w:cs="Arial" w:eastAsia="Arial" w:hAnsi="Arial"/>
                <w:sz w:val="13"/>
                <w:szCs w:val="13"/>
                <w:b w:val="1"/>
                <w:bCs w:val="1"/>
                <w:color w:val="auto"/>
              </w:rPr>
              <w:t>(In thousands)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04"/>
        </w:trPr>
        <w:tc>
          <w:tcPr>
            <w:tcW w:w="3520" w:type="dxa"/>
            <w:vAlign w:val="bottom"/>
          </w:tcPr>
          <w:p>
            <w:pPr>
              <w:spacing w:after="0"/>
              <w:rPr>
                <w:sz w:val="20"/>
                <w:szCs w:val="20"/>
                <w:color w:val="auto"/>
              </w:rPr>
            </w:pPr>
            <w:r>
              <w:rPr>
                <w:rFonts w:ascii="Arial" w:cs="Arial" w:eastAsia="Arial" w:hAnsi="Arial"/>
                <w:sz w:val="14"/>
                <w:szCs w:val="14"/>
                <w:color w:val="auto"/>
              </w:rPr>
              <w:t>Balance — January 1, 2017</w:t>
            </w:r>
          </w:p>
        </w:tc>
        <w:tc>
          <w:tcPr>
            <w:tcW w:w="1260" w:type="dxa"/>
            <w:vAlign w:val="bottom"/>
            <w:gridSpan w:val="2"/>
          </w:tcPr>
          <w:p>
            <w:pPr>
              <w:jc w:val="right"/>
              <w:ind w:right="16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46,725</w:t>
            </w:r>
          </w:p>
        </w:tc>
        <w:tc>
          <w:tcPr>
            <w:tcW w:w="200" w:type="dxa"/>
            <w:vAlign w:val="bottom"/>
          </w:tcPr>
          <w:p>
            <w:pPr>
              <w:spacing w:after="0"/>
              <w:rPr>
                <w:sz w:val="24"/>
                <w:szCs w:val="24"/>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(73,785)</w:t>
            </w:r>
          </w:p>
        </w:tc>
        <w:tc>
          <w:tcPr>
            <w:tcW w:w="840" w:type="dxa"/>
            <w:vAlign w:val="bottom"/>
            <w:gridSpan w:val="2"/>
          </w:tcPr>
          <w:p>
            <w:pPr>
              <w:jc w:val="right"/>
              <w:ind w:right="90"/>
              <w:spacing w:after="0"/>
              <w:rPr>
                <w:sz w:val="20"/>
                <w:szCs w:val="20"/>
                <w:color w:val="auto"/>
              </w:rPr>
            </w:pPr>
            <w:r>
              <w:rPr>
                <w:rFonts w:ascii="Arial" w:cs="Arial" w:eastAsia="Arial" w:hAnsi="Arial"/>
                <w:sz w:val="14"/>
                <w:szCs w:val="14"/>
                <w:color w:val="auto"/>
              </w:rPr>
              <w:t>(449,917)</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(8,268)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(485,245)</w:t>
            </w: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190,609</w:t>
            </w:r>
          </w:p>
        </w:tc>
        <w:tc>
          <w:tcPr>
            <w:tcW w:w="2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(294,636)</w:t>
            </w:r>
          </w:p>
        </w:tc>
      </w:tr>
      <w:tr>
        <w:trPr>
          <w:trHeight w:val="139"/>
        </w:trPr>
        <w:tc>
          <w:tcPr>
            <w:tcW w:w="3520" w:type="dxa"/>
            <w:vAlign w:val="bottom"/>
            <w:shd w:val="clear" w:color="auto" w:fill="CFF0FC"/>
          </w:tcPr>
          <w:p>
            <w:pPr>
              <w:spacing w:after="0" w:line="139" w:lineRule="exact"/>
              <w:rPr>
                <w:sz w:val="20"/>
                <w:szCs w:val="20"/>
                <w:color w:val="auto"/>
              </w:rPr>
            </w:pPr>
            <w:r>
              <w:rPr>
                <w:rFonts w:ascii="Arial" w:cs="Arial" w:eastAsia="Arial" w:hAnsi="Arial"/>
                <w:sz w:val="14"/>
                <w:szCs w:val="14"/>
                <w:color w:val="auto"/>
              </w:rPr>
              <w:t>Other comprehensive income before</w:t>
            </w:r>
          </w:p>
        </w:tc>
        <w:tc>
          <w:tcPr>
            <w:tcW w:w="9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3"/>
        </w:trPr>
        <w:tc>
          <w:tcPr>
            <w:tcW w:w="3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reclassifications:</w:t>
            </w: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58"/>
        </w:trPr>
        <w:tc>
          <w:tcPr>
            <w:tcW w:w="3520" w:type="dxa"/>
            <w:vAlign w:val="bottom"/>
          </w:tcPr>
          <w:p>
            <w:pPr>
              <w:ind w:left="240"/>
              <w:spacing w:after="0" w:line="158" w:lineRule="exact"/>
              <w:rPr>
                <w:sz w:val="20"/>
                <w:szCs w:val="20"/>
                <w:color w:val="auto"/>
              </w:rPr>
            </w:pPr>
            <w:r>
              <w:rPr>
                <w:rFonts w:ascii="Arial" w:cs="Arial" w:eastAsia="Arial" w:hAnsi="Arial"/>
                <w:sz w:val="14"/>
                <w:szCs w:val="14"/>
                <w:color w:val="auto"/>
              </w:rPr>
              <w:t>Unrealized holding losses, net</w:t>
            </w: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(8,746)</w:t>
            </w:r>
          </w:p>
        </w:tc>
        <w:tc>
          <w:tcPr>
            <w:tcW w:w="148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(6,259)</w:t>
            </w:r>
          </w:p>
        </w:tc>
        <w:tc>
          <w:tcPr>
            <w:tcW w:w="840" w:type="dxa"/>
            <w:vAlign w:val="bottom"/>
            <w:gridSpan w:val="2"/>
          </w:tcPr>
          <w:p>
            <w:pPr>
              <w:jc w:val="right"/>
              <w:ind w:right="15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(15,005)</w:t>
            </w:r>
          </w:p>
        </w:tc>
        <w:tc>
          <w:tcPr>
            <w:tcW w:w="32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7,269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(7,736)</w:t>
            </w:r>
          </w:p>
        </w:tc>
      </w:tr>
      <w:tr>
        <w:trPr>
          <w:trHeight w:val="158"/>
        </w:trPr>
        <w:tc>
          <w:tcPr>
            <w:tcW w:w="352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Foreign currency translation adjustment</w:t>
            </w:r>
          </w:p>
        </w:tc>
        <w:tc>
          <w:tcPr>
            <w:tcW w:w="9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150"/>
              <w:spacing w:after="0" w:line="158"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4,447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4,447</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line="158" w:lineRule="exact"/>
              <w:rPr>
                <w:sz w:val="20"/>
                <w:szCs w:val="20"/>
                <w:color w:val="auto"/>
              </w:rPr>
            </w:pPr>
            <w:r>
              <w:rPr>
                <w:rFonts w:ascii="Arial" w:cs="Arial" w:eastAsia="Arial" w:hAnsi="Arial"/>
                <w:sz w:val="14"/>
                <w:szCs w:val="14"/>
                <w:color w:val="auto"/>
              </w:rPr>
              <w:t>(2,206)</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2,241</w:t>
            </w:r>
          </w:p>
        </w:tc>
        <w:tc>
          <w:tcPr>
            <w:tcW w:w="100" w:type="dxa"/>
            <w:vAlign w:val="bottom"/>
            <w:shd w:val="clear" w:color="auto" w:fill="CFF0FC"/>
          </w:tcPr>
          <w:p>
            <w:pPr>
              <w:spacing w:after="0"/>
              <w:rPr>
                <w:sz w:val="13"/>
                <w:szCs w:val="13"/>
                <w:color w:val="auto"/>
              </w:rPr>
            </w:pPr>
          </w:p>
        </w:tc>
      </w:tr>
      <w:tr>
        <w:trPr>
          <w:trHeight w:val="158"/>
        </w:trPr>
        <w:tc>
          <w:tcPr>
            <w:tcW w:w="3520" w:type="dxa"/>
            <w:vAlign w:val="bottom"/>
          </w:tcPr>
          <w:p>
            <w:pPr>
              <w:ind w:left="240"/>
              <w:spacing w:after="0" w:line="158" w:lineRule="exact"/>
              <w:rPr>
                <w:sz w:val="20"/>
                <w:szCs w:val="20"/>
                <w:color w:val="auto"/>
              </w:rPr>
            </w:pPr>
            <w:r>
              <w:rPr>
                <w:rFonts w:ascii="Arial" w:cs="Arial" w:eastAsia="Arial" w:hAnsi="Arial"/>
                <w:sz w:val="14"/>
                <w:szCs w:val="14"/>
                <w:color w:val="auto"/>
              </w:rPr>
              <w:t>Unrealized losses on cash flow hedges</w:t>
            </w: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5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(12,291)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(12,291)</w:t>
            </w:r>
          </w:p>
        </w:tc>
        <w:tc>
          <w:tcPr>
            <w:tcW w:w="32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4,837</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(7,454)</w:t>
            </w:r>
          </w:p>
        </w:tc>
      </w:tr>
      <w:tr>
        <w:trPr>
          <w:trHeight w:val="158"/>
        </w:trPr>
        <w:tc>
          <w:tcPr>
            <w:tcW w:w="352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Current year benefit plans gains</w:t>
            </w:r>
          </w:p>
        </w:tc>
        <w:tc>
          <w:tcPr>
            <w:tcW w:w="9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9,276</w:t>
            </w:r>
          </w:p>
        </w:tc>
        <w:tc>
          <w:tcPr>
            <w:tcW w:w="2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9,276</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line="158" w:lineRule="exact"/>
              <w:rPr>
                <w:sz w:val="20"/>
                <w:szCs w:val="20"/>
                <w:color w:val="auto"/>
              </w:rPr>
            </w:pPr>
            <w:r>
              <w:rPr>
                <w:rFonts w:ascii="Arial" w:cs="Arial" w:eastAsia="Arial" w:hAnsi="Arial"/>
                <w:sz w:val="14"/>
                <w:szCs w:val="14"/>
                <w:color w:val="auto"/>
              </w:rPr>
              <w:t>(3,650)</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5,626</w:t>
            </w:r>
          </w:p>
        </w:tc>
        <w:tc>
          <w:tcPr>
            <w:tcW w:w="100" w:type="dxa"/>
            <w:vAlign w:val="bottom"/>
            <w:shd w:val="clear" w:color="auto" w:fill="CFF0FC"/>
          </w:tcPr>
          <w:p>
            <w:pPr>
              <w:spacing w:after="0"/>
              <w:rPr>
                <w:sz w:val="13"/>
                <w:szCs w:val="13"/>
                <w:color w:val="auto"/>
              </w:rPr>
            </w:pPr>
          </w:p>
        </w:tc>
      </w:tr>
      <w:tr>
        <w:trPr>
          <w:trHeight w:val="132"/>
        </w:trPr>
        <w:tc>
          <w:tcPr>
            <w:tcW w:w="3520" w:type="dxa"/>
            <w:vAlign w:val="bottom"/>
          </w:tcPr>
          <w:p>
            <w:pPr>
              <w:spacing w:after="0" w:line="133" w:lineRule="exact"/>
              <w:rPr>
                <w:sz w:val="20"/>
                <w:szCs w:val="20"/>
                <w:color w:val="auto"/>
              </w:rPr>
            </w:pPr>
            <w:r>
              <w:rPr>
                <w:rFonts w:ascii="Arial" w:cs="Arial" w:eastAsia="Arial" w:hAnsi="Arial"/>
                <w:sz w:val="14"/>
                <w:szCs w:val="14"/>
                <w:color w:val="auto"/>
              </w:rPr>
              <w:t>Total other comprehensive income (loss)</w:t>
            </w:r>
          </w:p>
        </w:tc>
        <w:tc>
          <w:tcPr>
            <w:tcW w:w="9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3520" w:type="dxa"/>
            <w:vAlign w:val="bottom"/>
          </w:tcPr>
          <w:p>
            <w:pPr>
              <w:ind w:left="120"/>
              <w:spacing w:after="0"/>
              <w:rPr>
                <w:sz w:val="20"/>
                <w:szCs w:val="20"/>
                <w:color w:val="auto"/>
              </w:rPr>
            </w:pPr>
            <w:r>
              <w:rPr>
                <w:rFonts w:ascii="Arial" w:cs="Arial" w:eastAsia="Arial" w:hAnsi="Arial"/>
                <w:sz w:val="14"/>
                <w:szCs w:val="14"/>
                <w:color w:val="auto"/>
              </w:rPr>
              <w:t>before reclassifications</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(8,746)</w:t>
            </w: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(6,259)</w:t>
            </w:r>
          </w:p>
        </w:tc>
        <w:tc>
          <w:tcPr>
            <w:tcW w:w="620" w:type="dxa"/>
            <w:vAlign w:val="bottom"/>
          </w:tcPr>
          <w:p>
            <w:pPr>
              <w:jc w:val="right"/>
              <w:spacing w:after="0"/>
              <w:rPr>
                <w:sz w:val="20"/>
                <w:szCs w:val="20"/>
                <w:color w:val="auto"/>
              </w:rPr>
            </w:pPr>
            <w:r>
              <w:rPr>
                <w:rFonts w:ascii="Arial" w:cs="Arial" w:eastAsia="Arial" w:hAnsi="Arial"/>
                <w:sz w:val="14"/>
                <w:szCs w:val="14"/>
                <w:color w:val="auto"/>
              </w:rPr>
              <w:t>9,276</w:t>
            </w:r>
          </w:p>
        </w:tc>
        <w:tc>
          <w:tcPr>
            <w:tcW w:w="2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(7,844)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(13,573)</w:t>
            </w: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6,250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(7,323)</w:t>
            </w:r>
          </w:p>
        </w:tc>
      </w:tr>
      <w:tr>
        <w:trPr>
          <w:trHeight w:val="132"/>
        </w:trPr>
        <w:tc>
          <w:tcPr>
            <w:tcW w:w="352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color w:val="auto"/>
              </w:rPr>
              <w:t>Amounts reclassified from accumulated</w:t>
            </w:r>
          </w:p>
        </w:tc>
        <w:tc>
          <w:tcPr>
            <w:tcW w:w="98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45"/>
        </w:trPr>
        <w:tc>
          <w:tcPr>
            <w:tcW w:w="3520" w:type="dxa"/>
            <w:vAlign w:val="bottom"/>
            <w:shd w:val="clear" w:color="auto" w:fill="CFF0FC"/>
          </w:tcPr>
          <w:p>
            <w:pPr>
              <w:ind w:left="120"/>
              <w:spacing w:after="0" w:line="145" w:lineRule="exact"/>
              <w:rPr>
                <w:sz w:val="20"/>
                <w:szCs w:val="20"/>
                <w:color w:val="auto"/>
              </w:rPr>
            </w:pPr>
            <w:r>
              <w:rPr>
                <w:rFonts w:ascii="Arial" w:cs="Arial" w:eastAsia="Arial" w:hAnsi="Arial"/>
                <w:sz w:val="14"/>
                <w:szCs w:val="14"/>
                <w:color w:val="auto"/>
              </w:rPr>
              <w:t>other comprehensive income that</w:t>
            </w:r>
          </w:p>
        </w:tc>
        <w:tc>
          <w:tcPr>
            <w:tcW w:w="9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3"/>
        </w:trPr>
        <w:tc>
          <w:tcPr>
            <w:tcW w:w="3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(increase) decrease net income:</w:t>
            </w: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39"/>
        </w:trPr>
        <w:tc>
          <w:tcPr>
            <w:tcW w:w="3520" w:type="dxa"/>
            <w:vAlign w:val="bottom"/>
          </w:tcPr>
          <w:p>
            <w:pPr>
              <w:ind w:left="240"/>
              <w:spacing w:after="0" w:line="139" w:lineRule="exact"/>
              <w:rPr>
                <w:sz w:val="20"/>
                <w:szCs w:val="20"/>
                <w:color w:val="auto"/>
              </w:rPr>
            </w:pPr>
            <w:r>
              <w:rPr>
                <w:rFonts w:ascii="Arial" w:cs="Arial" w:eastAsia="Arial" w:hAnsi="Arial"/>
                <w:sz w:val="14"/>
                <w:szCs w:val="14"/>
                <w:color w:val="auto"/>
              </w:rPr>
              <w:t>Amortization of unrealized holding</w:t>
            </w: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3"/>
        </w:trPr>
        <w:tc>
          <w:tcPr>
            <w:tcW w:w="3520" w:type="dxa"/>
            <w:vAlign w:val="bottom"/>
          </w:tcPr>
          <w:p>
            <w:pPr>
              <w:ind w:left="360"/>
              <w:spacing w:after="0"/>
              <w:rPr>
                <w:sz w:val="20"/>
                <w:szCs w:val="20"/>
                <w:color w:val="auto"/>
              </w:rPr>
            </w:pPr>
            <w:r>
              <w:rPr>
                <w:rFonts w:ascii="Arial" w:cs="Arial" w:eastAsia="Arial" w:hAnsi="Arial"/>
                <w:sz w:val="14"/>
                <w:szCs w:val="14"/>
                <w:color w:val="auto"/>
              </w:rPr>
              <w:t>losses on HTM securities</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3,387</w:t>
            </w:r>
          </w:p>
        </w:tc>
        <w:tc>
          <w:tcPr>
            <w:tcW w:w="220" w:type="dxa"/>
            <w:vAlign w:val="bottom"/>
          </w:tcPr>
          <w:p>
            <w:pPr>
              <w:spacing w:after="0"/>
              <w:rPr>
                <w:sz w:val="14"/>
                <w:szCs w:val="14"/>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3,387</w:t>
            </w:r>
          </w:p>
        </w:tc>
        <w:tc>
          <w:tcPr>
            <w:tcW w:w="80" w:type="dxa"/>
            <w:vAlign w:val="bottom"/>
          </w:tcPr>
          <w:p>
            <w:pPr>
              <w:spacing w:after="0"/>
              <w:rPr>
                <w:sz w:val="14"/>
                <w:szCs w:val="14"/>
                <w:color w:val="auto"/>
              </w:rPr>
            </w:pPr>
          </w:p>
        </w:tc>
        <w:tc>
          <w:tcPr>
            <w:tcW w:w="320" w:type="dxa"/>
            <w:vAlign w:val="bottom"/>
          </w:tcPr>
          <w:p>
            <w:pPr>
              <w:jc w:val="right"/>
              <w:ind w:right="50"/>
              <w:spacing w:after="0"/>
              <w:rPr>
                <w:sz w:val="20"/>
                <w:szCs w:val="20"/>
                <w:color w:val="auto"/>
              </w:rPr>
            </w:pPr>
            <w:r>
              <w:rPr>
                <w:rFonts w:ascii="Arial" w:cs="Arial" w:eastAsia="Arial" w:hAnsi="Arial"/>
                <w:sz w:val="14"/>
                <w:szCs w:val="14"/>
                <w:color w:val="auto"/>
              </w:rPr>
              <w:t>(c)</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(1,333)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2,054</w:t>
            </w:r>
          </w:p>
        </w:tc>
        <w:tc>
          <w:tcPr>
            <w:tcW w:w="100" w:type="dxa"/>
            <w:vAlign w:val="bottom"/>
          </w:tcPr>
          <w:p>
            <w:pPr>
              <w:spacing w:after="0"/>
              <w:rPr>
                <w:sz w:val="14"/>
                <w:szCs w:val="14"/>
                <w:color w:val="auto"/>
              </w:rPr>
            </w:pPr>
          </w:p>
        </w:tc>
      </w:tr>
      <w:tr>
        <w:trPr>
          <w:trHeight w:val="158"/>
        </w:trPr>
        <w:tc>
          <w:tcPr>
            <w:tcW w:w="352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Gains realized in net income</w:t>
            </w:r>
          </w:p>
        </w:tc>
        <w:tc>
          <w:tcPr>
            <w:tcW w:w="9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60"/>
              <w:spacing w:after="0" w:line="158" w:lineRule="exact"/>
              <w:rPr>
                <w:sz w:val="20"/>
                <w:szCs w:val="20"/>
                <w:color w:val="auto"/>
              </w:rPr>
            </w:pPr>
            <w:r>
              <w:rPr>
                <w:rFonts w:ascii="Arial" w:cs="Arial" w:eastAsia="Arial" w:hAnsi="Arial"/>
                <w:sz w:val="14"/>
                <w:szCs w:val="14"/>
                <w:color w:val="auto"/>
              </w:rPr>
              <w:t>(18,351)</w:t>
            </w:r>
          </w:p>
        </w:tc>
        <w:tc>
          <w:tcPr>
            <w:tcW w:w="1480" w:type="dxa"/>
            <w:vAlign w:val="bottom"/>
            <w:gridSpan w:val="2"/>
            <w:shd w:val="clear" w:color="auto" w:fill="CFF0FC"/>
          </w:tcPr>
          <w:p>
            <w:pPr>
              <w:jc w:val="right"/>
              <w:ind w:right="180"/>
              <w:spacing w:after="0" w:line="158" w:lineRule="exact"/>
              <w:rPr>
                <w:sz w:val="20"/>
                <w:szCs w:val="20"/>
                <w:color w:val="auto"/>
              </w:rPr>
            </w:pPr>
            <w:r>
              <w:rPr>
                <w:rFonts w:ascii="Arial" w:cs="Arial" w:eastAsia="Arial" w:hAnsi="Arial"/>
                <w:sz w:val="14"/>
                <w:szCs w:val="14"/>
                <w:color w:val="auto"/>
              </w:rPr>
              <w:t>(2,928)</w:t>
            </w:r>
          </w:p>
        </w:tc>
        <w:tc>
          <w:tcPr>
            <w:tcW w:w="840" w:type="dxa"/>
            <w:vAlign w:val="bottom"/>
            <w:gridSpan w:val="2"/>
            <w:shd w:val="clear" w:color="auto" w:fill="CFF0FC"/>
          </w:tcPr>
          <w:p>
            <w:pPr>
              <w:jc w:val="right"/>
              <w:ind w:right="15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(21,279)</w:t>
            </w:r>
          </w:p>
        </w:tc>
        <w:tc>
          <w:tcPr>
            <w:tcW w:w="320" w:type="dxa"/>
            <w:vAlign w:val="bottom"/>
            <w:shd w:val="clear" w:color="auto" w:fill="CFF0FC"/>
          </w:tcPr>
          <w:p>
            <w:pPr>
              <w:jc w:val="right"/>
              <w:ind w:right="50"/>
              <w:spacing w:after="0" w:line="158" w:lineRule="exact"/>
              <w:rPr>
                <w:sz w:val="20"/>
                <w:szCs w:val="20"/>
                <w:color w:val="auto"/>
              </w:rPr>
            </w:pPr>
            <w:r>
              <w:rPr>
                <w:rFonts w:ascii="Arial" w:cs="Arial" w:eastAsia="Arial" w:hAnsi="Arial"/>
                <w:sz w:val="14"/>
                <w:szCs w:val="14"/>
                <w:color w:val="auto"/>
              </w:rPr>
              <w:t>(d)</w:t>
            </w:r>
          </w:p>
        </w:tc>
        <w:tc>
          <w:tcPr>
            <w:tcW w:w="6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7,195</w:t>
            </w: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(14,084)</w:t>
            </w:r>
          </w:p>
        </w:tc>
      </w:tr>
      <w:tr>
        <w:trPr>
          <w:trHeight w:val="139"/>
        </w:trPr>
        <w:tc>
          <w:tcPr>
            <w:tcW w:w="3520" w:type="dxa"/>
            <w:vAlign w:val="bottom"/>
          </w:tcPr>
          <w:p>
            <w:pPr>
              <w:ind w:left="240"/>
              <w:spacing w:after="0" w:line="139" w:lineRule="exact"/>
              <w:rPr>
                <w:sz w:val="20"/>
                <w:szCs w:val="20"/>
                <w:color w:val="auto"/>
              </w:rPr>
            </w:pPr>
            <w:r>
              <w:rPr>
                <w:rFonts w:ascii="Arial" w:cs="Arial" w:eastAsia="Arial" w:hAnsi="Arial"/>
                <w:sz w:val="14"/>
                <w:szCs w:val="14"/>
                <w:color w:val="auto"/>
              </w:rPr>
              <w:t>Accretion of net gain on terminated cash</w:t>
            </w: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3"/>
        </w:trPr>
        <w:tc>
          <w:tcPr>
            <w:tcW w:w="3520" w:type="dxa"/>
            <w:vAlign w:val="bottom"/>
          </w:tcPr>
          <w:p>
            <w:pPr>
              <w:ind w:left="320"/>
              <w:spacing w:after="0"/>
              <w:rPr>
                <w:sz w:val="20"/>
                <w:szCs w:val="20"/>
                <w:color w:val="auto"/>
              </w:rPr>
            </w:pPr>
            <w:r>
              <w:rPr>
                <w:rFonts w:ascii="Arial" w:cs="Arial" w:eastAsia="Arial" w:hAnsi="Arial"/>
                <w:sz w:val="14"/>
                <w:szCs w:val="14"/>
                <w:color w:val="auto"/>
              </w:rPr>
              <w:t>flow hedges</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5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(137)</w:t>
            </w:r>
          </w:p>
        </w:tc>
        <w:tc>
          <w:tcPr>
            <w:tcW w:w="320" w:type="dxa"/>
            <w:vAlign w:val="bottom"/>
          </w:tcPr>
          <w:p>
            <w:pPr>
              <w:jc w:val="right"/>
              <w:ind w:right="50"/>
              <w:spacing w:after="0"/>
              <w:rPr>
                <w:sz w:val="20"/>
                <w:szCs w:val="20"/>
                <w:color w:val="auto"/>
              </w:rPr>
            </w:pPr>
            <w:r>
              <w:rPr>
                <w:rFonts w:ascii="Arial" w:cs="Arial" w:eastAsia="Arial" w:hAnsi="Arial"/>
                <w:sz w:val="14"/>
                <w:szCs w:val="14"/>
                <w:color w:val="auto"/>
              </w:rPr>
              <w:t>(e)</w:t>
            </w:r>
          </w:p>
        </w:tc>
        <w:tc>
          <w:tcPr>
            <w:tcW w:w="600" w:type="dxa"/>
            <w:vAlign w:val="bottom"/>
          </w:tcPr>
          <w:p>
            <w:pPr>
              <w:jc w:val="right"/>
              <w:spacing w:after="0"/>
              <w:rPr>
                <w:sz w:val="20"/>
                <w:szCs w:val="20"/>
                <w:color w:val="auto"/>
              </w:rPr>
            </w:pPr>
            <w:r>
              <w:rPr>
                <w:rFonts w:ascii="Arial" w:cs="Arial" w:eastAsia="Arial" w:hAnsi="Arial"/>
                <w:sz w:val="14"/>
                <w:szCs w:val="14"/>
                <w:color w:val="auto"/>
              </w:rPr>
              <w:t>54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(83)</w:t>
            </w:r>
          </w:p>
        </w:tc>
      </w:tr>
      <w:tr>
        <w:trPr>
          <w:trHeight w:val="139"/>
        </w:trPr>
        <w:tc>
          <w:tcPr>
            <w:tcW w:w="3520" w:type="dxa"/>
            <w:vAlign w:val="bottom"/>
            <w:shd w:val="clear" w:color="auto" w:fill="CFF0FC"/>
          </w:tcPr>
          <w:p>
            <w:pPr>
              <w:ind w:left="240"/>
              <w:spacing w:after="0" w:line="139" w:lineRule="exact"/>
              <w:rPr>
                <w:sz w:val="20"/>
                <w:szCs w:val="20"/>
                <w:color w:val="auto"/>
              </w:rPr>
            </w:pPr>
            <w:r>
              <w:rPr>
                <w:rFonts w:ascii="Arial" w:cs="Arial" w:eastAsia="Arial" w:hAnsi="Arial"/>
                <w:sz w:val="14"/>
                <w:szCs w:val="14"/>
                <w:color w:val="auto"/>
              </w:rPr>
              <w:t>Net yield adjustment from cash flow</w:t>
            </w:r>
          </w:p>
        </w:tc>
        <w:tc>
          <w:tcPr>
            <w:tcW w:w="9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3"/>
        </w:trPr>
        <w:tc>
          <w:tcPr>
            <w:tcW w:w="35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hedges currently in effect</w:t>
            </w: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15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(3,916)</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(3,916)</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(c)</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1,541</w:t>
            </w: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(2,375)</w:t>
            </w:r>
          </w:p>
        </w:tc>
      </w:tr>
      <w:tr>
        <w:trPr>
          <w:trHeight w:val="158"/>
        </w:trPr>
        <w:tc>
          <w:tcPr>
            <w:tcW w:w="3520" w:type="dxa"/>
            <w:vAlign w:val="bottom"/>
          </w:tcPr>
          <w:p>
            <w:pPr>
              <w:ind w:left="240"/>
              <w:spacing w:after="0" w:line="158" w:lineRule="exact"/>
              <w:rPr>
                <w:sz w:val="20"/>
                <w:szCs w:val="20"/>
                <w:color w:val="auto"/>
              </w:rPr>
            </w:pPr>
            <w:r>
              <w:rPr>
                <w:rFonts w:ascii="Arial" w:cs="Arial" w:eastAsia="Arial" w:hAnsi="Arial"/>
                <w:sz w:val="14"/>
                <w:szCs w:val="14"/>
                <w:color w:val="auto"/>
              </w:rPr>
              <w:t>Amortization of prior service credit</w:t>
            </w: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90"/>
              <w:spacing w:after="0" w:line="158" w:lineRule="exact"/>
              <w:rPr>
                <w:sz w:val="20"/>
                <w:szCs w:val="20"/>
                <w:color w:val="auto"/>
              </w:rPr>
            </w:pPr>
            <w:r>
              <w:rPr>
                <w:rFonts w:ascii="Arial" w:cs="Arial" w:eastAsia="Arial" w:hAnsi="Arial"/>
                <w:sz w:val="14"/>
                <w:szCs w:val="14"/>
                <w:color w:val="auto"/>
              </w:rPr>
              <w:t>(802)</w:t>
            </w:r>
          </w:p>
        </w:tc>
        <w:tc>
          <w:tcPr>
            <w:tcW w:w="7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(802)</w:t>
            </w:r>
          </w:p>
        </w:tc>
        <w:tc>
          <w:tcPr>
            <w:tcW w:w="320" w:type="dxa"/>
            <w:vAlign w:val="bottom"/>
          </w:tcPr>
          <w:p>
            <w:pPr>
              <w:jc w:val="right"/>
              <w:ind w:right="50"/>
              <w:spacing w:after="0" w:line="158" w:lineRule="exact"/>
              <w:rPr>
                <w:sz w:val="20"/>
                <w:szCs w:val="20"/>
                <w:color w:val="auto"/>
              </w:rPr>
            </w:pPr>
            <w:r>
              <w:rPr>
                <w:rFonts w:ascii="Arial" w:cs="Arial" w:eastAsia="Arial" w:hAnsi="Arial"/>
                <w:sz w:val="14"/>
                <w:szCs w:val="14"/>
                <w:color w:val="auto"/>
              </w:rPr>
              <w:t>(f)</w:t>
            </w: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315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(487)</w:t>
            </w:r>
          </w:p>
        </w:tc>
      </w:tr>
      <w:tr>
        <w:trPr>
          <w:trHeight w:val="158"/>
        </w:trPr>
        <w:tc>
          <w:tcPr>
            <w:tcW w:w="352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Amortization of actuarial losses</w:t>
            </w:r>
          </w:p>
        </w:tc>
        <w:tc>
          <w:tcPr>
            <w:tcW w:w="9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28,275</w:t>
            </w:r>
          </w:p>
        </w:tc>
        <w:tc>
          <w:tcPr>
            <w:tcW w:w="2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28,275</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50"/>
              <w:spacing w:after="0" w:line="158" w:lineRule="exact"/>
              <w:rPr>
                <w:sz w:val="20"/>
                <w:szCs w:val="20"/>
                <w:color w:val="auto"/>
              </w:rPr>
            </w:pPr>
            <w:r>
              <w:rPr>
                <w:rFonts w:ascii="Arial" w:cs="Arial" w:eastAsia="Arial" w:hAnsi="Arial"/>
                <w:sz w:val="14"/>
                <w:szCs w:val="14"/>
                <w:color w:val="auto"/>
              </w:rPr>
              <w:t>(f)</w:t>
            </w:r>
          </w:p>
        </w:tc>
        <w:tc>
          <w:tcPr>
            <w:tcW w:w="800" w:type="dxa"/>
            <w:vAlign w:val="bottom"/>
            <w:gridSpan w:val="2"/>
            <w:shd w:val="clear" w:color="auto" w:fill="CFF0FC"/>
          </w:tcPr>
          <w:p>
            <w:pPr>
              <w:jc w:val="right"/>
              <w:ind w:right="160"/>
              <w:spacing w:after="0" w:line="158" w:lineRule="exact"/>
              <w:rPr>
                <w:sz w:val="20"/>
                <w:szCs w:val="20"/>
                <w:color w:val="auto"/>
              </w:rPr>
            </w:pPr>
            <w:r>
              <w:rPr>
                <w:rFonts w:ascii="Arial" w:cs="Arial" w:eastAsia="Arial" w:hAnsi="Arial"/>
                <w:sz w:val="14"/>
                <w:szCs w:val="14"/>
                <w:color w:val="auto"/>
              </w:rPr>
              <w:t>(11,126)</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17,149</w:t>
            </w:r>
          </w:p>
        </w:tc>
        <w:tc>
          <w:tcPr>
            <w:tcW w:w="100" w:type="dxa"/>
            <w:vAlign w:val="bottom"/>
            <w:shd w:val="clear" w:color="auto" w:fill="CFF0FC"/>
          </w:tcPr>
          <w:p>
            <w:pPr>
              <w:spacing w:after="0"/>
              <w:rPr>
                <w:sz w:val="13"/>
                <w:szCs w:val="13"/>
                <w:color w:val="auto"/>
              </w:rPr>
            </w:pPr>
          </w:p>
        </w:tc>
      </w:tr>
      <w:tr>
        <w:trPr>
          <w:trHeight w:val="151"/>
        </w:trPr>
        <w:tc>
          <w:tcPr>
            <w:tcW w:w="3520" w:type="dxa"/>
            <w:vAlign w:val="bottom"/>
            <w:tcBorders>
              <w:bottom w:val="single" w:sz="8" w:color="CFF0FC"/>
            </w:tcBorders>
          </w:tcPr>
          <w:p>
            <w:pPr>
              <w:spacing w:after="0" w:line="151" w:lineRule="exact"/>
              <w:rPr>
                <w:sz w:val="20"/>
                <w:szCs w:val="20"/>
                <w:color w:val="auto"/>
              </w:rPr>
            </w:pPr>
            <w:r>
              <w:rPr>
                <w:rFonts w:ascii="Arial" w:cs="Arial" w:eastAsia="Arial" w:hAnsi="Arial"/>
                <w:sz w:val="14"/>
                <w:szCs w:val="14"/>
                <w:color w:val="auto"/>
              </w:rPr>
              <w:t>Total other comprehensive income (loss)</w:t>
            </w:r>
          </w:p>
        </w:tc>
        <w:tc>
          <w:tcPr>
            <w:tcW w:w="9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(27,097)</w:t>
            </w:r>
          </w:p>
        </w:tc>
        <w:tc>
          <w:tcPr>
            <w:tcW w:w="200" w:type="dxa"/>
            <w:vAlign w:val="bottom"/>
            <w:tcBorders>
              <w:bottom w:val="single" w:sz="8" w:color="CFF0FC"/>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(5,800)</w:t>
            </w:r>
          </w:p>
        </w:tc>
        <w:tc>
          <w:tcPr>
            <w:tcW w:w="220" w:type="dxa"/>
            <w:vAlign w:val="bottom"/>
            <w:tcBorders>
              <w:bottom w:val="single" w:sz="8" w:color="CFF0FC"/>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36,749</w:t>
            </w:r>
          </w:p>
        </w:tc>
        <w:tc>
          <w:tcPr>
            <w:tcW w:w="220" w:type="dxa"/>
            <w:vAlign w:val="bottom"/>
            <w:tcBorders>
              <w:bottom w:val="single" w:sz="8" w:color="CFF0FC"/>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(11,897)</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(8,045)</w:t>
            </w: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2,896</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(5,149)</w:t>
            </w:r>
          </w:p>
        </w:tc>
        <w:tc>
          <w:tcPr>
            <w:tcW w:w="100" w:type="dxa"/>
            <w:vAlign w:val="bottom"/>
            <w:tcBorders>
              <w:bottom w:val="single" w:sz="8" w:color="CFF0FC"/>
            </w:tcBorders>
          </w:tcPr>
          <w:p>
            <w:pPr>
              <w:spacing w:after="0"/>
              <w:rPr>
                <w:sz w:val="13"/>
                <w:szCs w:val="13"/>
                <w:color w:val="auto"/>
              </w:rPr>
            </w:pPr>
          </w:p>
        </w:tc>
      </w:tr>
      <w:tr>
        <w:trPr>
          <w:trHeight w:val="132"/>
        </w:trPr>
        <w:tc>
          <w:tcPr>
            <w:tcW w:w="3520" w:type="dxa"/>
            <w:vAlign w:val="bottom"/>
            <w:shd w:val="clear" w:color="auto" w:fill="CFF0FC"/>
          </w:tcPr>
          <w:p>
            <w:pPr>
              <w:spacing w:after="0" w:line="133" w:lineRule="exact"/>
              <w:rPr>
                <w:sz w:val="20"/>
                <w:szCs w:val="20"/>
                <w:color w:val="auto"/>
              </w:rPr>
            </w:pPr>
            <w:r>
              <w:rPr>
                <w:rFonts w:ascii="Arial" w:cs="Arial" w:eastAsia="Arial" w:hAnsi="Arial"/>
                <w:sz w:val="14"/>
                <w:szCs w:val="14"/>
                <w:color w:val="auto"/>
              </w:rPr>
              <w:t>Reclassification of income tax effects to</w:t>
            </w:r>
          </w:p>
        </w:tc>
        <w:tc>
          <w:tcPr>
            <w:tcW w:w="9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3"/>
        </w:trPr>
        <w:tc>
          <w:tcPr>
            <w:tcW w:w="3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retained earnings</w:t>
            </w: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15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(64,029)</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(64,029)</w:t>
            </w:r>
          </w:p>
        </w:tc>
      </w:tr>
      <w:tr>
        <w:trPr>
          <w:trHeight w:val="151"/>
        </w:trPr>
        <w:tc>
          <w:tcPr>
            <w:tcW w:w="3520" w:type="dxa"/>
            <w:vAlign w:val="bottom"/>
          </w:tcPr>
          <w:p>
            <w:pPr>
              <w:spacing w:after="0" w:line="151" w:lineRule="exact"/>
              <w:rPr>
                <w:sz w:val="20"/>
                <w:szCs w:val="20"/>
                <w:color w:val="auto"/>
              </w:rPr>
            </w:pPr>
            <w:r>
              <w:rPr>
                <w:rFonts w:ascii="Arial" w:cs="Arial" w:eastAsia="Arial" w:hAnsi="Arial"/>
                <w:sz w:val="14"/>
                <w:szCs w:val="14"/>
                <w:color w:val="auto"/>
              </w:rPr>
              <w:t>Balance — December 31, 2017</w:t>
            </w:r>
          </w:p>
        </w:tc>
        <w:tc>
          <w:tcPr>
            <w:tcW w:w="9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19,628</w:t>
            </w:r>
          </w:p>
        </w:tc>
        <w:tc>
          <w:tcPr>
            <w:tcW w:w="20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(79,585)</w:t>
            </w:r>
          </w:p>
        </w:tc>
        <w:tc>
          <w:tcPr>
            <w:tcW w:w="22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(413,168</w:t>
            </w:r>
          </w:p>
        </w:tc>
        <w:tc>
          <w:tcPr>
            <w:tcW w:w="220" w:type="dxa"/>
            <w:vAlign w:val="bottom"/>
          </w:tcPr>
          <w:p>
            <w:pPr>
              <w:jc w:val="right"/>
              <w:ind w:right="90"/>
              <w:spacing w:after="0" w:line="151" w:lineRule="exact"/>
              <w:rPr>
                <w:sz w:val="20"/>
                <w:szCs w:val="20"/>
                <w:color w:val="auto"/>
              </w:rPr>
            </w:pPr>
            <w:r>
              <w:rPr>
                <w:rFonts w:ascii="Arial" w:cs="Arial" w:eastAsia="Arial" w:hAnsi="Arial"/>
                <w:sz w:val="14"/>
                <w:szCs w:val="14"/>
                <w:color w:val="auto"/>
                <w:w w:val="84"/>
              </w:rPr>
              <w:t>)</w:t>
            </w:r>
          </w:p>
        </w:tc>
        <w:tc>
          <w:tcPr>
            <w:tcW w:w="6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(20,165)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7"/>
              </w:rPr>
              <w:t>(493,290</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3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129,476</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4"/>
              </w:rPr>
              <w:t>(363,814</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r>
      <w:tr>
        <w:trPr>
          <w:trHeight w:val="20"/>
        </w:trPr>
        <w:tc>
          <w:tcPr>
            <w:tcW w:w="3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25" w:lineRule="exact"/>
        <w:rPr>
          <w:sz w:val="20"/>
          <w:szCs w:val="20"/>
          <w:color w:val="auto"/>
        </w:rPr>
      </w:pPr>
    </w:p>
    <w:p>
      <w:pPr>
        <w:ind w:left="340" w:right="320" w:hanging="325"/>
        <w:spacing w:after="0" w:line="279" w:lineRule="auto"/>
        <w:tabs>
          <w:tab w:leader="none" w:pos="269"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Beginning January 1, 2018, equity securities with readily determinable market values are required to be measured at fair value with changes in fair value recognized in the income statement. Prior to that date, such changes in fair value were reflected in other comprehensive income. Separate presentation of investment securities with an other-than-temporary impairment change is no longer required.</w:t>
      </w:r>
    </w:p>
    <w:p>
      <w:pPr>
        <w:ind w:left="260" w:hanging="255"/>
        <w:spacing w:after="0"/>
        <w:tabs>
          <w:tab w:leader="none" w:pos="26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Other-than-temporary impairment.</w:t>
      </w:r>
    </w:p>
    <w:p>
      <w:pPr>
        <w:spacing w:after="0" w:line="3" w:lineRule="exact"/>
        <w:rPr>
          <w:rFonts w:ascii="Arial" w:cs="Arial" w:eastAsia="Arial" w:hAnsi="Arial"/>
          <w:sz w:val="18"/>
          <w:szCs w:val="18"/>
          <w:i w:val="1"/>
          <w:iCs w:val="1"/>
          <w:color w:val="auto"/>
        </w:rPr>
      </w:pPr>
    </w:p>
    <w:p>
      <w:pPr>
        <w:ind w:left="240" w:hanging="235"/>
        <w:spacing w:after="0"/>
        <w:tabs>
          <w:tab w:leader="none" w:pos="24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income.</w:t>
      </w:r>
    </w:p>
    <w:p>
      <w:pPr>
        <w:spacing w:after="0" w:line="3" w:lineRule="exact"/>
        <w:rPr>
          <w:rFonts w:ascii="Arial" w:cs="Arial" w:eastAsia="Arial" w:hAnsi="Arial"/>
          <w:sz w:val="18"/>
          <w:szCs w:val="18"/>
          <w:i w:val="1"/>
          <w:iCs w:val="1"/>
          <w:color w:val="auto"/>
        </w:rPr>
      </w:pPr>
    </w:p>
    <w:p>
      <w:pPr>
        <w:ind w:left="260" w:hanging="255"/>
        <w:spacing w:after="0"/>
        <w:tabs>
          <w:tab w:leader="none" w:pos="26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gain (loss) on bank investment securities.</w:t>
      </w:r>
    </w:p>
    <w:p>
      <w:pPr>
        <w:spacing w:after="0" w:line="3" w:lineRule="exact"/>
        <w:rPr>
          <w:rFonts w:ascii="Arial" w:cs="Arial" w:eastAsia="Arial" w:hAnsi="Arial"/>
          <w:sz w:val="18"/>
          <w:szCs w:val="18"/>
          <w:i w:val="1"/>
          <w:iCs w:val="1"/>
          <w:color w:val="auto"/>
        </w:rPr>
      </w:pPr>
    </w:p>
    <w:p>
      <w:pPr>
        <w:ind w:left="240" w:hanging="235"/>
        <w:spacing w:after="0"/>
        <w:tabs>
          <w:tab w:leader="none" w:pos="24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expense.</w:t>
      </w:r>
    </w:p>
    <w:p>
      <w:pPr>
        <w:spacing w:after="0" w:line="3" w:lineRule="exact"/>
        <w:rPr>
          <w:rFonts w:ascii="Arial" w:cs="Arial" w:eastAsia="Arial" w:hAnsi="Arial"/>
          <w:sz w:val="18"/>
          <w:szCs w:val="18"/>
          <w:i w:val="1"/>
          <w:iCs w:val="1"/>
          <w:color w:val="auto"/>
        </w:rPr>
      </w:pPr>
    </w:p>
    <w:p>
      <w:pPr>
        <w:ind w:left="220" w:hanging="215"/>
        <w:spacing w:after="0"/>
        <w:tabs>
          <w:tab w:leader="none" w:pos="22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other costs of operations.</w:t>
      </w:r>
    </w:p>
    <w:p>
      <w:pPr>
        <w:spacing w:after="0" w:line="200" w:lineRule="exact"/>
        <w:rPr>
          <w:sz w:val="20"/>
          <w:szCs w:val="20"/>
          <w:color w:val="auto"/>
        </w:rPr>
      </w:pPr>
    </w:p>
    <w:p>
      <w:pPr>
        <w:spacing w:after="0" w:line="23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Accumulated other comprehensive income (loss), net consisted of the following: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w w:val="93"/>
              </w:rPr>
              <w:t>Investment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Defined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2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6"/>
              </w:rPr>
              <w:t>Securities</w:t>
            </w:r>
          </w:p>
        </w:tc>
        <w:tc>
          <w:tcPr>
            <w:tcW w:w="120" w:type="dxa"/>
            <w:vAlign w:val="bottom"/>
          </w:tcPr>
          <w:p>
            <w:pPr>
              <w:spacing w:after="0"/>
              <w:rPr>
                <w:sz w:val="13"/>
                <w:szCs w:val="13"/>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7"/>
              </w:rPr>
              <w:t>Benefit Plans</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Total</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(In thousands)</w:t>
            </w:r>
          </w:p>
        </w:tc>
        <w:tc>
          <w:tcPr>
            <w:tcW w:w="6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9"/>
        </w:trPr>
        <w:tc>
          <w:tcPr>
            <w:tcW w:w="4280" w:type="dxa"/>
            <w:vAlign w:val="bottom"/>
          </w:tcPr>
          <w:p>
            <w:pPr>
              <w:spacing w:after="0"/>
              <w:rPr>
                <w:sz w:val="20"/>
                <w:szCs w:val="20"/>
                <w:color w:val="auto"/>
              </w:rPr>
            </w:pPr>
            <w:r>
              <w:rPr>
                <w:rFonts w:ascii="Arial" w:cs="Arial" w:eastAsia="Arial" w:hAnsi="Arial"/>
                <w:sz w:val="18"/>
                <w:szCs w:val="18"/>
                <w:color w:val="auto"/>
              </w:rPr>
              <w:t>Balance at January 1, 2017</w:t>
            </w:r>
          </w:p>
        </w:tc>
        <w:tc>
          <w:tcPr>
            <w:tcW w:w="1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(16,319)</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(272,874)</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(5,443)</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(294,636)</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gain (loss) during 2017</w:t>
            </w:r>
          </w:p>
        </w:tc>
        <w:tc>
          <w:tcPr>
            <w:tcW w:w="1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(19,766)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22,288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(7,671)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(5,149)</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280" w:type="dxa"/>
            <w:vAlign w:val="bottom"/>
          </w:tcPr>
          <w:p>
            <w:pPr>
              <w:spacing w:after="0"/>
              <w:rPr>
                <w:sz w:val="20"/>
                <w:szCs w:val="20"/>
                <w:color w:val="auto"/>
              </w:rPr>
            </w:pPr>
            <w:r>
              <w:rPr>
                <w:rFonts w:ascii="Arial" w:cs="Arial" w:eastAsia="Arial" w:hAnsi="Arial"/>
                <w:sz w:val="18"/>
                <w:szCs w:val="18"/>
                <w:color w:val="auto"/>
              </w:rPr>
              <w:t>Reclassification of income tax effects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140"/>
              <w:spacing w:after="0"/>
              <w:rPr>
                <w:sz w:val="20"/>
                <w:szCs w:val="20"/>
                <w:color w:val="auto"/>
              </w:rPr>
            </w:pPr>
            <w:r>
              <w:rPr>
                <w:rFonts w:ascii="Arial" w:cs="Arial" w:eastAsia="Arial" w:hAnsi="Arial"/>
                <w:sz w:val="18"/>
                <w:szCs w:val="18"/>
                <w:color w:val="auto"/>
              </w:rPr>
              <w:t>to retained earnings</w:t>
            </w: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(8,065)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(53,960)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(2,004)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(64,029)</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6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80" w:type="dxa"/>
            <w:vAlign w:val="bottom"/>
            <w:vMerge w:val="continue"/>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(44,150)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(304,546)</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(15,118)</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(363,814)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80" w:type="dxa"/>
            <w:vAlign w:val="bottom"/>
          </w:tcPr>
          <w:p>
            <w:pPr>
              <w:spacing w:after="0"/>
              <w:rPr>
                <w:sz w:val="20"/>
                <w:szCs w:val="20"/>
                <w:color w:val="auto"/>
              </w:rPr>
            </w:pPr>
            <w:r>
              <w:rPr>
                <w:rFonts w:ascii="Arial" w:cs="Arial" w:eastAsia="Arial" w:hAnsi="Arial"/>
                <w:sz w:val="18"/>
                <w:szCs w:val="18"/>
                <w:color w:val="auto"/>
              </w:rPr>
              <w:t>Cumulative effect of change in accounting</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140"/>
              <w:spacing w:after="0"/>
              <w:rPr>
                <w:sz w:val="20"/>
                <w:szCs w:val="20"/>
                <w:color w:val="auto"/>
              </w:rPr>
            </w:pPr>
            <w:r>
              <w:rPr>
                <w:rFonts w:ascii="Arial" w:cs="Arial" w:eastAsia="Arial" w:hAnsi="Arial"/>
                <w:sz w:val="18"/>
                <w:szCs w:val="18"/>
                <w:color w:val="auto"/>
              </w:rPr>
              <w:t>principle — equity securities</w:t>
            </w: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(16,853)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(16,853)</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gain (loss) during 2018</w:t>
            </w:r>
          </w:p>
        </w:tc>
        <w:tc>
          <w:tcPr>
            <w:tcW w:w="1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(86,523)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43,243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(39,414)</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Balance at December 31, 2018</w:t>
            </w:r>
          </w:p>
        </w:tc>
        <w:tc>
          <w:tcPr>
            <w:tcW w:w="1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8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(147,526)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(261,303)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(11,252)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(420,081)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gain (loss) during 2019</w:t>
            </w:r>
          </w:p>
        </w:tc>
        <w:tc>
          <w:tcPr>
            <w:tcW w:w="1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184,906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(81,116)</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109,611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213,401</w:t>
            </w:r>
          </w:p>
        </w:tc>
        <w:tc>
          <w:tcPr>
            <w:tcW w:w="100" w:type="dxa"/>
            <w:vAlign w:val="bottom"/>
            <w:shd w:val="clear" w:color="auto" w:fill="CFF0FC"/>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Balance at December 31, 2019</w:t>
            </w:r>
          </w:p>
        </w:tc>
        <w:tc>
          <w:tcPr>
            <w:tcW w:w="1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80" w:type="dxa"/>
            <w:vAlign w:val="bottom"/>
            <w:vMerge w:val="continue"/>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37,380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(342,419)</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98,359</w:t>
            </w:r>
          </w:p>
        </w:tc>
        <w:tc>
          <w:tcPr>
            <w:tcW w:w="1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(206,680)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428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2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416" w:right="239" w:bottom="1440" w:gutter="0" w:footer="0" w:header="0"/>
        </w:sectPr>
      </w:pPr>
    </w:p>
    <w:bookmarkStart w:id="166" w:name="page167"/>
    <w:bookmarkEnd w:id="166"/>
    <w:p>
      <w:pPr>
        <w:spacing w:after="0"/>
        <w:tabs>
          <w:tab w:leader="none" w:pos="44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7"/>
          <w:szCs w:val="17"/>
          <w:b w:val="1"/>
          <w:bCs w:val="1"/>
          <w:color w:val="auto"/>
        </w:rPr>
        <w:t>Other income and other expense</w:t>
      </w:r>
    </w:p>
    <w:p>
      <w:pPr>
        <w:spacing w:after="0" w:line="29" w:lineRule="exact"/>
        <w:rPr>
          <w:sz w:val="20"/>
          <w:szCs w:val="20"/>
          <w:color w:val="auto"/>
        </w:rPr>
      </w:pPr>
    </w:p>
    <w:p>
      <w:pPr>
        <w:ind w:right="260"/>
        <w:spacing w:after="0" w:line="256" w:lineRule="auto"/>
        <w:rPr>
          <w:sz w:val="20"/>
          <w:szCs w:val="20"/>
          <w:color w:val="auto"/>
        </w:rPr>
      </w:pPr>
      <w:r>
        <w:rPr>
          <w:rFonts w:ascii="Arial" w:cs="Arial" w:eastAsia="Arial" w:hAnsi="Arial"/>
          <w:sz w:val="20"/>
          <w:szCs w:val="20"/>
          <w:color w:val="auto"/>
        </w:rPr>
        <w:t>The following items, which exceeded 1% of total interest income and other income in the respective period, were included in either “other revenues from operations” or “other costs of operations” in the consolidated statement of income: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4"/>
          </w:tcPr>
          <w:p>
            <w:pPr>
              <w:jc w:val="center"/>
              <w:ind w:left="401"/>
              <w:spacing w:after="0"/>
              <w:rPr>
                <w:sz w:val="20"/>
                <w:szCs w:val="20"/>
                <w:color w:val="auto"/>
              </w:rPr>
            </w:pPr>
            <w:r>
              <w:rPr>
                <w:rFonts w:ascii="Arial" w:cs="Arial" w:eastAsia="Arial" w:hAnsi="Arial"/>
                <w:sz w:val="13"/>
                <w:szCs w:val="13"/>
                <w:b w:val="1"/>
                <w:bCs w:val="1"/>
                <w:color w:val="auto"/>
                <w:w w:val="90"/>
              </w:rPr>
              <w:t>Year Ended December 31</w:t>
            </w: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8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2019</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218"/>
              <w:spacing w:after="0"/>
              <w:rPr>
                <w:sz w:val="20"/>
                <w:szCs w:val="20"/>
                <w:color w:val="auto"/>
              </w:rPr>
            </w:pPr>
            <w:r>
              <w:rPr>
                <w:rFonts w:ascii="Arial" w:cs="Arial" w:eastAsia="Arial" w:hAnsi="Arial"/>
                <w:sz w:val="13"/>
                <w:szCs w:val="13"/>
                <w:b w:val="1"/>
                <w:bCs w:val="1"/>
                <w:color w:val="auto"/>
                <w:w w:val="96"/>
              </w:rPr>
              <w:t>2018</w:t>
            </w: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7"/>
                <w:szCs w:val="17"/>
                <w:color w:val="auto"/>
              </w:rPr>
            </w:pPr>
          </w:p>
        </w:tc>
      </w:tr>
      <w:tr>
        <w:trPr>
          <w:trHeight w:val="203"/>
        </w:trPr>
        <w:tc>
          <w:tcPr>
            <w:tcW w:w="8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(In thousands)</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8300" w:type="dxa"/>
            <w:vAlign w:val="bottom"/>
          </w:tcPr>
          <w:p>
            <w:pPr>
              <w:ind w:left="240"/>
              <w:spacing w:after="0"/>
              <w:rPr>
                <w:sz w:val="20"/>
                <w:szCs w:val="20"/>
                <w:color w:val="auto"/>
              </w:rPr>
            </w:pPr>
            <w:r>
              <w:rPr>
                <w:rFonts w:ascii="Arial" w:cs="Arial" w:eastAsia="Arial" w:hAnsi="Arial"/>
                <w:sz w:val="18"/>
                <w:szCs w:val="18"/>
                <w:color w:val="auto"/>
              </w:rPr>
              <w:t>Credit-related fee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61"/>
              <w:spacing w:after="0"/>
              <w:rPr>
                <w:sz w:val="20"/>
                <w:szCs w:val="20"/>
                <w:color w:val="auto"/>
              </w:rPr>
            </w:pPr>
            <w:r>
              <w:rPr>
                <w:rFonts w:ascii="Arial" w:cs="Arial" w:eastAsia="Arial" w:hAnsi="Arial"/>
                <w:sz w:val="18"/>
                <w:szCs w:val="18"/>
                <w:color w:val="auto"/>
              </w:rPr>
              <w:t>86,792</w:t>
            </w:r>
          </w:p>
        </w:tc>
        <w:tc>
          <w:tcPr>
            <w:tcW w:w="30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8"/>
              <w:spacing w:after="0"/>
              <w:rPr>
                <w:sz w:val="20"/>
                <w:szCs w:val="20"/>
                <w:color w:val="auto"/>
              </w:rPr>
            </w:pPr>
            <w:r>
              <w:rPr>
                <w:rFonts w:ascii="Arial" w:cs="Arial" w:eastAsia="Arial" w:hAnsi="Arial"/>
                <w:sz w:val="18"/>
                <w:szCs w:val="18"/>
                <w:color w:val="auto"/>
              </w:rPr>
              <w:t>82,614</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77,580</w:t>
            </w:r>
          </w:p>
        </w:tc>
        <w:tc>
          <w:tcPr>
            <w:tcW w:w="100" w:type="dxa"/>
            <w:vAlign w:val="bottom"/>
          </w:tcPr>
          <w:p>
            <w:pPr>
              <w:spacing w:after="0"/>
              <w:rPr>
                <w:sz w:val="19"/>
                <w:szCs w:val="19"/>
                <w:color w:val="auto"/>
              </w:rPr>
            </w:pPr>
          </w:p>
        </w:tc>
      </w:tr>
      <w:tr>
        <w:trPr>
          <w:trHeight w:val="224"/>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8300" w:type="dxa"/>
            <w:vAlign w:val="bottom"/>
          </w:tcPr>
          <w:p>
            <w:pPr>
              <w:ind w:left="240"/>
              <w:spacing w:after="0"/>
              <w:rPr>
                <w:sz w:val="20"/>
                <w:szCs w:val="20"/>
                <w:color w:val="auto"/>
              </w:rPr>
            </w:pPr>
            <w:r>
              <w:rPr>
                <w:rFonts w:ascii="Arial" w:cs="Arial" w:eastAsia="Arial" w:hAnsi="Arial"/>
                <w:sz w:val="18"/>
                <w:szCs w:val="18"/>
                <w:color w:val="auto"/>
              </w:rPr>
              <w:t>Professional services</w:t>
            </w:r>
          </w:p>
        </w:tc>
        <w:tc>
          <w:tcPr>
            <w:tcW w:w="180" w:type="dxa"/>
            <w:vAlign w:val="bottom"/>
          </w:tcPr>
          <w:p>
            <w:pPr>
              <w:spacing w:after="0"/>
              <w:rPr>
                <w:sz w:val="19"/>
                <w:szCs w:val="19"/>
                <w:color w:val="auto"/>
              </w:rPr>
            </w:pPr>
          </w:p>
        </w:tc>
        <w:tc>
          <w:tcPr>
            <w:tcW w:w="780" w:type="dxa"/>
            <w:vAlign w:val="bottom"/>
          </w:tcPr>
          <w:p>
            <w:pPr>
              <w:jc w:val="right"/>
              <w:ind w:right="61"/>
              <w:spacing w:after="0"/>
              <w:rPr>
                <w:sz w:val="20"/>
                <w:szCs w:val="20"/>
                <w:color w:val="auto"/>
              </w:rPr>
            </w:pPr>
            <w:r>
              <w:rPr>
                <w:rFonts w:ascii="Arial" w:cs="Arial" w:eastAsia="Arial" w:hAnsi="Arial"/>
                <w:sz w:val="18"/>
                <w:szCs w:val="18"/>
                <w:color w:val="auto"/>
                <w:w w:val="95"/>
              </w:rPr>
              <w:t>330,900</w:t>
            </w:r>
          </w:p>
        </w:tc>
        <w:tc>
          <w:tcPr>
            <w:tcW w:w="300" w:type="dxa"/>
            <w:vAlign w:val="bottom"/>
          </w:tcPr>
          <w:p>
            <w:pPr>
              <w:spacing w:after="0"/>
              <w:rPr>
                <w:sz w:val="19"/>
                <w:szCs w:val="19"/>
                <w:color w:val="auto"/>
              </w:rPr>
            </w:pPr>
          </w:p>
        </w:tc>
        <w:tc>
          <w:tcPr>
            <w:tcW w:w="780" w:type="dxa"/>
            <w:vAlign w:val="bottom"/>
          </w:tcPr>
          <w:p>
            <w:pPr>
              <w:jc w:val="right"/>
              <w:ind w:right="38"/>
              <w:spacing w:after="0"/>
              <w:rPr>
                <w:sz w:val="20"/>
                <w:szCs w:val="20"/>
                <w:color w:val="auto"/>
              </w:rPr>
            </w:pPr>
            <w:r>
              <w:rPr>
                <w:rFonts w:ascii="Arial" w:cs="Arial" w:eastAsia="Arial" w:hAnsi="Arial"/>
                <w:sz w:val="18"/>
                <w:szCs w:val="18"/>
                <w:color w:val="auto"/>
                <w:w w:val="98"/>
              </w:rPr>
              <w:t>312,998</w:t>
            </w: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289,862</w:t>
            </w:r>
          </w:p>
        </w:tc>
        <w:tc>
          <w:tcPr>
            <w:tcW w:w="100" w:type="dxa"/>
            <w:vAlign w:val="bottom"/>
          </w:tcPr>
          <w:p>
            <w:pPr>
              <w:spacing w:after="0"/>
              <w:rPr>
                <w:sz w:val="19"/>
                <w:szCs w:val="19"/>
                <w:color w:val="auto"/>
              </w:rPr>
            </w:pPr>
          </w:p>
        </w:tc>
      </w:tr>
      <w:tr>
        <w:trPr>
          <w:trHeight w:val="224"/>
        </w:trPr>
        <w:tc>
          <w:tcPr>
            <w:tcW w:w="8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Accrual for Wilmington Trust Corporation legal-related matters</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w w:val="98"/>
              </w:rPr>
              <w:t>135,000</w:t>
            </w: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8300" w:type="dxa"/>
            <w:vAlign w:val="bottom"/>
          </w:tcPr>
          <w:p>
            <w:pPr>
              <w:ind w:left="240"/>
              <w:spacing w:after="0"/>
              <w:rPr>
                <w:sz w:val="20"/>
                <w:szCs w:val="20"/>
                <w:color w:val="auto"/>
              </w:rPr>
            </w:pPr>
            <w:r>
              <w:rPr>
                <w:rFonts w:ascii="Arial" w:cs="Arial" w:eastAsia="Arial" w:hAnsi="Arial"/>
                <w:sz w:val="18"/>
                <w:szCs w:val="18"/>
                <w:color w:val="auto"/>
              </w:rPr>
              <w:t>Amortization of capitalized mortgage servicing rights</w:t>
            </w:r>
          </w:p>
        </w:tc>
        <w:tc>
          <w:tcPr>
            <w:tcW w:w="180" w:type="dxa"/>
            <w:vAlign w:val="bottom"/>
          </w:tcPr>
          <w:p>
            <w:pPr>
              <w:spacing w:after="0"/>
              <w:rPr>
                <w:sz w:val="19"/>
                <w:szCs w:val="19"/>
                <w:color w:val="auto"/>
              </w:rPr>
            </w:pPr>
          </w:p>
        </w:tc>
        <w:tc>
          <w:tcPr>
            <w:tcW w:w="780" w:type="dxa"/>
            <w:vAlign w:val="bottom"/>
          </w:tcPr>
          <w:p>
            <w:pPr>
              <w:jc w:val="right"/>
              <w:ind w:right="61"/>
              <w:spacing w:after="0"/>
              <w:rPr>
                <w:sz w:val="20"/>
                <w:szCs w:val="20"/>
                <w:color w:val="auto"/>
              </w:rPr>
            </w:pPr>
            <w:r>
              <w:rPr>
                <w:rFonts w:ascii="Arial" w:cs="Arial" w:eastAsia="Arial" w:hAnsi="Arial"/>
                <w:sz w:val="18"/>
                <w:szCs w:val="18"/>
                <w:color w:val="auto"/>
              </w:rPr>
              <w:t>71,888</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33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8"/>
          <w:szCs w:val="18"/>
          <w:b w:val="1"/>
          <w:bCs w:val="1"/>
          <w:color w:val="auto"/>
        </w:rPr>
        <w:t>International activities</w:t>
      </w:r>
    </w:p>
    <w:p>
      <w:pPr>
        <w:spacing w:after="0" w:line="29"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color w:val="auto"/>
        </w:rPr>
        <w:t>The Company engages in limited international activities including certain trust-related services in Europe, collecting Eurodollar deposits, engaging in foreign currency transactions associated with customer activity, providing credit to support the international activities of domestic companies and holding certain loans to foreign borrowers. Assets and revenues associated with international activities represent less than 1% of the Company’s consolidated assets and revenues. International assets included $186 million and $172 million of loans to foreign borrowers at December 31, 2019 and 2018, respectively. Deposits at M&amp;T Bank’s Cayman Islands office were $1.68 billion and $812 million at December 31, 2019 and 2018, respectively. The Company uses such deposits to facilitate customer demand and as an alternative to short-term borrowings when the costs of such deposits seem reasonable. Deposits at M&amp;T Bank’s office in Ontario, Canada were $23 million at December 31, 2019 and $22 million at December 31, 2018. Revenues from providing international trust-related services were approximately $32 million in 2019, $29 million in 2018 and $24 million in 2017.</w:t>
      </w:r>
    </w:p>
    <w:p>
      <w:pPr>
        <w:spacing w:after="0" w:line="200" w:lineRule="exact"/>
        <w:rPr>
          <w:sz w:val="20"/>
          <w:szCs w:val="20"/>
          <w:color w:val="auto"/>
        </w:rPr>
      </w:pPr>
    </w:p>
    <w:p>
      <w:pPr>
        <w:spacing w:after="0" w:line="36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8"/>
          <w:szCs w:val="18"/>
          <w:b w:val="1"/>
          <w:bCs w:val="1"/>
          <w:color w:val="auto"/>
        </w:rPr>
        <w:t>Derivative financial instruments</w:t>
      </w:r>
    </w:p>
    <w:p>
      <w:pPr>
        <w:spacing w:after="0" w:line="29"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as of December 31, 2019.</w:t>
      </w:r>
    </w:p>
    <w:p>
      <w:pPr>
        <w:spacing w:after="0" w:line="1" w:lineRule="exact"/>
        <w:rPr>
          <w:sz w:val="20"/>
          <w:szCs w:val="20"/>
          <w:color w:val="auto"/>
        </w:rPr>
      </w:pPr>
    </w:p>
    <w:p>
      <w:pPr>
        <w:ind w:right="320" w:firstLine="598"/>
        <w:spacing w:after="0" w:line="256" w:lineRule="auto"/>
        <w:rPr>
          <w:sz w:val="20"/>
          <w:szCs w:val="20"/>
          <w:color w:val="auto"/>
        </w:rPr>
      </w:pPr>
      <w:r>
        <w:rPr>
          <w:rFonts w:ascii="Arial" w:cs="Arial" w:eastAsia="Arial" w:hAnsi="Arial"/>
          <w:sz w:val="20"/>
          <w:szCs w:val="20"/>
          <w:color w:val="auto"/>
        </w:rPr>
        <w:t>The net effect of interest rate swap agreements was to decrease net interest income by $2 million in 2019 and $25 million in 2018, and to increase net interest income by $25 million in 2017.</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67" w:name="page168"/>
    <w:bookmarkEnd w:id="167"/>
    <w:p>
      <w:pPr>
        <w:ind w:right="540" w:firstLine="598"/>
        <w:spacing w:after="0" w:line="275" w:lineRule="auto"/>
        <w:rPr>
          <w:sz w:val="20"/>
          <w:szCs w:val="20"/>
          <w:color w:val="auto"/>
        </w:rPr>
      </w:pPr>
      <w:r>
        <w:rPr>
          <w:rFonts w:ascii="Arial" w:cs="Arial" w:eastAsia="Arial" w:hAnsi="Arial"/>
          <w:sz w:val="20"/>
          <w:szCs w:val="20"/>
          <w:color w:val="auto"/>
        </w:rPr>
        <w:t>Information about interest rate swap agreements entered into for interest rate risk management purposes summarized by type of financial instrument the swap agreements were intended to hedge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3"/>
          </w:tcPr>
          <w:p>
            <w:pPr>
              <w:jc w:val="center"/>
              <w:ind w:left="650"/>
              <w:spacing w:after="0"/>
              <w:rPr>
                <w:sz w:val="20"/>
                <w:szCs w:val="20"/>
                <w:color w:val="auto"/>
              </w:rPr>
            </w:pPr>
            <w:r>
              <w:rPr>
                <w:rFonts w:ascii="Arial" w:cs="Arial" w:eastAsia="Arial" w:hAnsi="Arial"/>
                <w:sz w:val="14"/>
                <w:szCs w:val="14"/>
                <w:b w:val="1"/>
                <w:bCs w:val="1"/>
                <w:color w:val="auto"/>
                <w:w w:val="91"/>
              </w:rPr>
              <w:t>Weighted-</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Notional</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340" w:type="dxa"/>
            <w:vAlign w:val="bottom"/>
          </w:tcPr>
          <w:p>
            <w:pPr>
              <w:spacing w:after="0"/>
              <w:rPr>
                <w:sz w:val="14"/>
                <w:szCs w:val="14"/>
                <w:color w:val="auto"/>
              </w:rPr>
            </w:pPr>
          </w:p>
        </w:tc>
        <w:tc>
          <w:tcPr>
            <w:tcW w:w="15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4"/>
                <w:szCs w:val="14"/>
                <w:b w:val="1"/>
                <w:bCs w:val="1"/>
                <w:color w:val="auto"/>
                <w:w w:val="89"/>
              </w:rPr>
              <w:t>Average Rate</w:t>
            </w:r>
          </w:p>
        </w:tc>
        <w:tc>
          <w:tcPr>
            <w:tcW w:w="7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6"/>
        </w:trPr>
        <w:tc>
          <w:tcPr>
            <w:tcW w:w="3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Amount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340" w:type="dxa"/>
            <w:vAlign w:val="bottom"/>
          </w:tcPr>
          <w:p>
            <w:pPr>
              <w:spacing w:after="0"/>
              <w:rPr>
                <w:sz w:val="17"/>
                <w:szCs w:val="17"/>
                <w:color w:val="auto"/>
              </w:rPr>
            </w:pPr>
          </w:p>
        </w:tc>
        <w:tc>
          <w:tcPr>
            <w:tcW w:w="1540" w:type="dxa"/>
            <w:vAlign w:val="bottom"/>
            <w:gridSpan w:val="3"/>
          </w:tcPr>
          <w:p>
            <w:pPr>
              <w:ind w:left="300"/>
              <w:spacing w:after="0"/>
              <w:rPr>
                <w:sz w:val="20"/>
                <w:szCs w:val="20"/>
                <w:color w:val="auto"/>
              </w:rPr>
            </w:pPr>
            <w:r>
              <w:rPr>
                <w:rFonts w:ascii="Arial" w:cs="Arial" w:eastAsia="Arial" w:hAnsi="Arial"/>
                <w:sz w:val="14"/>
                <w:szCs w:val="14"/>
                <w:b w:val="1"/>
                <w:bCs w:val="1"/>
                <w:color w:val="auto"/>
              </w:rPr>
              <w:t>Fixed</w:t>
            </w: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1"/>
              </w:rPr>
              <w:t>Variable</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9"/>
              </w:rPr>
              <w:t>Gain (Loss) (a)</w:t>
            </w:r>
          </w:p>
        </w:tc>
        <w:tc>
          <w:tcPr>
            <w:tcW w:w="0" w:type="dxa"/>
            <w:vAlign w:val="bottom"/>
          </w:tcPr>
          <w:p>
            <w:pPr>
              <w:spacing w:after="0"/>
              <w:rPr>
                <w:sz w:val="1"/>
                <w:szCs w:val="1"/>
                <w:color w:val="auto"/>
              </w:rPr>
            </w:pPr>
          </w:p>
        </w:tc>
      </w:tr>
      <w:tr>
        <w:trPr>
          <w:trHeight w:val="37"/>
        </w:trPr>
        <w:tc>
          <w:tcPr>
            <w:tcW w:w="38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Fair value hedges: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Fixed rate long-term borrowings (b)</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3,800,000</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68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Cash flow hedges: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payments on variable rate</w:t>
            </w: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400"/>
              <w:spacing w:after="0"/>
              <w:rPr>
                <w:sz w:val="20"/>
                <w:szCs w:val="20"/>
                <w:color w:val="auto"/>
              </w:rPr>
            </w:pPr>
            <w:r>
              <w:rPr>
                <w:rFonts w:ascii="Arial" w:cs="Arial" w:eastAsia="Arial" w:hAnsi="Arial"/>
                <w:sz w:val="18"/>
                <w:szCs w:val="18"/>
                <w:color w:val="auto"/>
              </w:rPr>
              <w:t>commercial real estate loans (b)(c)</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53,750,000</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8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2.44%</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880" w:type="dxa"/>
            <w:vAlign w:val="bottom"/>
            <w:vMerge w:val="continue"/>
          </w:tcPr>
          <w:p>
            <w:pPr>
              <w:spacing w:after="0"/>
              <w:rPr>
                <w:sz w:val="22"/>
                <w:szCs w:val="22"/>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57,550,000</w:t>
            </w:r>
          </w:p>
        </w:tc>
        <w:tc>
          <w:tcPr>
            <w:tcW w:w="3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03"/>
        </w:trPr>
        <w:tc>
          <w:tcPr>
            <w:tcW w:w="388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December 31, 2018</w:t>
            </w:r>
          </w:p>
        </w:tc>
        <w:tc>
          <w:tcPr>
            <w:tcW w:w="10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Fair value hedges: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Fixed rate long-term borrowings (b)</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4,450,000</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68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Cash flow hedges: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payments on variable rate</w:t>
            </w: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400"/>
              <w:spacing w:after="0"/>
              <w:rPr>
                <w:sz w:val="20"/>
                <w:szCs w:val="20"/>
                <w:color w:val="auto"/>
              </w:rPr>
            </w:pPr>
            <w:r>
              <w:rPr>
                <w:rFonts w:ascii="Arial" w:cs="Arial" w:eastAsia="Arial" w:hAnsi="Arial"/>
                <w:sz w:val="18"/>
                <w:szCs w:val="18"/>
                <w:color w:val="auto"/>
              </w:rPr>
              <w:t>commercial real estate loans (b)(d)</w:t>
            </w:r>
          </w:p>
        </w:tc>
        <w:tc>
          <w:tcPr>
            <w:tcW w:w="10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15,400,000</w:t>
            </w:r>
          </w:p>
        </w:tc>
        <w:tc>
          <w:tcPr>
            <w:tcW w:w="3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8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Total</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19,850,000</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25" w:lineRule="exact"/>
        <w:rPr>
          <w:sz w:val="20"/>
          <w:szCs w:val="20"/>
          <w:color w:val="auto"/>
        </w:rPr>
      </w:pPr>
    </w:p>
    <w:p>
      <w:pPr>
        <w:ind w:left="440" w:right="140" w:hanging="435"/>
        <w:spacing w:after="0" w:line="282" w:lineRule="auto"/>
        <w:tabs>
          <w:tab w:leader="none" w:pos="440" w:val="left"/>
        </w:tabs>
        <w:numPr>
          <w:ilvl w:val="0"/>
          <w:numId w:val="48"/>
        </w:numPr>
        <w:rPr>
          <w:rFonts w:ascii="Arial" w:cs="Arial" w:eastAsia="Arial" w:hAnsi="Arial"/>
          <w:sz w:val="16"/>
          <w:szCs w:val="16"/>
          <w:i w:val="1"/>
          <w:iCs w:val="1"/>
          <w:color w:val="auto"/>
        </w:rPr>
      </w:pPr>
      <w:r>
        <w:rPr>
          <w:rFonts w:ascii="Arial" w:cs="Arial" w:eastAsia="Arial" w:hAnsi="Arial"/>
          <w:sz w:val="16"/>
          <w:szCs w:val="16"/>
          <w:color w:val="auto"/>
        </w:rPr>
        <w:t>C</w:t>
      </w:r>
      <w:r>
        <w:rPr>
          <w:rFonts w:ascii="Arial" w:cs="Arial" w:eastAsia="Arial" w:hAnsi="Arial"/>
          <w:sz w:val="16"/>
          <w:szCs w:val="16"/>
          <w:i w:val="1"/>
          <w:iCs w:val="1"/>
          <w:color w:val="auto"/>
        </w:rPr>
        <w:t>ertain clearinghouse exchange rules provide that required payments by counterparties for variation margin are treated as settlements of those positions.</w:t>
      </w:r>
      <w:r>
        <w:rPr>
          <w:rFonts w:ascii="Arial" w:cs="Arial" w:eastAsia="Arial" w:hAnsi="Arial"/>
          <w:sz w:val="16"/>
          <w:szCs w:val="16"/>
          <w:color w:val="auto"/>
        </w:rPr>
        <w:t xml:space="preserve"> </w:t>
      </w:r>
      <w:r>
        <w:rPr>
          <w:rFonts w:ascii="Arial" w:cs="Arial" w:eastAsia="Arial" w:hAnsi="Arial"/>
          <w:sz w:val="16"/>
          <w:szCs w:val="16"/>
          <w:i w:val="1"/>
          <w:iCs w:val="1"/>
          <w:color w:val="auto"/>
        </w:rPr>
        <w:t>The impact of such settlements at December 31, 2019 was a reduction of estimated fair value gains on interest rate swap agreements designated as fair value hedges of $45.1 million and cash flow hedges of $140.7 million. The impact of such settlements at December 31, 2018 was a reduction of estimated fair value losses on agreements designated as fair value hedges of $54.7 million and cash flow hedges of $9.1 million.</w:t>
      </w:r>
    </w:p>
    <w:p>
      <w:pPr>
        <w:spacing w:after="0" w:line="2" w:lineRule="exact"/>
        <w:rPr>
          <w:rFonts w:ascii="Arial" w:cs="Arial" w:eastAsia="Arial" w:hAnsi="Arial"/>
          <w:sz w:val="16"/>
          <w:szCs w:val="16"/>
          <w:i w:val="1"/>
          <w:iCs w:val="1"/>
          <w:color w:val="auto"/>
        </w:rPr>
      </w:pPr>
    </w:p>
    <w:p>
      <w:pPr>
        <w:ind w:left="440" w:hanging="435"/>
        <w:spacing w:after="0"/>
        <w:tabs>
          <w:tab w:leader="none" w:pos="44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16" w:lineRule="exact"/>
        <w:rPr>
          <w:rFonts w:ascii="Arial" w:cs="Arial" w:eastAsia="Arial" w:hAnsi="Arial"/>
          <w:sz w:val="18"/>
          <w:szCs w:val="18"/>
          <w:i w:val="1"/>
          <w:iCs w:val="1"/>
          <w:color w:val="auto"/>
        </w:rPr>
      </w:pPr>
    </w:p>
    <w:p>
      <w:pPr>
        <w:ind w:left="440" w:hanging="435"/>
        <w:spacing w:after="0"/>
        <w:tabs>
          <w:tab w:leader="none" w:pos="4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Includes notional amount and terms of $40.4 billion of forward-starting interest rate swap agreements that will become effective in 2020-2022.</w:t>
      </w:r>
    </w:p>
    <w:p>
      <w:pPr>
        <w:spacing w:after="0" w:line="37" w:lineRule="exact"/>
        <w:rPr>
          <w:rFonts w:ascii="Arial" w:cs="Arial" w:eastAsia="Arial" w:hAnsi="Arial"/>
          <w:sz w:val="16"/>
          <w:szCs w:val="16"/>
          <w:i w:val="1"/>
          <w:iCs w:val="1"/>
          <w:color w:val="auto"/>
        </w:rPr>
      </w:pPr>
    </w:p>
    <w:p>
      <w:pPr>
        <w:ind w:left="440" w:hanging="435"/>
        <w:spacing w:after="0"/>
        <w:tabs>
          <w:tab w:leader="none" w:pos="440" w:val="left"/>
        </w:tabs>
        <w:numPr>
          <w:ilvl w:val="0"/>
          <w:numId w:val="48"/>
        </w:numPr>
        <w:rPr>
          <w:rFonts w:ascii="Arial" w:cs="Arial" w:eastAsia="Arial" w:hAnsi="Arial"/>
          <w:sz w:val="20"/>
          <w:szCs w:val="20"/>
          <w:i w:val="1"/>
          <w:iCs w:val="1"/>
          <w:color w:val="auto"/>
        </w:rPr>
      </w:pPr>
      <w:r>
        <w:rPr>
          <w:rFonts w:ascii="Arial" w:cs="Arial" w:eastAsia="Arial" w:hAnsi="Arial"/>
          <w:sz w:val="18"/>
          <w:szCs w:val="18"/>
          <w:i w:val="1"/>
          <w:iCs w:val="1"/>
          <w:color w:val="auto"/>
        </w:rPr>
        <w:t xml:space="preserve">Includes notional amount and terms of $12.6 billion of forward-starting interest rate </w:t>
      </w:r>
      <w:r>
        <w:rPr>
          <w:rFonts w:ascii="Arial" w:cs="Arial" w:eastAsia="Arial" w:hAnsi="Arial"/>
          <w:sz w:val="19"/>
          <w:szCs w:val="19"/>
          <w:i w:val="1"/>
          <w:iCs w:val="1"/>
          <w:color w:val="auto"/>
        </w:rPr>
        <w:t>swap agreements.</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9"/>
          <w:szCs w:val="19"/>
          <w:color w:val="auto"/>
        </w:rPr>
        <w:t>The notional amount of interest rate swap agreements entered into for risk management purposes that were outstanding at</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2019 mature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w w:val="97"/>
              </w:rPr>
              <w:t>(In thousands)</w:t>
            </w:r>
          </w:p>
        </w:tc>
      </w:tr>
      <w:tr>
        <w:trPr>
          <w:trHeight w:val="223"/>
        </w:trPr>
        <w:tc>
          <w:tcPr>
            <w:tcW w:w="5980" w:type="dxa"/>
            <w:vAlign w:val="bottom"/>
            <w:shd w:val="clear" w:color="auto" w:fill="CFF0FC"/>
          </w:tcPr>
          <w:p>
            <w:pPr>
              <w:jc w:val="right"/>
              <w:ind w:right="4012"/>
              <w:spacing w:after="0"/>
              <w:rPr>
                <w:sz w:val="20"/>
                <w:szCs w:val="20"/>
                <w:color w:val="auto"/>
              </w:rPr>
            </w:pPr>
            <w:r>
              <w:rPr>
                <w:rFonts w:ascii="Arial" w:cs="Arial" w:eastAsia="Arial" w:hAnsi="Arial"/>
                <w:sz w:val="18"/>
                <w:szCs w:val="18"/>
                <w:color w:val="auto"/>
                <w:w w:val="86"/>
              </w:rPr>
              <w:t>Year ending December 31:</w:t>
            </w:r>
          </w:p>
        </w:tc>
        <w:tc>
          <w:tcPr>
            <w:tcW w:w="4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5980" w:type="dxa"/>
            <w:vAlign w:val="bottom"/>
          </w:tcPr>
          <w:p>
            <w:pPr>
              <w:jc w:val="right"/>
              <w:ind w:right="5292"/>
              <w:spacing w:after="0"/>
              <w:rPr>
                <w:sz w:val="20"/>
                <w:szCs w:val="20"/>
                <w:color w:val="auto"/>
              </w:rPr>
            </w:pPr>
            <w:r>
              <w:rPr>
                <w:rFonts w:ascii="Arial" w:cs="Arial" w:eastAsia="Arial" w:hAnsi="Arial"/>
                <w:sz w:val="18"/>
                <w:szCs w:val="18"/>
                <w:color w:val="auto"/>
              </w:rPr>
              <w:t>2020</w:t>
            </w:r>
          </w:p>
        </w:tc>
        <w:tc>
          <w:tcPr>
            <w:tcW w:w="4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12,200,000</w:t>
            </w:r>
          </w:p>
        </w:tc>
        <w:tc>
          <w:tcPr>
            <w:tcW w:w="80" w:type="dxa"/>
            <w:vAlign w:val="bottom"/>
          </w:tcPr>
          <w:p>
            <w:pPr>
              <w:spacing w:after="0"/>
              <w:rPr>
                <w:sz w:val="19"/>
                <w:szCs w:val="19"/>
                <w:color w:val="auto"/>
              </w:rPr>
            </w:pPr>
          </w:p>
        </w:tc>
      </w:tr>
      <w:tr>
        <w:trPr>
          <w:trHeight w:val="224"/>
        </w:trPr>
        <w:tc>
          <w:tcPr>
            <w:tcW w:w="5980" w:type="dxa"/>
            <w:vAlign w:val="bottom"/>
            <w:shd w:val="clear" w:color="auto" w:fill="CFF0FC"/>
          </w:tcPr>
          <w:p>
            <w:pPr>
              <w:jc w:val="right"/>
              <w:ind w:right="5292"/>
              <w:spacing w:after="0"/>
              <w:rPr>
                <w:sz w:val="20"/>
                <w:szCs w:val="20"/>
                <w:color w:val="auto"/>
              </w:rPr>
            </w:pPr>
            <w:r>
              <w:rPr>
                <w:rFonts w:ascii="Arial" w:cs="Arial" w:eastAsia="Arial" w:hAnsi="Arial"/>
                <w:sz w:val="18"/>
                <w:szCs w:val="18"/>
                <w:color w:val="auto"/>
              </w:rPr>
              <w:t>2021</w:t>
            </w:r>
          </w:p>
        </w:tc>
        <w:tc>
          <w:tcPr>
            <w:tcW w:w="4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28,350,000</w:t>
            </w:r>
          </w:p>
        </w:tc>
        <w:tc>
          <w:tcPr>
            <w:tcW w:w="80" w:type="dxa"/>
            <w:vAlign w:val="bottom"/>
            <w:shd w:val="clear" w:color="auto" w:fill="CFF0FC"/>
          </w:tcPr>
          <w:p>
            <w:pPr>
              <w:spacing w:after="0"/>
              <w:rPr>
                <w:sz w:val="19"/>
                <w:szCs w:val="19"/>
                <w:color w:val="auto"/>
              </w:rPr>
            </w:pPr>
          </w:p>
        </w:tc>
      </w:tr>
      <w:tr>
        <w:trPr>
          <w:trHeight w:val="223"/>
        </w:trPr>
        <w:tc>
          <w:tcPr>
            <w:tcW w:w="5980" w:type="dxa"/>
            <w:vAlign w:val="bottom"/>
          </w:tcPr>
          <w:p>
            <w:pPr>
              <w:jc w:val="right"/>
              <w:ind w:right="5292"/>
              <w:spacing w:after="0"/>
              <w:rPr>
                <w:sz w:val="20"/>
                <w:szCs w:val="20"/>
                <w:color w:val="auto"/>
              </w:rPr>
            </w:pPr>
            <w:r>
              <w:rPr>
                <w:rFonts w:ascii="Arial" w:cs="Arial" w:eastAsia="Arial" w:hAnsi="Arial"/>
                <w:sz w:val="18"/>
                <w:szCs w:val="18"/>
                <w:color w:val="auto"/>
              </w:rPr>
              <w:t>2022</w:t>
            </w:r>
          </w:p>
        </w:tc>
        <w:tc>
          <w:tcPr>
            <w:tcW w:w="4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16,000,000</w:t>
            </w:r>
          </w:p>
        </w:tc>
        <w:tc>
          <w:tcPr>
            <w:tcW w:w="80" w:type="dxa"/>
            <w:vAlign w:val="bottom"/>
          </w:tcPr>
          <w:p>
            <w:pPr>
              <w:spacing w:after="0"/>
              <w:rPr>
                <w:sz w:val="19"/>
                <w:szCs w:val="19"/>
                <w:color w:val="auto"/>
              </w:rPr>
            </w:pPr>
          </w:p>
        </w:tc>
      </w:tr>
      <w:tr>
        <w:trPr>
          <w:trHeight w:val="224"/>
        </w:trPr>
        <w:tc>
          <w:tcPr>
            <w:tcW w:w="5980" w:type="dxa"/>
            <w:vAlign w:val="bottom"/>
            <w:shd w:val="clear" w:color="auto" w:fill="CFF0FC"/>
          </w:tcPr>
          <w:p>
            <w:pPr>
              <w:jc w:val="right"/>
              <w:ind w:right="5292"/>
              <w:spacing w:after="0"/>
              <w:rPr>
                <w:sz w:val="20"/>
                <w:szCs w:val="20"/>
                <w:color w:val="auto"/>
              </w:rPr>
            </w:pPr>
            <w:r>
              <w:rPr>
                <w:rFonts w:ascii="Arial" w:cs="Arial" w:eastAsia="Arial" w:hAnsi="Arial"/>
                <w:sz w:val="18"/>
                <w:szCs w:val="18"/>
                <w:color w:val="auto"/>
              </w:rPr>
              <w:t>2023</w:t>
            </w:r>
          </w:p>
        </w:tc>
        <w:tc>
          <w:tcPr>
            <w:tcW w:w="4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FF0FC"/>
          </w:tcPr>
          <w:p>
            <w:pPr>
              <w:spacing w:after="0"/>
              <w:rPr>
                <w:sz w:val="19"/>
                <w:szCs w:val="19"/>
                <w:color w:val="auto"/>
              </w:rPr>
            </w:pPr>
          </w:p>
        </w:tc>
      </w:tr>
      <w:tr>
        <w:trPr>
          <w:trHeight w:val="223"/>
        </w:trPr>
        <w:tc>
          <w:tcPr>
            <w:tcW w:w="5980" w:type="dxa"/>
            <w:vAlign w:val="bottom"/>
            <w:tcBorders>
              <w:bottom w:val="single" w:sz="8" w:color="CFF0FC"/>
            </w:tcBorders>
          </w:tcPr>
          <w:p>
            <w:pPr>
              <w:jc w:val="right"/>
              <w:ind w:right="5292"/>
              <w:spacing w:after="0"/>
              <w:rPr>
                <w:sz w:val="20"/>
                <w:szCs w:val="20"/>
                <w:color w:val="auto"/>
              </w:rPr>
            </w:pPr>
            <w:r>
              <w:rPr>
                <w:rFonts w:ascii="Arial" w:cs="Arial" w:eastAsia="Arial" w:hAnsi="Arial"/>
                <w:sz w:val="18"/>
                <w:szCs w:val="18"/>
                <w:color w:val="auto"/>
              </w:rPr>
              <w:t>2027</w:t>
            </w:r>
          </w:p>
        </w:tc>
        <w:tc>
          <w:tcPr>
            <w:tcW w:w="4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Borders>
              <w:bottom w:val="single" w:sz="8" w:color="CFF0FC"/>
            </w:tcBorders>
          </w:tcPr>
          <w:p>
            <w:pPr>
              <w:spacing w:after="0"/>
              <w:rPr>
                <w:sz w:val="19"/>
                <w:szCs w:val="19"/>
                <w:color w:val="auto"/>
              </w:rPr>
            </w:pPr>
          </w:p>
        </w:tc>
      </w:tr>
      <w:tr>
        <w:trPr>
          <w:trHeight w:val="217"/>
        </w:trPr>
        <w:tc>
          <w:tcPr>
            <w:tcW w:w="5980" w:type="dxa"/>
            <w:vAlign w:val="bottom"/>
            <w:shd w:val="clear" w:color="auto" w:fill="CFF0FC"/>
          </w:tcPr>
          <w:p>
            <w:pPr>
              <w:spacing w:after="0"/>
              <w:rPr>
                <w:sz w:val="18"/>
                <w:szCs w:val="18"/>
                <w:color w:val="auto"/>
              </w:rPr>
            </w:pPr>
          </w:p>
        </w:tc>
        <w:tc>
          <w:tcPr>
            <w:tcW w:w="4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57,550,000</w:t>
            </w:r>
          </w:p>
        </w:tc>
        <w:tc>
          <w:tcPr>
            <w:tcW w:w="80" w:type="dxa"/>
            <w:vAlign w:val="bottom"/>
            <w:shd w:val="clear" w:color="auto" w:fill="CFF0FC"/>
          </w:tcPr>
          <w:p>
            <w:pPr>
              <w:spacing w:after="0"/>
              <w:rPr>
                <w:sz w:val="18"/>
                <w:szCs w:val="18"/>
                <w:color w:val="auto"/>
              </w:rPr>
            </w:pPr>
          </w:p>
        </w:tc>
      </w:tr>
      <w:tr>
        <w:trPr>
          <w:trHeight w:val="20"/>
        </w:trPr>
        <w:tc>
          <w:tcPr>
            <w:tcW w:w="5980" w:type="dxa"/>
            <w:vAlign w:val="bottom"/>
            <w:tcBorders>
              <w:top w:val="single" w:sz="8" w:color="CFF0FC"/>
            </w:tcBorders>
          </w:tcPr>
          <w:p>
            <w:pPr>
              <w:spacing w:after="0" w:line="20" w:lineRule="exact"/>
              <w:rPr>
                <w:sz w:val="1"/>
                <w:szCs w:val="1"/>
                <w:color w:val="auto"/>
              </w:rPr>
            </w:pPr>
          </w:p>
        </w:tc>
        <w:tc>
          <w:tcPr>
            <w:tcW w:w="4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3" w:lineRule="exact"/>
        <w:rPr>
          <w:sz w:val="20"/>
          <w:szCs w:val="20"/>
          <w:color w:val="auto"/>
        </w:rPr>
      </w:pPr>
    </w:p>
    <w:p>
      <w:pPr>
        <w:jc w:val="both"/>
        <w:ind w:right="20" w:firstLine="598"/>
        <w:spacing w:after="0" w:line="328" w:lineRule="auto"/>
        <w:rPr>
          <w:sz w:val="20"/>
          <w:szCs w:val="20"/>
          <w:color w:val="auto"/>
        </w:rPr>
      </w:pPr>
      <w:r>
        <w:rPr>
          <w:rFonts w:ascii="Arial" w:cs="Arial" w:eastAsia="Arial" w:hAnsi="Arial"/>
          <w:sz w:val="17"/>
          <w:szCs w:val="17"/>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68" w:name="page169"/>
    <w:bookmarkEnd w:id="168"/>
    <w:p>
      <w:pPr>
        <w:ind w:right="60" w:firstLine="598"/>
        <w:spacing w:after="0" w:line="250" w:lineRule="auto"/>
        <w:rPr>
          <w:sz w:val="20"/>
          <w:szCs w:val="20"/>
          <w:color w:val="auto"/>
        </w:rPr>
      </w:pPr>
      <w:r>
        <w:rPr>
          <w:rFonts w:ascii="Arial" w:cs="Arial" w:eastAsia="Arial" w:hAnsi="Arial"/>
          <w:sz w:val="20"/>
          <w:szCs w:val="20"/>
          <w:color w:val="auto"/>
        </w:rPr>
        <w:t>Derivative financial instruments used for trading account purposes included interest rate contracts, foreign exchange and other option contracts, foreign exchange forward and spot contracts, and financial futures. Interest rate contracts entered into for trading account purposes had notional values of $48.6 billion and $42.9 billion at December 31, 2019 and 2018, respectively. The notional amounts of foreign currency and other option and futures contracts entered into for trading account purposes aggregated $1.2 billion and $763 million at December 31, 2019 and 2018, respectively.</w:t>
      </w:r>
    </w:p>
    <w:p>
      <w:pPr>
        <w:spacing w:after="0" w:line="3" w:lineRule="exact"/>
        <w:rPr>
          <w:sz w:val="20"/>
          <w:szCs w:val="20"/>
          <w:color w:val="auto"/>
        </w:rPr>
      </w:pPr>
    </w:p>
    <w:p>
      <w:pPr>
        <w:ind w:right="200" w:firstLine="598"/>
        <w:spacing w:after="0" w:line="256" w:lineRule="auto"/>
        <w:rPr>
          <w:sz w:val="20"/>
          <w:szCs w:val="20"/>
          <w:color w:val="auto"/>
        </w:rPr>
      </w:pPr>
      <w:r>
        <w:rPr>
          <w:rFonts w:ascii="Arial" w:cs="Arial" w:eastAsia="Arial" w:hAnsi="Arial"/>
          <w:sz w:val="20"/>
          <w:szCs w:val="20"/>
          <w:color w:val="auto"/>
        </w:rPr>
        <w:t>Information about the fair values of derivative instruments in the Company’s consolidated balance sheet and consolidated statement of income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4"/>
          </w:tcPr>
          <w:p>
            <w:pPr>
              <w:jc w:val="center"/>
              <w:ind w:right="136"/>
              <w:spacing w:after="0"/>
              <w:rPr>
                <w:sz w:val="20"/>
                <w:szCs w:val="20"/>
                <w:color w:val="auto"/>
              </w:rPr>
            </w:pPr>
            <w:r>
              <w:rPr>
                <w:rFonts w:ascii="Arial" w:cs="Arial" w:eastAsia="Arial" w:hAnsi="Arial"/>
                <w:sz w:val="14"/>
                <w:szCs w:val="14"/>
                <w:b w:val="1"/>
                <w:bCs w:val="1"/>
                <w:color w:val="auto"/>
                <w:w w:val="87"/>
              </w:rPr>
              <w:t>Asset Derivatives</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Liability Derivatives</w:t>
            </w:r>
          </w:p>
        </w:tc>
        <w:tc>
          <w:tcPr>
            <w:tcW w:w="0" w:type="dxa"/>
            <w:vAlign w:val="bottom"/>
          </w:tcPr>
          <w:p>
            <w:pPr>
              <w:spacing w:after="0"/>
              <w:rPr>
                <w:sz w:val="1"/>
                <w:szCs w:val="1"/>
                <w:color w:val="auto"/>
              </w:rPr>
            </w:pPr>
          </w:p>
        </w:tc>
      </w:tr>
      <w:tr>
        <w:trPr>
          <w:trHeight w:val="141"/>
        </w:trPr>
        <w:tc>
          <w:tcPr>
            <w:tcW w:w="6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jc w:val="center"/>
              <w:ind w:left="358"/>
              <w:spacing w:after="0" w:line="141" w:lineRule="exact"/>
              <w:rPr>
                <w:sz w:val="20"/>
                <w:szCs w:val="20"/>
                <w:color w:val="auto"/>
              </w:rPr>
            </w:pPr>
            <w:r>
              <w:rPr>
                <w:rFonts w:ascii="Arial" w:cs="Arial" w:eastAsia="Arial" w:hAnsi="Arial"/>
                <w:sz w:val="14"/>
                <w:szCs w:val="14"/>
                <w:b w:val="1"/>
                <w:bCs w:val="1"/>
                <w:color w:val="auto"/>
                <w:w w:val="92"/>
              </w:rPr>
              <w:t>Fair Value</w:t>
            </w: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jc w:val="center"/>
              <w:ind w:left="238"/>
              <w:spacing w:after="0" w:line="141" w:lineRule="exact"/>
              <w:rPr>
                <w:sz w:val="20"/>
                <w:szCs w:val="20"/>
                <w:color w:val="auto"/>
              </w:rPr>
            </w:pPr>
            <w:r>
              <w:rPr>
                <w:rFonts w:ascii="Arial" w:cs="Arial" w:eastAsia="Arial" w:hAnsi="Arial"/>
                <w:sz w:val="14"/>
                <w:szCs w:val="14"/>
                <w:b w:val="1"/>
                <w:bCs w:val="1"/>
                <w:color w:val="auto"/>
                <w:w w:val="92"/>
              </w:rPr>
              <w:t>Fair Value</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w w:val="89"/>
              </w:rPr>
              <w:t>December 31</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left="238"/>
              <w:spacing w:after="0"/>
              <w:rPr>
                <w:sz w:val="20"/>
                <w:szCs w:val="20"/>
                <w:color w:val="auto"/>
              </w:rPr>
            </w:pPr>
            <w:r>
              <w:rPr>
                <w:rFonts w:ascii="Arial" w:cs="Arial" w:eastAsia="Arial" w:hAnsi="Arial"/>
                <w:sz w:val="14"/>
                <w:szCs w:val="14"/>
                <w:b w:val="1"/>
                <w:bCs w:val="1"/>
                <w:color w:val="auto"/>
                <w:w w:val="89"/>
              </w:rPr>
              <w:t>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7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8"/>
              <w:spacing w:after="0" w:line="151"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6"/>
              <w:spacing w:after="0" w:line="151"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58"/>
              <w:spacing w:after="0" w:line="151" w:lineRule="exact"/>
              <w:rPr>
                <w:sz w:val="20"/>
                <w:szCs w:val="20"/>
                <w:color w:val="auto"/>
              </w:rPr>
            </w:pPr>
            <w:r>
              <w:rPr>
                <w:rFonts w:ascii="Arial" w:cs="Arial" w:eastAsia="Arial" w:hAnsi="Arial"/>
                <w:sz w:val="14"/>
                <w:szCs w:val="14"/>
                <w:b w:val="1"/>
                <w:bCs w:val="1"/>
                <w:color w:val="auto"/>
                <w:w w:val="83"/>
              </w:rPr>
              <w:t>2019</w:t>
            </w:r>
          </w:p>
        </w:tc>
        <w:tc>
          <w:tcPr>
            <w:tcW w:w="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4"/>
              <w:spacing w:after="0" w:line="151"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760" w:type="dxa"/>
            <w:vAlign w:val="bottom"/>
            <w:vMerge w:val="restart"/>
          </w:tcPr>
          <w:p>
            <w:pPr>
              <w:spacing w:after="0"/>
              <w:rPr>
                <w:sz w:val="20"/>
                <w:szCs w:val="20"/>
                <w:color w:val="auto"/>
              </w:rPr>
            </w:pPr>
            <w:r>
              <w:rPr>
                <w:rFonts w:ascii="Arial" w:cs="Arial" w:eastAsia="Arial" w:hAnsi="Arial"/>
                <w:sz w:val="16"/>
                <w:szCs w:val="16"/>
                <w:b w:val="1"/>
                <w:bCs w:val="1"/>
                <w:color w:val="auto"/>
              </w:rPr>
              <w:t>Derivatives designated and qualifying as hedging instruments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Interest rate swap agreements (a)</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w:t>
            </w:r>
          </w:p>
        </w:tc>
        <w:tc>
          <w:tcPr>
            <w:tcW w:w="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Commitments to sell real estate loans (a)</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6,620</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60" w:type="dxa"/>
            <w:vAlign w:val="bottom"/>
          </w:tcPr>
          <w:p>
            <w:pPr>
              <w:spacing w:after="0"/>
              <w:rPr>
                <w:sz w:val="20"/>
                <w:szCs w:val="20"/>
                <w:color w:val="auto"/>
              </w:rPr>
            </w:pPr>
            <w:r>
              <w:rPr>
                <w:rFonts w:ascii="Arial" w:cs="Arial" w:eastAsia="Arial" w:hAnsi="Arial"/>
                <w:sz w:val="16"/>
                <w:szCs w:val="16"/>
                <w:b w:val="1"/>
                <w:bCs w:val="1"/>
                <w:color w:val="auto"/>
              </w:rPr>
              <w:t>Derivatives not designated and qualifying as hedging instruments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Mortgage-related commitments to originate real estate loans</w:t>
            </w:r>
          </w:p>
        </w:tc>
        <w:tc>
          <w:tcPr>
            <w:tcW w:w="20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11,965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9,304</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7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for sale (a)</w:t>
            </w:r>
          </w:p>
        </w:tc>
        <w:tc>
          <w:tcPr>
            <w:tcW w:w="20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6"/>
                <w:szCs w:val="16"/>
                <w:color w:val="auto"/>
              </w:rPr>
              <w:t>Commitments to sell real estate loans (a)</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3,074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3,702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3,548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Trading:</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ind w:left="240"/>
              <w:spacing w:after="0"/>
              <w:rPr>
                <w:sz w:val="20"/>
                <w:szCs w:val="20"/>
                <w:color w:val="auto"/>
              </w:rPr>
            </w:pPr>
            <w:r>
              <w:rPr>
                <w:rFonts w:ascii="Arial" w:cs="Arial" w:eastAsia="Arial" w:hAnsi="Arial"/>
                <w:sz w:val="16"/>
                <w:szCs w:val="16"/>
                <w:color w:val="auto"/>
              </w:rPr>
              <w:t>Interest rate contracts (b)</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398,295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118,687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68,103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169,255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Foreign exchange and other option and futures contracts (b)</w:t>
            </w: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12,506</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10,549</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11,800</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425,840</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142,242</w:t>
            </w:r>
          </w:p>
        </w:tc>
        <w:tc>
          <w:tcPr>
            <w:tcW w:w="2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84,676</w:t>
            </w: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184,252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Total derivatives</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427,267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148,862</w:t>
            </w:r>
          </w:p>
        </w:tc>
        <w:tc>
          <w:tcPr>
            <w:tcW w:w="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87,091</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190,686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hanging="595"/>
        <w:spacing w:after="0"/>
        <w:tabs>
          <w:tab w:leader="none" w:pos="60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16" w:lineRule="exact"/>
        <w:rPr>
          <w:rFonts w:ascii="Arial" w:cs="Arial" w:eastAsia="Arial" w:hAnsi="Arial"/>
          <w:sz w:val="18"/>
          <w:szCs w:val="18"/>
          <w:i w:val="1"/>
          <w:iCs w:val="1"/>
          <w:color w:val="auto"/>
        </w:rPr>
      </w:pPr>
    </w:p>
    <w:p>
      <w:pPr>
        <w:ind w:left="600" w:right="100" w:hanging="595"/>
        <w:spacing w:after="0" w:line="299" w:lineRule="auto"/>
        <w:tabs>
          <w:tab w:leader="none" w:pos="600"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Asset derivatives are reported in trading account assets and liability derivatives are reported in other liabilities. The impact of variation margin settlement payments at December 31, 2019 and December 31, 2018 was a reduction of the estimated fair value of interest rate contracts in the trading account in an asset position of $43.3 million and $170.7 million, respectively, and in a liability position of $281.3 million and $49.7 million, respectively.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89"/>
              </w:rPr>
              <w:t>Amount of Gain (Loss) Recognized</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4"/>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Year Ended December 31,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4"/>
          </w:tcPr>
          <w:p>
            <w:pPr>
              <w:jc w:val="right"/>
              <w:ind w:right="500"/>
              <w:spacing w:after="0" w:line="129" w:lineRule="exact"/>
              <w:rPr>
                <w:sz w:val="20"/>
                <w:szCs w:val="20"/>
                <w:color w:val="auto"/>
              </w:rPr>
            </w:pPr>
            <w:r>
              <w:rPr>
                <w:rFonts w:ascii="Arial" w:cs="Arial" w:eastAsia="Arial" w:hAnsi="Arial"/>
                <w:sz w:val="14"/>
                <w:szCs w:val="14"/>
                <w:b w:val="1"/>
                <w:bCs w:val="1"/>
                <w:color w:val="auto"/>
                <w:w w:val="90"/>
              </w:rPr>
              <w:t>Year Ended December 31,</w:t>
            </w:r>
          </w:p>
        </w:tc>
        <w:tc>
          <w:tcPr>
            <w:tcW w:w="188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89"/>
              </w:rPr>
              <w:t>Year Ended December 31, 2017</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2019</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Derivative</w:t>
            </w:r>
          </w:p>
        </w:tc>
        <w:tc>
          <w:tcPr>
            <w:tcW w:w="32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Hedged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8"/>
              </w:rPr>
              <w:t>Derivative</w:t>
            </w:r>
          </w:p>
        </w:tc>
        <w:tc>
          <w:tcPr>
            <w:tcW w:w="760" w:type="dxa"/>
            <w:vAlign w:val="bottom"/>
          </w:tcPr>
          <w:p>
            <w:pPr>
              <w:jc w:val="right"/>
              <w:ind w:right="84"/>
              <w:spacing w:after="0" w:line="129" w:lineRule="exact"/>
              <w:rPr>
                <w:sz w:val="20"/>
                <w:szCs w:val="20"/>
                <w:color w:val="auto"/>
              </w:rPr>
            </w:pPr>
            <w:r>
              <w:rPr>
                <w:rFonts w:ascii="Arial" w:cs="Arial" w:eastAsia="Arial" w:hAnsi="Arial"/>
                <w:sz w:val="14"/>
                <w:szCs w:val="14"/>
                <w:b w:val="1"/>
                <w:bCs w:val="1"/>
                <w:color w:val="auto"/>
              </w:rPr>
              <w:t>Hedged</w:t>
            </w:r>
          </w:p>
        </w:tc>
        <w:tc>
          <w:tcPr>
            <w:tcW w:w="340" w:type="dxa"/>
            <w:vAlign w:val="bottom"/>
          </w:tcPr>
          <w:p>
            <w:pPr>
              <w:spacing w:after="0"/>
              <w:rPr>
                <w:sz w:val="11"/>
                <w:szCs w:val="11"/>
                <w:color w:val="auto"/>
              </w:rPr>
            </w:pPr>
          </w:p>
        </w:tc>
        <w:tc>
          <w:tcPr>
            <w:tcW w:w="11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0"/>
              </w:rPr>
              <w:t>Hedged Item</w:t>
            </w:r>
          </w:p>
        </w:tc>
        <w:tc>
          <w:tcPr>
            <w:tcW w:w="0" w:type="dxa"/>
            <w:vAlign w:val="bottom"/>
          </w:tcPr>
          <w:p>
            <w:pPr>
              <w:spacing w:after="0"/>
              <w:rPr>
                <w:sz w:val="1"/>
                <w:szCs w:val="1"/>
                <w:color w:val="auto"/>
              </w:rPr>
            </w:pPr>
          </w:p>
        </w:tc>
      </w:tr>
      <w:tr>
        <w:trPr>
          <w:trHeight w:val="167"/>
        </w:trPr>
        <w:tc>
          <w:tcPr>
            <w:tcW w:w="4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Item</w:t>
            </w:r>
          </w:p>
        </w:tc>
        <w:tc>
          <w:tcPr>
            <w:tcW w:w="2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Item</w:t>
            </w:r>
          </w:p>
        </w:tc>
        <w:tc>
          <w:tcPr>
            <w:tcW w:w="110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4"/>
          </w:tcPr>
          <w:p>
            <w:pPr>
              <w:jc w:val="center"/>
              <w:ind w:right="400"/>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0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Derivatives in fair value</w:t>
            </w: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hedging relationships</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Fixed rate long-term borrowings (a)</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95,006</w:t>
            </w:r>
          </w:p>
        </w:tc>
        <w:tc>
          <w:tcPr>
            <w:tcW w:w="12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(94,742)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(10,006)</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10,969</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8"/>
              </w:rPr>
              <w:t>(52,392)</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Derivatives not designated as</w:t>
            </w:r>
          </w:p>
        </w:tc>
        <w:tc>
          <w:tcPr>
            <w:tcW w:w="10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20" w:type="dxa"/>
            <w:vAlign w:val="bottom"/>
          </w:tcPr>
          <w:p>
            <w:pPr>
              <w:ind w:left="140"/>
              <w:spacing w:after="0"/>
              <w:rPr>
                <w:sz w:val="20"/>
                <w:szCs w:val="20"/>
                <w:color w:val="auto"/>
              </w:rPr>
            </w:pPr>
            <w:r>
              <w:rPr>
                <w:rFonts w:ascii="Arial" w:cs="Arial" w:eastAsia="Arial" w:hAnsi="Arial"/>
                <w:sz w:val="18"/>
                <w:szCs w:val="18"/>
                <w:b w:val="1"/>
                <w:bCs w:val="1"/>
                <w:color w:val="auto"/>
              </w:rPr>
              <w:t>hedging instruments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Trading:</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Interest rate contracts (b)</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24,701</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4,506</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5,398</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and other option and</w:t>
            </w: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futures contracts (b)</w:t>
            </w:r>
          </w:p>
        </w:tc>
        <w:tc>
          <w:tcPr>
            <w:tcW w:w="10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8,511</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9,416</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6,821</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33,212</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13,922</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12,219</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hanging="595"/>
        <w:spacing w:after="0"/>
        <w:tabs>
          <w:tab w:leader="none" w:pos="60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January 1, 2018, reported as an adjustment to interest expense. Prior to 2018, reported as other revenues from operations.</w:t>
      </w:r>
    </w:p>
    <w:p>
      <w:pPr>
        <w:spacing w:after="0" w:line="16" w:lineRule="exact"/>
        <w:rPr>
          <w:rFonts w:ascii="Arial" w:cs="Arial" w:eastAsia="Arial" w:hAnsi="Arial"/>
          <w:sz w:val="18"/>
          <w:szCs w:val="18"/>
          <w:i w:val="1"/>
          <w:iCs w:val="1"/>
          <w:color w:val="auto"/>
        </w:rPr>
      </w:pPr>
    </w:p>
    <w:p>
      <w:pPr>
        <w:ind w:left="600" w:hanging="595"/>
        <w:spacing w:after="0"/>
        <w:tabs>
          <w:tab w:leader="none" w:pos="60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trading account and foreign exchange gains.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Cumulative Amount of Fair Value</w:t>
            </w:r>
          </w:p>
        </w:tc>
        <w:tc>
          <w:tcPr>
            <w:tcW w:w="0" w:type="dxa"/>
            <w:vAlign w:val="bottom"/>
          </w:tcPr>
          <w:p>
            <w:pPr>
              <w:spacing w:after="0"/>
              <w:rPr>
                <w:sz w:val="1"/>
                <w:szCs w:val="1"/>
                <w:color w:val="auto"/>
              </w:rPr>
            </w:pPr>
          </w:p>
        </w:tc>
      </w:tr>
      <w:tr>
        <w:trPr>
          <w:trHeight w:val="145"/>
        </w:trPr>
        <w:tc>
          <w:tcPr>
            <w:tcW w:w="6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4"/>
          </w:tcPr>
          <w:p>
            <w:pPr>
              <w:jc w:val="center"/>
              <w:ind w:right="240"/>
              <w:spacing w:after="0" w:line="145" w:lineRule="exact"/>
              <w:rPr>
                <w:sz w:val="20"/>
                <w:szCs w:val="20"/>
                <w:color w:val="auto"/>
              </w:rPr>
            </w:pPr>
            <w:r>
              <w:rPr>
                <w:rFonts w:ascii="Arial" w:cs="Arial" w:eastAsia="Arial" w:hAnsi="Arial"/>
                <w:sz w:val="14"/>
                <w:szCs w:val="14"/>
                <w:b w:val="1"/>
                <w:bCs w:val="1"/>
                <w:color w:val="auto"/>
                <w:w w:val="91"/>
              </w:rPr>
              <w:t>Hedging Adjustment Increasing</w:t>
            </w:r>
          </w:p>
        </w:tc>
        <w:tc>
          <w:tcPr>
            <w:tcW w:w="0" w:type="dxa"/>
            <w:vAlign w:val="bottom"/>
          </w:tcPr>
          <w:p>
            <w:pPr>
              <w:spacing w:after="0"/>
              <w:rPr>
                <w:sz w:val="1"/>
                <w:szCs w:val="1"/>
                <w:color w:val="auto"/>
              </w:rPr>
            </w:pPr>
          </w:p>
        </w:tc>
      </w:tr>
      <w:tr>
        <w:trPr>
          <w:trHeight w:val="145"/>
        </w:trPr>
        <w:tc>
          <w:tcPr>
            <w:tcW w:w="6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80" w:type="dxa"/>
            <w:vAlign w:val="bottom"/>
            <w:gridSpan w:val="5"/>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(Decreasing) the Carrying Amount of</w:t>
            </w:r>
          </w:p>
        </w:tc>
        <w:tc>
          <w:tcPr>
            <w:tcW w:w="0" w:type="dxa"/>
            <w:vAlign w:val="bottom"/>
          </w:tcPr>
          <w:p>
            <w:pPr>
              <w:spacing w:after="0"/>
              <w:rPr>
                <w:sz w:val="1"/>
                <w:szCs w:val="1"/>
                <w:color w:val="auto"/>
              </w:rPr>
            </w:pPr>
          </w:p>
        </w:tc>
      </w:tr>
      <w:tr>
        <w:trPr>
          <w:trHeight w:val="145"/>
        </w:trPr>
        <w:tc>
          <w:tcPr>
            <w:tcW w:w="6240" w:type="dxa"/>
            <w:vAlign w:val="bottom"/>
          </w:tcPr>
          <w:p>
            <w:pPr>
              <w:spacing w:after="0"/>
              <w:rPr>
                <w:sz w:val="12"/>
                <w:szCs w:val="12"/>
                <w:color w:val="auto"/>
              </w:rPr>
            </w:pPr>
          </w:p>
        </w:tc>
        <w:tc>
          <w:tcPr>
            <w:tcW w:w="23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Carrying Amount of the Hedged Item</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jc w:val="center"/>
              <w:ind w:right="281"/>
              <w:spacing w:after="0" w:line="145" w:lineRule="exact"/>
              <w:rPr>
                <w:sz w:val="20"/>
                <w:szCs w:val="20"/>
                <w:color w:val="auto"/>
              </w:rPr>
            </w:pPr>
            <w:r>
              <w:rPr>
                <w:rFonts w:ascii="Arial" w:cs="Arial" w:eastAsia="Arial" w:hAnsi="Arial"/>
                <w:sz w:val="14"/>
                <w:szCs w:val="14"/>
                <w:b w:val="1"/>
                <w:bCs w:val="1"/>
                <w:color w:val="auto"/>
                <w:w w:val="95"/>
              </w:rPr>
              <w:t>the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240" w:type="dxa"/>
            <w:vAlign w:val="bottom"/>
          </w:tcPr>
          <w:p>
            <w:pPr>
              <w:spacing w:after="0"/>
              <w:rPr>
                <w:sz w:val="14"/>
                <w:szCs w:val="14"/>
                <w:color w:val="auto"/>
              </w:rPr>
            </w:pPr>
          </w:p>
        </w:tc>
        <w:tc>
          <w:tcPr>
            <w:tcW w:w="2300" w:type="dxa"/>
            <w:vAlign w:val="bottom"/>
            <w:tcBorders>
              <w:bottom w:val="single" w:sz="8" w:color="auto"/>
            </w:tcBorders>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left="507"/>
              <w:spacing w:after="0"/>
              <w:rPr>
                <w:sz w:val="20"/>
                <w:szCs w:val="20"/>
                <w:color w:val="auto"/>
              </w:rPr>
            </w:pPr>
            <w:r>
              <w:rPr>
                <w:rFonts w:ascii="Arial" w:cs="Arial" w:eastAsia="Arial" w:hAnsi="Arial"/>
                <w:sz w:val="14"/>
                <w:szCs w:val="14"/>
                <w:b w:val="1"/>
                <w:bCs w:val="1"/>
                <w:color w:val="auto"/>
                <w:w w:val="90"/>
              </w:rPr>
              <w:t>Hedged Item</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240" w:type="dxa"/>
            <w:vAlign w:val="bottom"/>
          </w:tcPr>
          <w:p>
            <w:pPr>
              <w:spacing w:after="0"/>
              <w:rPr>
                <w:sz w:val="19"/>
                <w:szCs w:val="19"/>
                <w:color w:val="auto"/>
              </w:rPr>
            </w:pPr>
          </w:p>
        </w:tc>
        <w:tc>
          <w:tcPr>
            <w:tcW w:w="1560" w:type="dxa"/>
            <w:vAlign w:val="bottom"/>
            <w:tcBorders>
              <w:bottom w:val="single" w:sz="8" w:color="auto"/>
            </w:tcBorders>
            <w:gridSpan w:val="2"/>
          </w:tcPr>
          <w:p>
            <w:pPr>
              <w:jc w:val="center"/>
              <w:ind w:left="626"/>
              <w:spacing w:after="0"/>
              <w:rPr>
                <w:sz w:val="20"/>
                <w:szCs w:val="20"/>
                <w:color w:val="auto"/>
              </w:rPr>
            </w:pPr>
            <w:r>
              <w:rPr>
                <w:rFonts w:ascii="Arial" w:cs="Arial" w:eastAsia="Arial" w:hAnsi="Arial"/>
                <w:sz w:val="14"/>
                <w:szCs w:val="14"/>
                <w:b w:val="1"/>
                <w:bCs w:val="1"/>
                <w:color w:val="auto"/>
                <w:w w:val="89"/>
              </w:rPr>
              <w:t>December 31</w:t>
            </w:r>
          </w:p>
        </w:tc>
        <w:tc>
          <w:tcPr>
            <w:tcW w:w="7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left="527"/>
              <w:spacing w:after="0"/>
              <w:rPr>
                <w:sz w:val="20"/>
                <w:szCs w:val="20"/>
                <w:color w:val="auto"/>
              </w:rPr>
            </w:pPr>
            <w:r>
              <w:rPr>
                <w:rFonts w:ascii="Arial" w:cs="Arial" w:eastAsia="Arial" w:hAnsi="Arial"/>
                <w:sz w:val="14"/>
                <w:szCs w:val="14"/>
                <w:b w:val="1"/>
                <w:bCs w:val="1"/>
                <w:color w:val="auto"/>
                <w:w w:val="89"/>
              </w:rPr>
              <w:t>December 31</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240" w:type="dxa"/>
            <w:vAlign w:val="bottom"/>
          </w:tcPr>
          <w:p>
            <w:pPr>
              <w:spacing w:after="0"/>
              <w:rPr>
                <w:sz w:val="15"/>
                <w:szCs w:val="15"/>
                <w:color w:val="auto"/>
              </w:rPr>
            </w:pPr>
          </w:p>
        </w:tc>
        <w:tc>
          <w:tcPr>
            <w:tcW w:w="1180" w:type="dxa"/>
            <w:vAlign w:val="bottom"/>
          </w:tcPr>
          <w:p>
            <w:pPr>
              <w:jc w:val="right"/>
              <w:ind w:right="486"/>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5"/>
                <w:szCs w:val="15"/>
                <w:color w:val="auto"/>
              </w:rPr>
            </w:pPr>
          </w:p>
        </w:tc>
        <w:tc>
          <w:tcPr>
            <w:tcW w:w="740" w:type="dxa"/>
            <w:vAlign w:val="bottom"/>
          </w:tcPr>
          <w:p>
            <w:pPr>
              <w:jc w:val="right"/>
              <w:ind w:right="244"/>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327"/>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5"/>
                <w:szCs w:val="15"/>
                <w:color w:val="auto"/>
              </w:rPr>
            </w:pPr>
          </w:p>
        </w:tc>
        <w:tc>
          <w:tcPr>
            <w:tcW w:w="720" w:type="dxa"/>
            <w:vAlign w:val="bottom"/>
          </w:tcPr>
          <w:p>
            <w:pPr>
              <w:jc w:val="right"/>
              <w:ind w:right="26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624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0" w:type="dxa"/>
            <w:vAlign w:val="bottom"/>
            <w:gridSpan w:val="4"/>
          </w:tcPr>
          <w:p>
            <w:pPr>
              <w:jc w:val="right"/>
              <w:ind w:right="727"/>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24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Location in the Consolidated Balance Sheet</w:t>
            </w:r>
          </w:p>
        </w:tc>
        <w:tc>
          <w:tcPr>
            <w:tcW w:w="1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of the Hedged Items in Fair Value Hedges</w:t>
            </w:r>
          </w:p>
        </w:tc>
        <w:tc>
          <w:tcPr>
            <w:tcW w:w="1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180" w:type="dxa"/>
            <w:vAlign w:val="bottom"/>
            <w:shd w:val="clear" w:color="auto" w:fill="CFF0FC"/>
          </w:tcPr>
          <w:p>
            <w:pPr>
              <w:jc w:val="right"/>
              <w:ind w:right="146"/>
              <w:spacing w:after="0"/>
              <w:rPr>
                <w:sz w:val="20"/>
                <w:szCs w:val="20"/>
                <w:color w:val="auto"/>
              </w:rPr>
            </w:pPr>
            <w:r>
              <w:rPr>
                <w:rFonts w:ascii="Arial" w:cs="Arial" w:eastAsia="Arial" w:hAnsi="Arial"/>
                <w:sz w:val="18"/>
                <w:szCs w:val="18"/>
                <w:color w:val="auto"/>
                <w:w w:val="93"/>
              </w:rPr>
              <w:t>$  3,840,775</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4,394,109</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43,640</w:t>
            </w:r>
          </w:p>
        </w:tc>
        <w:tc>
          <w:tcPr>
            <w:tcW w:w="60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(51,102)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right="360" w:firstLine="598"/>
        <w:spacing w:after="0" w:line="256" w:lineRule="auto"/>
        <w:rPr>
          <w:sz w:val="20"/>
          <w:szCs w:val="20"/>
          <w:color w:val="auto"/>
        </w:rPr>
      </w:pPr>
      <w:r>
        <w:rPr>
          <w:rFonts w:ascii="Arial" w:cs="Arial" w:eastAsia="Arial" w:hAnsi="Arial"/>
          <w:sz w:val="20"/>
          <w:szCs w:val="20"/>
          <w:color w:val="auto"/>
        </w:rPr>
        <w:t>The amount of gain (loss) recognized in the consolidated statement of income associated with derivatives designated as cash flow hedges was not material.</w:t>
      </w:r>
    </w:p>
    <w:p>
      <w:pPr>
        <w:ind w:right="20" w:firstLine="598"/>
        <w:spacing w:after="0" w:line="259" w:lineRule="auto"/>
        <w:rPr>
          <w:sz w:val="20"/>
          <w:szCs w:val="20"/>
          <w:color w:val="auto"/>
        </w:rPr>
      </w:pPr>
      <w:r>
        <w:rPr>
          <w:rFonts w:ascii="Arial" w:cs="Arial" w:eastAsia="Arial" w:hAnsi="Arial"/>
          <w:sz w:val="19"/>
          <w:szCs w:val="19"/>
          <w:color w:val="auto"/>
        </w:rPr>
        <w:t>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$18 million at each of December 31, 2019 and 2018. Changes in unrealized gains and losses are included in mortgage banking revenues and, in general, are realized in subsequent periods as the related loans are sold and commitments satisfied.</w:t>
      </w:r>
    </w:p>
    <w:p>
      <w:pPr>
        <w:spacing w:after="0" w:line="5" w:lineRule="exact"/>
        <w:rPr>
          <w:sz w:val="20"/>
          <w:szCs w:val="20"/>
          <w:color w:val="auto"/>
        </w:rPr>
      </w:pPr>
    </w:p>
    <w:p>
      <w:pPr>
        <w:ind w:right="20" w:firstLine="598"/>
        <w:spacing w:after="0" w:line="293" w:lineRule="auto"/>
        <w:rPr>
          <w:sz w:val="20"/>
          <w:szCs w:val="20"/>
          <w:color w:val="auto"/>
        </w:rPr>
      </w:pPr>
      <w:r>
        <w:rPr>
          <w:rFonts w:ascii="Arial" w:cs="Arial" w:eastAsia="Arial" w:hAnsi="Arial"/>
          <w:sz w:val="18"/>
          <w:szCs w:val="18"/>
          <w:color w:val="auto"/>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170" w:name="page171"/>
    <w:bookmarkEnd w:id="170"/>
    <w:p>
      <w:pPr>
        <w:spacing w:after="0"/>
        <w:rPr>
          <w:sz w:val="20"/>
          <w:szCs w:val="20"/>
          <w:color w:val="auto"/>
        </w:rPr>
      </w:pPr>
      <w:r>
        <w:rPr>
          <w:rFonts w:ascii="Arial" w:cs="Arial" w:eastAsia="Arial" w:hAnsi="Arial"/>
          <w:sz w:val="20"/>
          <w:szCs w:val="20"/>
          <w:color w:val="auto"/>
        </w:rPr>
        <w:t>to set-off that becomes enforceable in the event of default, early termination or under other specific conditions.</w:t>
      </w:r>
    </w:p>
    <w:p>
      <w:pPr>
        <w:spacing w:after="0" w:line="25" w:lineRule="exact"/>
        <w:rPr>
          <w:sz w:val="20"/>
          <w:szCs w:val="20"/>
          <w:color w:val="auto"/>
        </w:rPr>
      </w:pPr>
    </w:p>
    <w:p>
      <w:pPr>
        <w:ind w:right="40" w:firstLine="598"/>
        <w:spacing w:after="0" w:line="259" w:lineRule="auto"/>
        <w:rPr>
          <w:sz w:val="20"/>
          <w:szCs w:val="20"/>
          <w:color w:val="auto"/>
        </w:rPr>
      </w:pPr>
      <w:r>
        <w:rPr>
          <w:rFonts w:ascii="Arial" w:cs="Arial" w:eastAsia="Arial" w:hAnsi="Arial"/>
          <w:sz w:val="19"/>
          <w:szCs w:val="19"/>
          <w:color w:val="auto"/>
        </w:rPr>
        <w:t>The aggregate fair value of derivative financial instruments in a liability position, which are subject to enforceable master netting arrangements, was $51 million and $21 million at December 31, 2019 and 2018, respectively, for which the Company was required to post collateral relating to those positions of $50 million and $18 million at December 31, 2019 and 2018, respectively. Certain of the Company’s derivative financial instruments contain provisions that require the Company to maintain specific credit ratings from credit rating agencies to avoid higher collateral posting requirements. If the Company’s debt ratings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December 31, 2019 was not significant. If the credit risk-related contingent features had been triggered on December 31, 2019, the Company would not have been required to post any additional collateral with counterparties.</w:t>
      </w:r>
    </w:p>
    <w:p>
      <w:pPr>
        <w:spacing w:after="0" w:line="6"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The aggregate fair value of derivative financial instruments in an asset position, which are subject to enforceable master netting arrangements, was $6 million and $18 million at December 31, 2019 and 2018, respectively. Counterparties posted collateral relating to those positions of $5 million and $16 million at December 31, 2019 and 2018, respectively. Trading account interest rate swap agreements entered into with customers are subject to the Company’s credit risk standards and often contain collateral provisions.</w:t>
      </w:r>
    </w:p>
    <w:p>
      <w:pPr>
        <w:spacing w:after="0" w:line="3" w:lineRule="exact"/>
        <w:rPr>
          <w:sz w:val="20"/>
          <w:szCs w:val="20"/>
          <w:color w:val="auto"/>
        </w:rPr>
      </w:pPr>
    </w:p>
    <w:p>
      <w:pPr>
        <w:ind w:right="40" w:firstLine="598"/>
        <w:spacing w:after="0" w:line="264" w:lineRule="auto"/>
        <w:rPr>
          <w:sz w:val="20"/>
          <w:szCs w:val="20"/>
          <w:color w:val="auto"/>
        </w:rPr>
      </w:pPr>
      <w:r>
        <w:rPr>
          <w:rFonts w:ascii="Arial" w:cs="Arial" w:eastAsia="Arial" w:hAnsi="Arial"/>
          <w:sz w:val="19"/>
          <w:szCs w:val="19"/>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variation margin payments depending on the contracts being in a net asset or liability position. The amount of initial margin collateral posted by the Company was $84 million and $65 million at December 31, 2019 and 2018, respectively. The fair value asset and liability amounts of derivative contracts have been reduced by variation margin payments treated as settlements as described herein. Variation margin on derivative contracts not treated as settlements continues to represent collateral posted or received by the Company.</w:t>
      </w:r>
    </w:p>
    <w:p>
      <w:pPr>
        <w:spacing w:after="0" w:line="36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17"/>
          <w:szCs w:val="17"/>
          <w:b w:val="1"/>
          <w:bCs w:val="1"/>
          <w:color w:val="auto"/>
        </w:rPr>
        <w:t>Variable interest entities</w:t>
      </w:r>
    </w:p>
    <w:p>
      <w:pPr>
        <w:spacing w:after="0" w:line="29"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The Company’s securitization activity has consisted of securitizing loans originated for sale into government issued or guaranteed mortgage-backed securities. The amounts of those securitizations in 2019, 2018 and 2017 are presented in the Company’s consolidated statement of cash flows. The Company has not recognized any losses as a result of having securitized assets.</w:t>
      </w:r>
    </w:p>
    <w:p>
      <w:pPr>
        <w:spacing w:after="0" w:line="2" w:lineRule="exact"/>
        <w:rPr>
          <w:sz w:val="20"/>
          <w:szCs w:val="20"/>
          <w:color w:val="auto"/>
        </w:rPr>
      </w:pPr>
    </w:p>
    <w:p>
      <w:pPr>
        <w:ind w:right="60" w:firstLine="598"/>
        <w:spacing w:after="0" w:line="246" w:lineRule="auto"/>
        <w:rPr>
          <w:sz w:val="20"/>
          <w:szCs w:val="20"/>
          <w:color w:val="auto"/>
        </w:rPr>
      </w:pPr>
      <w:r>
        <w:rPr>
          <w:rFonts w:ascii="Arial" w:cs="Arial" w:eastAsia="Arial" w:hAnsi="Arial"/>
          <w:sz w:val="20"/>
          <w:szCs w:val="20"/>
          <w:color w:val="auto"/>
        </w:rPr>
        <w:t>As described in note 8,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each of December 31, 2019 and 2018, the Company included the junior subordinated debentures as “long-term borrowings” in its consolidated balance sheet and recognized $23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8.</w:t>
      </w:r>
    </w:p>
    <w:p>
      <w:pPr>
        <w:spacing w:after="0" w:line="5" w:lineRule="exact"/>
        <w:rPr>
          <w:sz w:val="20"/>
          <w:szCs w:val="20"/>
          <w:color w:val="auto"/>
        </w:rPr>
      </w:pPr>
    </w:p>
    <w:p>
      <w:pPr>
        <w:jc w:val="both"/>
        <w:ind w:right="100" w:firstLine="598"/>
        <w:spacing w:after="0" w:line="251" w:lineRule="auto"/>
        <w:rPr>
          <w:sz w:val="20"/>
          <w:szCs w:val="20"/>
          <w:color w:val="auto"/>
        </w:rPr>
      </w:pPr>
      <w:r>
        <w:rPr>
          <w:rFonts w:ascii="Arial" w:cs="Arial" w:eastAsia="Arial" w:hAnsi="Arial"/>
          <w:sz w:val="20"/>
          <w:szCs w:val="20"/>
          <w:color w:val="auto"/>
        </w:rPr>
        <w:t>The Company has invested as a limited partner in various partnerships that collectively had total assets of approximately $1.5 billion at of December 31, 2019 and $1.1 billion at December 31, 2018. Those partnerships generally construct or acquire properties for which the investing partners are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71" w:name="page172"/>
    <w:bookmarkEnd w:id="171"/>
    <w:p>
      <w:pPr>
        <w:spacing w:after="0" w:line="261" w:lineRule="auto"/>
        <w:rPr>
          <w:sz w:val="20"/>
          <w:szCs w:val="20"/>
          <w:color w:val="auto"/>
        </w:rPr>
      </w:pPr>
      <w:r>
        <w:rPr>
          <w:rFonts w:ascii="Arial" w:cs="Arial" w:eastAsia="Arial" w:hAnsi="Arial"/>
          <w:sz w:val="19"/>
          <w:szCs w:val="19"/>
          <w:color w:val="auto"/>
        </w:rPr>
        <w:t>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carrying amount of its investments in such partnerships was $748 million, including $414 million of unfunded commitments, at December 31, 2019 and $523 million, including $280 million of unfunded commitments, at December 31, 2018. Contingent commitments to provide additional capital contributions to these partnerships were not material at December 31, 2019. The Company has not provided financial or other support to the partnerships that was not contractually required. The Company’s maximum exposure to loss from its investments in such partnerships as of December 31, 2019 was $984 million, including possible recapture of certain tax credits.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The Company’s investment in qualified affordable housing projects is amortized to income taxes in the consolidated statement of income as tax credits and other tax benefits resulting from deductible losses associated with the projects are received.</w:t>
      </w:r>
    </w:p>
    <w:p>
      <w:pPr>
        <w:spacing w:after="0" w:line="1" w:lineRule="exact"/>
        <w:rPr>
          <w:sz w:val="20"/>
          <w:szCs w:val="20"/>
          <w:color w:val="auto"/>
        </w:rPr>
      </w:pPr>
    </w:p>
    <w:p>
      <w:pPr>
        <w:ind w:right="140" w:firstLine="598"/>
        <w:spacing w:after="0" w:line="311" w:lineRule="auto"/>
        <w:rPr>
          <w:sz w:val="20"/>
          <w:szCs w:val="20"/>
          <w:color w:val="auto"/>
        </w:rPr>
      </w:pPr>
      <w:r>
        <w:rPr>
          <w:rFonts w:ascii="Arial" w:cs="Arial" w:eastAsia="Arial" w:hAnsi="Arial"/>
          <w:sz w:val="18"/>
          <w:szCs w:val="18"/>
          <w:color w:val="auto"/>
        </w:rPr>
        <w:t>The Company serves as investment advisor for certain registered money-market funds. The Company has no explicit arrangement to provide support to those funds, but may waive portions of its allowable management fees as a result of market conditions.</w:t>
      </w:r>
    </w:p>
    <w:p>
      <w:pPr>
        <w:spacing w:after="0" w:line="30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20.</w:t>
      </w:r>
      <w:r>
        <w:rPr>
          <w:sz w:val="20"/>
          <w:szCs w:val="20"/>
          <w:color w:val="auto"/>
        </w:rPr>
        <w:tab/>
      </w:r>
      <w:r>
        <w:rPr>
          <w:rFonts w:ascii="Arial" w:cs="Arial" w:eastAsia="Arial" w:hAnsi="Arial"/>
          <w:sz w:val="17"/>
          <w:szCs w:val="17"/>
          <w:b w:val="1"/>
          <w:bCs w:val="1"/>
          <w:color w:val="auto"/>
        </w:rPr>
        <w:t>Fair value measurements</w:t>
      </w:r>
    </w:p>
    <w:p>
      <w:pPr>
        <w:spacing w:after="0" w:line="29" w:lineRule="exact"/>
        <w:rPr>
          <w:sz w:val="20"/>
          <w:szCs w:val="20"/>
          <w:color w:val="auto"/>
        </w:rPr>
      </w:pPr>
    </w:p>
    <w:p>
      <w:pPr>
        <w:ind w:right="320"/>
        <w:spacing w:after="0" w:line="246" w:lineRule="auto"/>
        <w:rPr>
          <w:sz w:val="20"/>
          <w:szCs w:val="20"/>
          <w:color w:val="auto"/>
        </w:rPr>
      </w:pPr>
      <w:r>
        <w:rPr>
          <w:rFonts w:ascii="Arial" w:cs="Arial" w:eastAsia="Arial" w:hAnsi="Arial"/>
          <w:sz w:val="20"/>
          <w:szCs w:val="20"/>
          <w:color w:val="auto"/>
        </w:rPr>
        <w:t>GAAP permits an entity to choose to measure eligible financial instruments and other items at fair value. The Company has not made any fair value elections at December 31, 2019.</w:t>
      </w:r>
    </w:p>
    <w:p>
      <w:pPr>
        <w:spacing w:after="0" w:line="2" w:lineRule="exact"/>
        <w:rPr>
          <w:sz w:val="20"/>
          <w:szCs w:val="20"/>
          <w:color w:val="auto"/>
        </w:rPr>
      </w:pPr>
    </w:p>
    <w:p>
      <w:pPr>
        <w:jc w:val="both"/>
        <w:ind w:right="120" w:firstLine="598"/>
        <w:spacing w:after="0" w:line="246" w:lineRule="auto"/>
        <w:rPr>
          <w:sz w:val="20"/>
          <w:szCs w:val="20"/>
          <w:color w:val="auto"/>
        </w:rPr>
      </w:pPr>
      <w:r>
        <w:rPr>
          <w:rFonts w:ascii="Arial" w:cs="Arial" w:eastAsia="Arial" w:hAnsi="Arial"/>
          <w:sz w:val="20"/>
          <w:szCs w:val="20"/>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2" w:lineRule="exact"/>
        <w:rPr>
          <w:sz w:val="20"/>
          <w:szCs w:val="20"/>
          <w:color w:val="auto"/>
        </w:rPr>
      </w:pPr>
    </w:p>
    <w:p>
      <w:pPr>
        <w:ind w:left="1180" w:hanging="584"/>
        <w:spacing w:after="0"/>
        <w:tabs>
          <w:tab w:leader="none" w:pos="11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Level 1 — Valuation is based on quoted prices in active markets for identical assets and liabilities.</w:t>
      </w:r>
    </w:p>
    <w:p>
      <w:pPr>
        <w:spacing w:after="0" w:line="6" w:lineRule="exact"/>
        <w:rPr>
          <w:rFonts w:ascii="Arial" w:cs="Arial" w:eastAsia="Arial" w:hAnsi="Arial"/>
          <w:sz w:val="20"/>
          <w:szCs w:val="20"/>
          <w:color w:val="auto"/>
        </w:rPr>
      </w:pPr>
    </w:p>
    <w:p>
      <w:pPr>
        <w:ind w:left="1180" w:right="140" w:hanging="584"/>
        <w:spacing w:after="0" w:line="246" w:lineRule="auto"/>
        <w:tabs>
          <w:tab w:leader="none" w:pos="11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2" w:lineRule="exact"/>
        <w:rPr>
          <w:rFonts w:ascii="Arial" w:cs="Arial" w:eastAsia="Arial" w:hAnsi="Arial"/>
          <w:sz w:val="20"/>
          <w:szCs w:val="20"/>
          <w:color w:val="auto"/>
        </w:rPr>
      </w:pPr>
    </w:p>
    <w:p>
      <w:pPr>
        <w:ind w:left="1180" w:right="100" w:hanging="584"/>
        <w:spacing w:after="0" w:line="251" w:lineRule="auto"/>
        <w:tabs>
          <w:tab w:leader="none" w:pos="11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80" w:lineRule="exact"/>
        <w:rPr>
          <w:sz w:val="20"/>
          <w:szCs w:val="20"/>
          <w:color w:val="auto"/>
        </w:rPr>
      </w:pPr>
    </w:p>
    <w:p>
      <w:pPr>
        <w:ind w:right="40" w:firstLine="598"/>
        <w:spacing w:after="0" w:line="253" w:lineRule="auto"/>
        <w:rPr>
          <w:sz w:val="20"/>
          <w:szCs w:val="20"/>
          <w:color w:val="auto"/>
        </w:rPr>
      </w:pPr>
      <w:r>
        <w:rPr>
          <w:rFonts w:ascii="Arial" w:cs="Arial" w:eastAsia="Arial" w:hAnsi="Arial"/>
          <w:sz w:val="20"/>
          <w:szCs w:val="20"/>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72" w:name="page173"/>
    <w:bookmarkEnd w:id="172"/>
    <w:p>
      <w:pPr>
        <w:ind w:right="160"/>
        <w:spacing w:after="0" w:line="275" w:lineRule="auto"/>
        <w:rPr>
          <w:sz w:val="20"/>
          <w:szCs w:val="20"/>
          <w:color w:val="auto"/>
        </w:rPr>
      </w:pPr>
      <w:r>
        <w:rPr>
          <w:rFonts w:ascii="Arial" w:cs="Arial" w:eastAsia="Arial" w:hAnsi="Arial"/>
          <w:sz w:val="20"/>
          <w:szCs w:val="20"/>
          <w:color w:val="auto"/>
        </w:rPr>
        <w:t>The following is a description of the valuation methodologies used for the Company’s assets and liabilities that are measured on a recurring basis at estimated fair value.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Trading account assets and liabilities</w:t>
      </w:r>
    </w:p>
    <w:p>
      <w:pPr>
        <w:spacing w:after="0" w:line="25"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Trading account assets and liabilities include interest rate contracts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and other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 securities available for sale and equity securities</w:t>
      </w:r>
    </w:p>
    <w:p>
      <w:pPr>
        <w:spacing w:after="0" w:line="25"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Real estate loans held for sale</w:t>
      </w:r>
    </w:p>
    <w:p>
      <w:pPr>
        <w:spacing w:after="0" w:line="25" w:lineRule="exact"/>
        <w:rPr>
          <w:sz w:val="20"/>
          <w:szCs w:val="20"/>
          <w:color w:val="auto"/>
        </w:rPr>
      </w:pPr>
    </w:p>
    <w:p>
      <w:pPr>
        <w:jc w:val="both"/>
        <w:ind w:right="220"/>
        <w:spacing w:after="0" w:line="283"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Commitments to originate real estate loans for sale and commitments to sell real estate loans</w:t>
      </w:r>
    </w:p>
    <w:p>
      <w:pPr>
        <w:spacing w:after="0" w:line="25"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is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rate swap agreements used for interest rate risk management</w:t>
      </w:r>
    </w:p>
    <w:p>
      <w:pPr>
        <w:spacing w:after="0" w:line="25" w:lineRule="exact"/>
        <w:rPr>
          <w:sz w:val="20"/>
          <w:szCs w:val="20"/>
          <w:color w:val="auto"/>
        </w:rPr>
      </w:pPr>
    </w:p>
    <w:p>
      <w:pPr>
        <w:ind w:right="140"/>
        <w:spacing w:after="0" w:line="251" w:lineRule="auto"/>
        <w:rPr>
          <w:sz w:val="20"/>
          <w:szCs w:val="20"/>
          <w:color w:val="auto"/>
        </w:rPr>
      </w:pPr>
      <w:r>
        <w:rPr>
          <w:rFonts w:ascii="Arial" w:cs="Arial" w:eastAsia="Arial" w:hAnsi="Arial"/>
          <w:sz w:val="20"/>
          <w:szCs w:val="20"/>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agreements using externally developed pricing models based on market observable inputs and, therefore, classifies such valuations as Level</w:t>
      </w:r>
    </w:p>
    <w:p>
      <w:pPr>
        <w:spacing w:after="0" w:line="48" w:lineRule="exact"/>
        <w:rPr>
          <w:sz w:val="20"/>
          <w:szCs w:val="20"/>
          <w:color w:val="auto"/>
        </w:rPr>
      </w:pPr>
    </w:p>
    <w:p>
      <w:pPr>
        <w:ind w:right="40" w:firstLine="5"/>
        <w:spacing w:after="0" w:line="246" w:lineRule="auto"/>
        <w:tabs>
          <w:tab w:leader="none" w:pos="201"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Company has considered counterparty credit risk in the valuation of its interest rate swap agreement assets and has considered its own credit risk in the valuation of its interest rate swap agreement liabilities</w:t>
      </w:r>
      <w:r>
        <w:rPr>
          <w:rFonts w:ascii="Arial" w:cs="Arial" w:eastAsia="Arial" w:hAnsi="Arial"/>
          <w:sz w:val="17"/>
          <w:szCs w:val="17"/>
          <w:color w:val="auto"/>
        </w:rPr>
        <w:t>.</w:t>
      </w:r>
    </w:p>
    <w:p>
      <w:pPr>
        <w:spacing w:after="0" w:line="1" w:lineRule="exact"/>
        <w:rPr>
          <w:rFonts w:ascii="Arial" w:cs="Arial" w:eastAsia="Arial" w:hAnsi="Arial"/>
          <w:sz w:val="20"/>
          <w:szCs w:val="20"/>
          <w:color w:val="auto"/>
        </w:rPr>
      </w:pPr>
    </w:p>
    <w:p>
      <w:pPr>
        <w:ind w:left="600"/>
        <w:spacing w:after="0"/>
        <w:rPr>
          <w:rFonts w:ascii="Arial" w:cs="Arial" w:eastAsia="Arial" w:hAnsi="Arial"/>
          <w:sz w:val="20"/>
          <w:szCs w:val="20"/>
          <w:color w:val="auto"/>
        </w:rPr>
      </w:pPr>
      <w:r>
        <w:rPr>
          <w:rFonts w:ascii="Arial" w:cs="Arial" w:eastAsia="Arial" w:hAnsi="Arial"/>
          <w:sz w:val="18"/>
          <w:szCs w:val="18"/>
          <w:color w:val="auto"/>
        </w:rPr>
        <w:t>The following tables present assets and liabilities at December 31, 2019 and 2018 measured at estimated fair value on a recurring</w:t>
      </w:r>
    </w:p>
    <w:p>
      <w:pPr>
        <w:spacing w:after="0" w:line="2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basis: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4"/>
                <w:szCs w:val="14"/>
                <w:color w:val="auto"/>
              </w:rPr>
            </w:pPr>
          </w:p>
        </w:tc>
        <w:tc>
          <w:tcPr>
            <w:tcW w:w="10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Level 1 (a)</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2 (a)</w:t>
            </w:r>
          </w:p>
        </w:tc>
        <w:tc>
          <w:tcPr>
            <w:tcW w:w="260" w:type="dxa"/>
            <w:vAlign w:val="bottom"/>
          </w:tcPr>
          <w:p>
            <w:pPr>
              <w:spacing w:after="0"/>
              <w:rPr>
                <w:sz w:val="14"/>
                <w:szCs w:val="14"/>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Measurements</w:t>
            </w:r>
          </w:p>
        </w:tc>
        <w:tc>
          <w:tcPr>
            <w:tcW w:w="2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1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3"/>
          </w:tcPr>
          <w:p>
            <w:pPr>
              <w:jc w:val="right"/>
              <w:spacing w:after="0" w:line="151" w:lineRule="exact"/>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Trading account assets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470,129</w:t>
            </w:r>
          </w:p>
        </w:tc>
        <w:tc>
          <w:tcPr>
            <w:tcW w:w="34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49,040</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421,089</w:t>
            </w:r>
          </w:p>
        </w:tc>
        <w:tc>
          <w:tcPr>
            <w:tcW w:w="3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240"/>
              <w:spacing w:after="0"/>
              <w:rPr>
                <w:sz w:val="20"/>
                <w:szCs w:val="20"/>
                <w:color w:val="auto"/>
              </w:rPr>
            </w:pPr>
            <w:r>
              <w:rPr>
                <w:rFonts w:ascii="Arial" w:cs="Arial" w:eastAsia="Arial" w:hAnsi="Arial"/>
                <w:sz w:val="18"/>
                <w:szCs w:val="18"/>
                <w:color w:val="auto"/>
              </w:rPr>
              <w:t>U.S. Treasury and federal agencies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9,767</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9,767</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Obligations of states and political subdivisions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gridSpan w:val="2"/>
          </w:tcPr>
          <w:p>
            <w:pPr>
              <w:ind w:left="240"/>
              <w:spacing w:after="0"/>
              <w:rPr>
                <w:sz w:val="20"/>
                <w:szCs w:val="20"/>
                <w:color w:val="auto"/>
              </w:rPr>
            </w:pPr>
            <w:r>
              <w:rPr>
                <w:rFonts w:ascii="Arial" w:cs="Arial" w:eastAsia="Arial" w:hAnsi="Arial"/>
                <w:sz w:val="18"/>
                <w:szCs w:val="18"/>
                <w:color w:val="auto"/>
              </w:rPr>
              <w:t>Mortgage-backed securities: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2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Government issued or guaranteed</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6,180,940</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6,180,940</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gridSpan w:val="2"/>
          </w:tcPr>
          <w:p>
            <w:pPr>
              <w:ind w:left="480"/>
              <w:spacing w:after="0"/>
              <w:rPr>
                <w:sz w:val="20"/>
                <w:szCs w:val="20"/>
                <w:color w:val="auto"/>
              </w:rPr>
            </w:pPr>
            <w:r>
              <w:rPr>
                <w:rFonts w:ascii="Arial" w:cs="Arial" w:eastAsia="Arial" w:hAnsi="Arial"/>
                <w:sz w:val="18"/>
                <w:szCs w:val="18"/>
                <w:color w:val="auto"/>
              </w:rPr>
              <w:t>Privately issued</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debt securities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127,278</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127,278</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140" w:type="dxa"/>
            <w:vAlign w:val="bottom"/>
            <w:tcBorders>
              <w:bottom w:val="single" w:sz="8" w:color="CFF0FC"/>
            </w:tcBorders>
          </w:tcPr>
          <w:p>
            <w:pPr>
              <w:spacing w:after="0"/>
              <w:rPr>
                <w:sz w:val="18"/>
                <w:szCs w:val="18"/>
                <w:color w:val="auto"/>
              </w:rPr>
            </w:pPr>
          </w:p>
        </w:tc>
        <w:tc>
          <w:tcPr>
            <w:tcW w:w="228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6,318,776</w:t>
            </w:r>
          </w:p>
        </w:tc>
        <w:tc>
          <w:tcPr>
            <w:tcW w:w="3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6,318,760</w:t>
            </w:r>
          </w:p>
        </w:tc>
        <w:tc>
          <w:tcPr>
            <w:tcW w:w="38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140,041</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100,637</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39,404</w:t>
            </w: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Real estate loans held for sale</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442,079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442,079</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 (b)</w:t>
            </w:r>
          </w:p>
        </w:tc>
        <w:tc>
          <w:tcPr>
            <w:tcW w:w="9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16,466</w:t>
            </w:r>
          </w:p>
        </w:tc>
        <w:tc>
          <w:tcPr>
            <w:tcW w:w="3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4,501</w:t>
            </w:r>
          </w:p>
        </w:tc>
        <w:tc>
          <w:tcPr>
            <w:tcW w:w="3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420" w:type="dxa"/>
            <w:vAlign w:val="bottom"/>
            <w:gridSpan w:val="2"/>
          </w:tcPr>
          <w:p>
            <w:pPr>
              <w:ind w:left="240"/>
              <w:spacing w:after="0"/>
              <w:rPr>
                <w:sz w:val="20"/>
                <w:szCs w:val="20"/>
                <w:color w:val="auto"/>
              </w:rPr>
            </w:pPr>
            <w:r>
              <w:rPr>
                <w:rFonts w:ascii="Arial" w:cs="Arial" w:eastAsia="Arial" w:hAnsi="Arial"/>
                <w:sz w:val="18"/>
                <w:szCs w:val="18"/>
                <w:color w:val="auto"/>
              </w:rPr>
              <w:t>Total assets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7,387,491</w:t>
            </w:r>
          </w:p>
        </w:tc>
        <w:tc>
          <w:tcPr>
            <w:tcW w:w="34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149,677</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7,225,833</w:t>
            </w:r>
          </w:p>
        </w:tc>
        <w:tc>
          <w:tcPr>
            <w:tcW w:w="38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FF0FC"/>
            </w:tcBorders>
            <w:gridSpan w:val="2"/>
            <w:vMerge w:val="restart"/>
            <w:shd w:val="clear" w:color="auto" w:fill="CFF0FC"/>
          </w:tcPr>
          <w:p>
            <w:pPr>
              <w:spacing w:after="0"/>
              <w:rPr>
                <w:sz w:val="20"/>
                <w:szCs w:val="20"/>
                <w:color w:val="auto"/>
              </w:rPr>
            </w:pPr>
            <w:r>
              <w:rPr>
                <w:rFonts w:ascii="Arial" w:cs="Arial" w:eastAsia="Arial" w:hAnsi="Arial"/>
                <w:sz w:val="18"/>
                <w:szCs w:val="18"/>
                <w:color w:val="auto"/>
              </w:rPr>
              <w:t>Trading account liabilities</w:t>
            </w: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gridSpan w:val="2"/>
            <w:vMerge w:val="continue"/>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79,903</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79,903</w:t>
            </w: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2"/>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liabilities (b)</w:t>
            </w:r>
          </w:p>
        </w:tc>
        <w:tc>
          <w:tcPr>
            <w:tcW w:w="9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7,188</w:t>
            </w:r>
          </w:p>
        </w:tc>
        <w:tc>
          <w:tcPr>
            <w:tcW w:w="3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5,963</w:t>
            </w:r>
          </w:p>
        </w:tc>
        <w:tc>
          <w:tcPr>
            <w:tcW w:w="3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87,091</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85,866</w:t>
            </w: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22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Trading account assets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185,584</w:t>
            </w:r>
          </w:p>
        </w:tc>
        <w:tc>
          <w:tcPr>
            <w:tcW w:w="34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46,018</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139,566</w:t>
            </w:r>
          </w:p>
        </w:tc>
        <w:tc>
          <w:tcPr>
            <w:tcW w:w="3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240"/>
              <w:spacing w:after="0"/>
              <w:rPr>
                <w:sz w:val="20"/>
                <w:szCs w:val="20"/>
                <w:color w:val="auto"/>
              </w:rPr>
            </w:pPr>
            <w:r>
              <w:rPr>
                <w:rFonts w:ascii="Arial" w:cs="Arial" w:eastAsia="Arial" w:hAnsi="Arial"/>
                <w:sz w:val="18"/>
                <w:szCs w:val="18"/>
                <w:color w:val="auto"/>
              </w:rPr>
              <w:t>U.S. Treasury and federal agencies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1,336,931</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1,336,931</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Obligations of states and political subdivisions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gridSpan w:val="2"/>
          </w:tcPr>
          <w:p>
            <w:pPr>
              <w:ind w:left="240"/>
              <w:spacing w:after="0"/>
              <w:rPr>
                <w:sz w:val="20"/>
                <w:szCs w:val="20"/>
                <w:color w:val="auto"/>
              </w:rPr>
            </w:pPr>
            <w:r>
              <w:rPr>
                <w:rFonts w:ascii="Arial" w:cs="Arial" w:eastAsia="Arial" w:hAnsi="Arial"/>
                <w:sz w:val="18"/>
                <w:szCs w:val="18"/>
                <w:color w:val="auto"/>
              </w:rPr>
              <w:t>Mortgage-backed securities: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2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Government issued or guaranteed</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7,216,991</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7,216,991</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gridSpan w:val="2"/>
          </w:tcPr>
          <w:p>
            <w:pPr>
              <w:ind w:left="480"/>
              <w:spacing w:after="0"/>
              <w:rPr>
                <w:sz w:val="20"/>
                <w:szCs w:val="20"/>
                <w:color w:val="auto"/>
              </w:rPr>
            </w:pPr>
            <w:r>
              <w:rPr>
                <w:rFonts w:ascii="Arial" w:cs="Arial" w:eastAsia="Arial" w:hAnsi="Arial"/>
                <w:sz w:val="18"/>
                <w:szCs w:val="18"/>
                <w:color w:val="auto"/>
              </w:rPr>
              <w:t>Privately issued</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debt securities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126,906</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126,906</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140" w:type="dxa"/>
            <w:vAlign w:val="bottom"/>
            <w:tcBorders>
              <w:bottom w:val="single" w:sz="8" w:color="CFF0FC"/>
            </w:tcBorders>
          </w:tcPr>
          <w:p>
            <w:pPr>
              <w:spacing w:after="0"/>
              <w:rPr>
                <w:sz w:val="18"/>
                <w:szCs w:val="18"/>
                <w:color w:val="auto"/>
              </w:rPr>
            </w:pPr>
          </w:p>
        </w:tc>
        <w:tc>
          <w:tcPr>
            <w:tcW w:w="228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8,682,509</w:t>
            </w:r>
          </w:p>
        </w:tc>
        <w:tc>
          <w:tcPr>
            <w:tcW w:w="3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8,682,487</w:t>
            </w:r>
          </w:p>
        </w:tc>
        <w:tc>
          <w:tcPr>
            <w:tcW w:w="38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93,917</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71,989</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21,928</w:t>
            </w: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Real estate loans held for sale</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551,697</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551,697</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 (b)</w:t>
            </w:r>
          </w:p>
        </w:tc>
        <w:tc>
          <w:tcPr>
            <w:tcW w:w="9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19,626</w:t>
            </w:r>
          </w:p>
        </w:tc>
        <w:tc>
          <w:tcPr>
            <w:tcW w:w="3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10,322</w:t>
            </w:r>
          </w:p>
        </w:tc>
        <w:tc>
          <w:tcPr>
            <w:tcW w:w="3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420" w:type="dxa"/>
            <w:vAlign w:val="bottom"/>
            <w:gridSpan w:val="2"/>
          </w:tcPr>
          <w:p>
            <w:pPr>
              <w:ind w:left="240"/>
              <w:spacing w:after="0"/>
              <w:rPr>
                <w:sz w:val="20"/>
                <w:szCs w:val="20"/>
                <w:color w:val="auto"/>
              </w:rPr>
            </w:pPr>
            <w:r>
              <w:rPr>
                <w:rFonts w:ascii="Arial" w:cs="Arial" w:eastAsia="Arial" w:hAnsi="Arial"/>
                <w:sz w:val="18"/>
                <w:szCs w:val="18"/>
                <w:color w:val="auto"/>
              </w:rPr>
              <w:t>Total assets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9,533,333</w:t>
            </w:r>
          </w:p>
        </w:tc>
        <w:tc>
          <w:tcPr>
            <w:tcW w:w="34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118,007</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9,406,000</w:t>
            </w:r>
          </w:p>
        </w:tc>
        <w:tc>
          <w:tcPr>
            <w:tcW w:w="38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9,326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FF0FC"/>
            </w:tcBorders>
            <w:gridSpan w:val="2"/>
            <w:vMerge w:val="restart"/>
            <w:shd w:val="clear" w:color="auto" w:fill="CFF0FC"/>
          </w:tcPr>
          <w:p>
            <w:pPr>
              <w:spacing w:after="0"/>
              <w:rPr>
                <w:sz w:val="20"/>
                <w:szCs w:val="20"/>
                <w:color w:val="auto"/>
              </w:rPr>
            </w:pPr>
            <w:r>
              <w:rPr>
                <w:rFonts w:ascii="Arial" w:cs="Arial" w:eastAsia="Arial" w:hAnsi="Arial"/>
                <w:sz w:val="18"/>
                <w:szCs w:val="18"/>
                <w:color w:val="auto"/>
              </w:rPr>
              <w:t>Trading account liabilities</w:t>
            </w: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gridSpan w:val="2"/>
            <w:vMerge w:val="continue"/>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178,125</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178,125</w:t>
            </w: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2"/>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liabilities (b)</w:t>
            </w:r>
          </w:p>
        </w:tc>
        <w:tc>
          <w:tcPr>
            <w:tcW w:w="9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12,561</w:t>
            </w:r>
          </w:p>
        </w:tc>
        <w:tc>
          <w:tcPr>
            <w:tcW w:w="3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10,969</w:t>
            </w:r>
          </w:p>
        </w:tc>
        <w:tc>
          <w:tcPr>
            <w:tcW w:w="3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190,686</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189,094</w:t>
            </w: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22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 w:lineRule="exact"/>
        <w:rPr>
          <w:sz w:val="20"/>
          <w:szCs w:val="20"/>
          <w:color w:val="auto"/>
        </w:rPr>
      </w:pPr>
    </w:p>
    <w:p>
      <w:pPr>
        <w:ind w:left="600" w:hanging="595"/>
        <w:spacing w:after="0"/>
        <w:tabs>
          <w:tab w:leader="none" w:pos="600" w:val="left"/>
        </w:tabs>
        <w:numPr>
          <w:ilvl w:val="0"/>
          <w:numId w:val="53"/>
        </w:numPr>
        <w:rPr>
          <w:rFonts w:ascii="Arial" w:cs="Arial" w:eastAsia="Arial" w:hAnsi="Arial"/>
          <w:sz w:val="15"/>
          <w:szCs w:val="15"/>
          <w:i w:val="1"/>
          <w:iCs w:val="1"/>
          <w:color w:val="auto"/>
        </w:rPr>
      </w:pPr>
      <w:r>
        <w:rPr>
          <w:rFonts w:ascii="Arial" w:cs="Arial" w:eastAsia="Arial" w:hAnsi="Arial"/>
          <w:sz w:val="15"/>
          <w:szCs w:val="15"/>
          <w:i w:val="1"/>
          <w:iCs w:val="1"/>
          <w:color w:val="auto"/>
        </w:rPr>
        <w:t>There were no significant transfers between Level 1 and Level 2 of the fair value hierarchy during the years ended December 31, 2019 and 2018.</w:t>
      </w:r>
    </w:p>
    <w:p>
      <w:pPr>
        <w:ind w:left="600" w:right="320" w:hanging="595"/>
        <w:spacing w:after="0" w:line="232" w:lineRule="auto"/>
        <w:tabs>
          <w:tab w:leader="none" w:pos="600" w:val="left"/>
        </w:tabs>
        <w:numPr>
          <w:ilvl w:val="0"/>
          <w:numId w:val="53"/>
        </w:numPr>
        <w:rPr>
          <w:rFonts w:ascii="Arial" w:cs="Arial" w:eastAsia="Arial" w:hAnsi="Arial"/>
          <w:sz w:val="15"/>
          <w:szCs w:val="15"/>
          <w:i w:val="1"/>
          <w:iCs w:val="1"/>
          <w:color w:val="auto"/>
        </w:rPr>
      </w:pPr>
      <w:r>
        <w:rPr>
          <w:rFonts w:ascii="Arial" w:cs="Arial" w:eastAsia="Arial" w:hAnsi="Arial"/>
          <w:sz w:val="15"/>
          <w:szCs w:val="15"/>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74" w:name="page175"/>
    <w:bookmarkEnd w:id="174"/>
    <w:p>
      <w:pPr>
        <w:ind w:left="600"/>
        <w:spacing w:after="0"/>
        <w:rPr>
          <w:sz w:val="20"/>
          <w:szCs w:val="20"/>
          <w:color w:val="auto"/>
        </w:rPr>
      </w:pPr>
      <w:r>
        <w:rPr>
          <w:rFonts w:ascii="Arial" w:cs="Arial" w:eastAsia="Arial" w:hAnsi="Arial"/>
          <w:sz w:val="20"/>
          <w:szCs w:val="20"/>
          <w:color w:val="auto"/>
        </w:rPr>
        <w:t>The changes in Level 3 assets and liabilities measured at estimated fair value on a recurring basis during the years ended</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2019, 2018 and 2017 were as follows:</w:t>
      </w:r>
    </w:p>
    <w:p>
      <w:pPr>
        <w:spacing w:after="0" w:line="97"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Investment</w:t>
      </w:r>
    </w:p>
    <w:p>
      <w:pPr>
        <w:jc w:val="center"/>
        <w:ind w:left="5100"/>
        <w:spacing w:after="0" w:line="215" w:lineRule="auto"/>
        <w:rPr>
          <w:sz w:val="20"/>
          <w:szCs w:val="20"/>
          <w:color w:val="auto"/>
        </w:rPr>
      </w:pPr>
      <w:r>
        <w:rPr>
          <w:rFonts w:ascii="Arial" w:cs="Arial" w:eastAsia="Arial" w:hAnsi="Arial"/>
          <w:sz w:val="14"/>
          <w:szCs w:val="14"/>
          <w:b w:val="1"/>
          <w:bCs w:val="1"/>
          <w:color w:val="auto"/>
        </w:rPr>
        <w:t>Securities</w:t>
      </w:r>
    </w:p>
    <w:p>
      <w:pPr>
        <w:jc w:val="center"/>
        <w:ind w:left="5100"/>
        <w:spacing w:after="0" w:line="225" w:lineRule="auto"/>
        <w:rPr>
          <w:sz w:val="20"/>
          <w:szCs w:val="20"/>
          <w:color w:val="auto"/>
        </w:rPr>
      </w:pPr>
      <w:r>
        <w:rPr>
          <w:rFonts w:ascii="Arial" w:cs="Arial" w:eastAsia="Arial" w:hAnsi="Arial"/>
          <w:sz w:val="14"/>
          <w:szCs w:val="14"/>
          <w:b w:val="1"/>
          <w:bCs w:val="1"/>
          <w:color w:val="auto"/>
        </w:rPr>
        <w:t>Available for Sale</w:t>
      </w:r>
    </w:p>
    <w:tbl>
      <w:tblPr>
        <w:tblLayout w:type="fixed"/>
        <w:tblInd w:w="0" w:type="dxa"/>
        <w:tblCellMar>
          <w:top w:w="0" w:type="dxa"/>
          <w:left w:w="0" w:type="dxa"/>
          <w:bottom w:w="0" w:type="dxa"/>
          <w:right w:w="0" w:type="dxa"/>
        </w:tblCellMar>
      </w:tblPr>
      <w:tr>
        <w:trPr>
          <w:trHeight w:val="128"/>
        </w:trPr>
        <w:tc>
          <w:tcPr>
            <w:tcW w:w="36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1300" w:type="dxa"/>
            <w:vAlign w:val="bottom"/>
            <w:tcBorders>
              <w:top w:val="single" w:sz="8" w:color="auto"/>
            </w:tcBorders>
          </w:tcPr>
          <w:p>
            <w:pPr>
              <w:jc w:val="center"/>
              <w:ind w:left="145"/>
              <w:spacing w:after="0" w:line="129" w:lineRule="exact"/>
              <w:rPr>
                <w:sz w:val="20"/>
                <w:szCs w:val="20"/>
                <w:color w:val="auto"/>
              </w:rPr>
            </w:pPr>
            <w:r>
              <w:rPr>
                <w:rFonts w:ascii="Arial" w:cs="Arial" w:eastAsia="Arial" w:hAnsi="Arial"/>
                <w:sz w:val="14"/>
                <w:szCs w:val="14"/>
                <w:b w:val="1"/>
                <w:bCs w:val="1"/>
                <w:color w:val="auto"/>
                <w:w w:val="90"/>
              </w:rPr>
              <w:t>Privately Issued</w:t>
            </w:r>
          </w:p>
        </w:tc>
        <w:tc>
          <w:tcPr>
            <w:tcW w:w="2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3"/>
              </w:rPr>
              <w:t>Other Assets and</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300" w:type="dxa"/>
            <w:vAlign w:val="bottom"/>
          </w:tcPr>
          <w:p>
            <w:pPr>
              <w:jc w:val="center"/>
              <w:ind w:left="145"/>
              <w:spacing w:after="0" w:line="145" w:lineRule="exact"/>
              <w:rPr>
                <w:sz w:val="20"/>
                <w:szCs w:val="20"/>
                <w:color w:val="auto"/>
              </w:rPr>
            </w:pPr>
            <w:r>
              <w:rPr>
                <w:rFonts w:ascii="Arial" w:cs="Arial" w:eastAsia="Arial" w:hAnsi="Arial"/>
                <w:sz w:val="14"/>
                <w:szCs w:val="14"/>
                <w:b w:val="1"/>
                <w:bCs w:val="1"/>
                <w:color w:val="auto"/>
                <w:w w:val="94"/>
              </w:rPr>
              <w:t>Mortgage-</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30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b w:val="1"/>
                <w:bCs w:val="1"/>
                <w:color w:val="auto"/>
                <w:w w:val="87"/>
              </w:rPr>
              <w:t>Backed Securities</w:t>
            </w: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Other Liabilities</w:t>
            </w: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w w:val="84"/>
              </w:rPr>
              <w:t>2019</w:t>
            </w:r>
          </w:p>
        </w:tc>
        <w:tc>
          <w:tcPr>
            <w:tcW w:w="7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60" w:type="dxa"/>
            <w:vAlign w:val="bottom"/>
            <w:gridSpan w:val="5"/>
          </w:tcPr>
          <w:p>
            <w:pPr>
              <w:jc w:val="right"/>
              <w:ind w:right="1074"/>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60" w:type="dxa"/>
            <w:vAlign w:val="bottom"/>
            <w:tcBorders>
              <w:bottom w:val="single" w:sz="8" w:color="auto"/>
            </w:tcBorders>
            <w:vMerge w:val="continue"/>
          </w:tcPr>
          <w:p>
            <w:pPr>
              <w:spacing w:after="0"/>
              <w:rPr>
                <w:sz w:val="13"/>
                <w:szCs w:val="13"/>
                <w:color w:val="auto"/>
              </w:rPr>
            </w:pPr>
          </w:p>
        </w:tc>
        <w:tc>
          <w:tcPr>
            <w:tcW w:w="7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500" w:type="dxa"/>
            <w:vAlign w:val="bottom"/>
            <w:gridSpan w:val="2"/>
          </w:tcPr>
          <w:p>
            <w:pPr>
              <w:spacing w:after="0"/>
              <w:rPr>
                <w:sz w:val="20"/>
                <w:szCs w:val="20"/>
                <w:color w:val="auto"/>
              </w:rPr>
            </w:pPr>
            <w:r>
              <w:rPr>
                <w:rFonts w:ascii="Arial" w:cs="Arial" w:eastAsia="Arial" w:hAnsi="Arial"/>
                <w:sz w:val="18"/>
                <w:szCs w:val="18"/>
                <w:color w:val="auto"/>
              </w:rPr>
              <w:t>Balance — January 1, 2019</w:t>
            </w:r>
          </w:p>
        </w:tc>
        <w:tc>
          <w:tcPr>
            <w:tcW w:w="1300" w:type="dxa"/>
            <w:vAlign w:val="bottom"/>
          </w:tcPr>
          <w:p>
            <w:pPr>
              <w:jc w:val="right"/>
              <w:ind w:right="1145"/>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1"/>
                <w:szCs w:val="21"/>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7,712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gains realized/unrealized:</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00" w:type="dxa"/>
            <w:vAlign w:val="bottom"/>
            <w:gridSpan w:val="2"/>
          </w:tcPr>
          <w:p>
            <w:pPr>
              <w:ind w:left="260"/>
              <w:spacing w:after="0"/>
              <w:rPr>
                <w:sz w:val="20"/>
                <w:szCs w:val="20"/>
                <w:color w:val="auto"/>
              </w:rPr>
            </w:pPr>
            <w:r>
              <w:rPr>
                <w:rFonts w:ascii="Arial" w:cs="Arial" w:eastAsia="Arial" w:hAnsi="Arial"/>
                <w:sz w:val="18"/>
                <w:szCs w:val="18"/>
                <w:color w:val="auto"/>
              </w:rPr>
              <w:t>Included in earnings</w:t>
            </w:r>
          </w:p>
        </w:tc>
        <w:tc>
          <w:tcPr>
            <w:tcW w:w="1300" w:type="dxa"/>
            <w:vAlign w:val="bottom"/>
          </w:tcPr>
          <w:p>
            <w:pPr>
              <w:spacing w:after="0"/>
              <w:rPr>
                <w:sz w:val="19"/>
                <w:szCs w:val="19"/>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129,398</w:t>
            </w:r>
          </w:p>
        </w:tc>
        <w:tc>
          <w:tcPr>
            <w:tcW w:w="400" w:type="dxa"/>
            <w:vAlign w:val="bottom"/>
          </w:tcPr>
          <w:p>
            <w:pPr>
              <w:ind w:left="10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24"/>
        </w:trPr>
        <w:tc>
          <w:tcPr>
            <w:tcW w:w="7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Settlements</w:t>
            </w:r>
          </w:p>
        </w:tc>
        <w:tc>
          <w:tcPr>
            <w:tcW w:w="13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Transfers out of Level 3 (a)</w:t>
            </w:r>
          </w:p>
        </w:tc>
        <w:tc>
          <w:tcPr>
            <w:tcW w:w="1300" w:type="dxa"/>
            <w:vAlign w:val="bottom"/>
          </w:tcPr>
          <w:p>
            <w:pPr>
              <w:spacing w:after="0"/>
              <w:rPr>
                <w:sz w:val="19"/>
                <w:szCs w:val="19"/>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12"/>
              <w:spacing w:after="0"/>
              <w:rPr>
                <w:sz w:val="20"/>
                <w:szCs w:val="20"/>
                <w:color w:val="auto"/>
              </w:rPr>
            </w:pPr>
            <w:r>
              <w:rPr>
                <w:rFonts w:ascii="Arial" w:cs="Arial" w:eastAsia="Arial" w:hAnsi="Arial"/>
                <w:sz w:val="18"/>
                <w:szCs w:val="18"/>
                <w:color w:val="auto"/>
              </w:rPr>
              <w:t>(126,370) (c)</w:t>
            </w:r>
          </w:p>
        </w:tc>
        <w:tc>
          <w:tcPr>
            <w:tcW w:w="0" w:type="dxa"/>
            <w:vAlign w:val="bottom"/>
          </w:tcPr>
          <w:p>
            <w:pPr>
              <w:spacing w:after="0"/>
              <w:rPr>
                <w:sz w:val="1"/>
                <w:szCs w:val="1"/>
                <w:color w:val="auto"/>
              </w:rPr>
            </w:pPr>
          </w:p>
        </w:tc>
      </w:tr>
      <w:tr>
        <w:trPr>
          <w:trHeight w:val="217"/>
        </w:trPr>
        <w:tc>
          <w:tcPr>
            <w:tcW w:w="75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 December 31, 2019</w:t>
            </w:r>
          </w:p>
        </w:tc>
        <w:tc>
          <w:tcPr>
            <w:tcW w:w="1300" w:type="dxa"/>
            <w:vAlign w:val="bottom"/>
            <w:tcBorders>
              <w:top w:val="single" w:sz="8" w:color="auto"/>
              <w:bottom w:val="single" w:sz="8" w:color="auto"/>
            </w:tcBorders>
            <w:shd w:val="clear" w:color="auto" w:fill="CFF0FC"/>
          </w:tcPr>
          <w:p>
            <w:pPr>
              <w:jc w:val="right"/>
              <w:ind w:right="1145"/>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10,740</w:t>
            </w:r>
          </w:p>
        </w:tc>
        <w:tc>
          <w:tcPr>
            <w:tcW w:w="4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500" w:type="dxa"/>
            <w:vAlign w:val="bottom"/>
            <w:gridSpan w:val="2"/>
            <w:vMerge w:val="continue"/>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500" w:type="dxa"/>
            <w:vAlign w:val="bottom"/>
            <w:gridSpan w:val="2"/>
          </w:tcPr>
          <w:p>
            <w:pPr>
              <w:ind w:left="140"/>
              <w:spacing w:after="0"/>
              <w:rPr>
                <w:sz w:val="20"/>
                <w:szCs w:val="20"/>
                <w:color w:val="auto"/>
              </w:rPr>
            </w:pPr>
            <w:r>
              <w:rPr>
                <w:rFonts w:ascii="Arial" w:cs="Arial" w:eastAsia="Arial" w:hAnsi="Arial"/>
                <w:sz w:val="18"/>
                <w:szCs w:val="18"/>
                <w:color w:val="auto"/>
              </w:rPr>
              <w:t>related to assets still held at December 31, 2019</w:t>
            </w:r>
          </w:p>
        </w:tc>
        <w:tc>
          <w:tcPr>
            <w:tcW w:w="1300" w:type="dxa"/>
            <w:vAlign w:val="bottom"/>
          </w:tcPr>
          <w:p>
            <w:pPr>
              <w:jc w:val="right"/>
              <w:ind w:right="1145"/>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11,146</w:t>
            </w:r>
          </w:p>
        </w:tc>
        <w:tc>
          <w:tcPr>
            <w:tcW w:w="400" w:type="dxa"/>
            <w:vAlign w:val="bottom"/>
          </w:tcPr>
          <w:p>
            <w:pPr>
              <w:ind w:left="10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3"/>
        </w:trPr>
        <w:tc>
          <w:tcPr>
            <w:tcW w:w="360" w:type="dxa"/>
            <w:vAlign w:val="bottom"/>
            <w:tcBorders>
              <w:top w:val="single" w:sz="8" w:color="CFF0FC"/>
            </w:tcBorders>
            <w:shd w:val="clear" w:color="auto" w:fill="CFF0FC"/>
          </w:tcPr>
          <w:p>
            <w:pPr>
              <w:spacing w:after="0"/>
              <w:rPr>
                <w:sz w:val="17"/>
                <w:szCs w:val="17"/>
                <w:color w:val="auto"/>
              </w:rPr>
            </w:pPr>
          </w:p>
        </w:tc>
        <w:tc>
          <w:tcPr>
            <w:tcW w:w="7140" w:type="dxa"/>
            <w:vAlign w:val="bottom"/>
            <w:tcBorders>
              <w:top w:val="single" w:sz="8" w:color="CFF0FC"/>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6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b w:val="1"/>
                <w:bCs w:val="1"/>
                <w:color w:val="auto"/>
                <w:w w:val="84"/>
              </w:rPr>
              <w:t>2018</w:t>
            </w:r>
          </w:p>
        </w:tc>
        <w:tc>
          <w:tcPr>
            <w:tcW w:w="7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500" w:type="dxa"/>
            <w:vAlign w:val="bottom"/>
            <w:gridSpan w:val="2"/>
          </w:tcPr>
          <w:p>
            <w:pPr>
              <w:spacing w:after="0"/>
              <w:rPr>
                <w:sz w:val="20"/>
                <w:szCs w:val="20"/>
                <w:color w:val="auto"/>
              </w:rPr>
            </w:pPr>
            <w:r>
              <w:rPr>
                <w:rFonts w:ascii="Arial" w:cs="Arial" w:eastAsia="Arial" w:hAnsi="Arial"/>
                <w:sz w:val="18"/>
                <w:szCs w:val="18"/>
                <w:color w:val="auto"/>
              </w:rPr>
              <w:t>Balance — January 1, 2018</w:t>
            </w:r>
          </w:p>
        </w:tc>
        <w:tc>
          <w:tcPr>
            <w:tcW w:w="1300" w:type="dxa"/>
            <w:vAlign w:val="bottom"/>
          </w:tcPr>
          <w:p>
            <w:pPr>
              <w:jc w:val="right"/>
              <w:ind w:right="1145"/>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8,303</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gains realized/unrealized:</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00" w:type="dxa"/>
            <w:vAlign w:val="bottom"/>
            <w:gridSpan w:val="2"/>
          </w:tcPr>
          <w:p>
            <w:pPr>
              <w:ind w:left="260"/>
              <w:spacing w:after="0"/>
              <w:rPr>
                <w:sz w:val="20"/>
                <w:szCs w:val="20"/>
                <w:color w:val="auto"/>
              </w:rPr>
            </w:pPr>
            <w:r>
              <w:rPr>
                <w:rFonts w:ascii="Arial" w:cs="Arial" w:eastAsia="Arial" w:hAnsi="Arial"/>
                <w:sz w:val="18"/>
                <w:szCs w:val="18"/>
                <w:color w:val="auto"/>
              </w:rPr>
              <w:t>Included in earnings</w:t>
            </w:r>
          </w:p>
        </w:tc>
        <w:tc>
          <w:tcPr>
            <w:tcW w:w="1300" w:type="dxa"/>
            <w:vAlign w:val="bottom"/>
          </w:tcPr>
          <w:p>
            <w:pPr>
              <w:spacing w:after="0"/>
              <w:rPr>
                <w:sz w:val="19"/>
                <w:szCs w:val="19"/>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58,740</w:t>
            </w:r>
          </w:p>
        </w:tc>
        <w:tc>
          <w:tcPr>
            <w:tcW w:w="400" w:type="dxa"/>
            <w:vAlign w:val="bottom"/>
          </w:tcPr>
          <w:p>
            <w:pPr>
              <w:ind w:left="10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24"/>
        </w:trPr>
        <w:tc>
          <w:tcPr>
            <w:tcW w:w="7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Settlements</w:t>
            </w:r>
          </w:p>
        </w:tc>
        <w:tc>
          <w:tcPr>
            <w:tcW w:w="13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Transfers out of Level 3 (a)</w:t>
            </w:r>
          </w:p>
        </w:tc>
        <w:tc>
          <w:tcPr>
            <w:tcW w:w="1300" w:type="dxa"/>
            <w:vAlign w:val="bottom"/>
          </w:tcPr>
          <w:p>
            <w:pPr>
              <w:spacing w:after="0"/>
              <w:rPr>
                <w:sz w:val="19"/>
                <w:szCs w:val="19"/>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12"/>
              <w:spacing w:after="0"/>
              <w:rPr>
                <w:sz w:val="20"/>
                <w:szCs w:val="20"/>
                <w:color w:val="auto"/>
              </w:rPr>
            </w:pPr>
            <w:r>
              <w:rPr>
                <w:rFonts w:ascii="Arial" w:cs="Arial" w:eastAsia="Arial" w:hAnsi="Arial"/>
                <w:sz w:val="18"/>
                <w:szCs w:val="18"/>
                <w:color w:val="auto"/>
              </w:rPr>
              <w:t>(59,331) (c)</w:t>
            </w:r>
          </w:p>
        </w:tc>
        <w:tc>
          <w:tcPr>
            <w:tcW w:w="0" w:type="dxa"/>
            <w:vAlign w:val="bottom"/>
          </w:tcPr>
          <w:p>
            <w:pPr>
              <w:spacing w:after="0"/>
              <w:rPr>
                <w:sz w:val="1"/>
                <w:szCs w:val="1"/>
                <w:color w:val="auto"/>
              </w:rPr>
            </w:pPr>
          </w:p>
        </w:tc>
      </w:tr>
      <w:tr>
        <w:trPr>
          <w:trHeight w:val="217"/>
        </w:trPr>
        <w:tc>
          <w:tcPr>
            <w:tcW w:w="75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 December 31, 2018</w:t>
            </w:r>
          </w:p>
        </w:tc>
        <w:tc>
          <w:tcPr>
            <w:tcW w:w="1300" w:type="dxa"/>
            <w:vAlign w:val="bottom"/>
            <w:tcBorders>
              <w:top w:val="single" w:sz="8" w:color="auto"/>
              <w:bottom w:val="single" w:sz="8" w:color="auto"/>
            </w:tcBorders>
            <w:shd w:val="clear" w:color="auto" w:fill="CFF0FC"/>
          </w:tcPr>
          <w:p>
            <w:pPr>
              <w:jc w:val="right"/>
              <w:ind w:right="1145"/>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7,712</w:t>
            </w:r>
          </w:p>
        </w:tc>
        <w:tc>
          <w:tcPr>
            <w:tcW w:w="4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500" w:type="dxa"/>
            <w:vAlign w:val="bottom"/>
            <w:gridSpan w:val="2"/>
            <w:vMerge w:val="continue"/>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500" w:type="dxa"/>
            <w:vAlign w:val="bottom"/>
            <w:gridSpan w:val="2"/>
          </w:tcPr>
          <w:p>
            <w:pPr>
              <w:ind w:left="140"/>
              <w:spacing w:after="0"/>
              <w:rPr>
                <w:sz w:val="20"/>
                <w:szCs w:val="20"/>
                <w:color w:val="auto"/>
              </w:rPr>
            </w:pPr>
            <w:r>
              <w:rPr>
                <w:rFonts w:ascii="Arial" w:cs="Arial" w:eastAsia="Arial" w:hAnsi="Arial"/>
                <w:sz w:val="18"/>
                <w:szCs w:val="18"/>
                <w:color w:val="auto"/>
              </w:rPr>
              <w:t>related to assets still held at December 31, 2018</w:t>
            </w:r>
          </w:p>
        </w:tc>
        <w:tc>
          <w:tcPr>
            <w:tcW w:w="1300" w:type="dxa"/>
            <w:vAlign w:val="bottom"/>
          </w:tcPr>
          <w:p>
            <w:pPr>
              <w:jc w:val="right"/>
              <w:ind w:right="1145"/>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7,386</w:t>
            </w:r>
          </w:p>
        </w:tc>
        <w:tc>
          <w:tcPr>
            <w:tcW w:w="400" w:type="dxa"/>
            <w:vAlign w:val="bottom"/>
          </w:tcPr>
          <w:p>
            <w:pPr>
              <w:ind w:left="10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3"/>
        </w:trPr>
        <w:tc>
          <w:tcPr>
            <w:tcW w:w="360" w:type="dxa"/>
            <w:vAlign w:val="bottom"/>
            <w:tcBorders>
              <w:top w:val="single" w:sz="8" w:color="CFF0FC"/>
            </w:tcBorders>
            <w:shd w:val="clear" w:color="auto" w:fill="CFF0FC"/>
          </w:tcPr>
          <w:p>
            <w:pPr>
              <w:spacing w:after="0"/>
              <w:rPr>
                <w:sz w:val="17"/>
                <w:szCs w:val="17"/>
                <w:color w:val="auto"/>
              </w:rPr>
            </w:pPr>
          </w:p>
        </w:tc>
        <w:tc>
          <w:tcPr>
            <w:tcW w:w="7140" w:type="dxa"/>
            <w:vAlign w:val="bottom"/>
            <w:tcBorders>
              <w:top w:val="single" w:sz="8" w:color="CFF0FC"/>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6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b w:val="1"/>
                <w:bCs w:val="1"/>
                <w:color w:val="auto"/>
                <w:w w:val="84"/>
              </w:rPr>
              <w:t>2017</w:t>
            </w:r>
          </w:p>
        </w:tc>
        <w:tc>
          <w:tcPr>
            <w:tcW w:w="7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500" w:type="dxa"/>
            <w:vAlign w:val="bottom"/>
            <w:gridSpan w:val="2"/>
          </w:tcPr>
          <w:p>
            <w:pPr>
              <w:spacing w:after="0"/>
              <w:rPr>
                <w:sz w:val="20"/>
                <w:szCs w:val="20"/>
                <w:color w:val="auto"/>
              </w:rPr>
            </w:pPr>
            <w:r>
              <w:rPr>
                <w:rFonts w:ascii="Arial" w:cs="Arial" w:eastAsia="Arial" w:hAnsi="Arial"/>
                <w:sz w:val="18"/>
                <w:szCs w:val="18"/>
                <w:color w:val="auto"/>
              </w:rPr>
              <w:t>Balance — January 1, 2017</w:t>
            </w:r>
          </w:p>
        </w:tc>
        <w:tc>
          <w:tcPr>
            <w:tcW w:w="1300" w:type="dxa"/>
            <w:vAlign w:val="bottom"/>
          </w:tcPr>
          <w:p>
            <w:pPr>
              <w:jc w:val="right"/>
              <w:ind w:right="1145"/>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7,325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gains realized/unrealized:</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00" w:type="dxa"/>
            <w:vAlign w:val="bottom"/>
            <w:gridSpan w:val="2"/>
          </w:tcPr>
          <w:p>
            <w:pPr>
              <w:ind w:left="260"/>
              <w:spacing w:after="0"/>
              <w:rPr>
                <w:sz w:val="20"/>
                <w:szCs w:val="20"/>
                <w:color w:val="auto"/>
              </w:rPr>
            </w:pPr>
            <w:r>
              <w:rPr>
                <w:rFonts w:ascii="Arial" w:cs="Arial" w:eastAsia="Arial" w:hAnsi="Arial"/>
                <w:sz w:val="18"/>
                <w:szCs w:val="18"/>
                <w:color w:val="auto"/>
              </w:rPr>
              <w:t>Included in earnings</w:t>
            </w:r>
          </w:p>
        </w:tc>
        <w:tc>
          <w:tcPr>
            <w:tcW w:w="1300" w:type="dxa"/>
            <w:vAlign w:val="bottom"/>
          </w:tcPr>
          <w:p>
            <w:pPr>
              <w:spacing w:after="0"/>
              <w:rPr>
                <w:sz w:val="19"/>
                <w:szCs w:val="19"/>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77,832</w:t>
            </w:r>
          </w:p>
        </w:tc>
        <w:tc>
          <w:tcPr>
            <w:tcW w:w="400" w:type="dxa"/>
            <w:vAlign w:val="bottom"/>
          </w:tcPr>
          <w:p>
            <w:pPr>
              <w:ind w:left="10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24"/>
        </w:trPr>
        <w:tc>
          <w:tcPr>
            <w:tcW w:w="7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Settlements</w:t>
            </w:r>
          </w:p>
        </w:tc>
        <w:tc>
          <w:tcPr>
            <w:tcW w:w="13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87"/>
              </w:rPr>
              <w:t>(16)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Transfers out of Level 3 (a)</w:t>
            </w:r>
          </w:p>
        </w:tc>
        <w:tc>
          <w:tcPr>
            <w:tcW w:w="1300" w:type="dxa"/>
            <w:vAlign w:val="bottom"/>
          </w:tcPr>
          <w:p>
            <w:pPr>
              <w:spacing w:after="0"/>
              <w:rPr>
                <w:sz w:val="19"/>
                <w:szCs w:val="19"/>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12"/>
              <w:spacing w:after="0"/>
              <w:rPr>
                <w:sz w:val="20"/>
                <w:szCs w:val="20"/>
                <w:color w:val="auto"/>
              </w:rPr>
            </w:pPr>
            <w:r>
              <w:rPr>
                <w:rFonts w:ascii="Arial" w:cs="Arial" w:eastAsia="Arial" w:hAnsi="Arial"/>
                <w:sz w:val="18"/>
                <w:szCs w:val="18"/>
                <w:color w:val="auto"/>
              </w:rPr>
              <w:t>(76,854) (c)</w:t>
            </w:r>
          </w:p>
        </w:tc>
        <w:tc>
          <w:tcPr>
            <w:tcW w:w="0" w:type="dxa"/>
            <w:vAlign w:val="bottom"/>
          </w:tcPr>
          <w:p>
            <w:pPr>
              <w:spacing w:after="0"/>
              <w:rPr>
                <w:sz w:val="1"/>
                <w:szCs w:val="1"/>
                <w:color w:val="auto"/>
              </w:rPr>
            </w:pPr>
          </w:p>
        </w:tc>
      </w:tr>
      <w:tr>
        <w:trPr>
          <w:trHeight w:val="217"/>
        </w:trPr>
        <w:tc>
          <w:tcPr>
            <w:tcW w:w="75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 December 31, 2017</w:t>
            </w:r>
          </w:p>
        </w:tc>
        <w:tc>
          <w:tcPr>
            <w:tcW w:w="1300" w:type="dxa"/>
            <w:vAlign w:val="bottom"/>
            <w:tcBorders>
              <w:top w:val="single" w:sz="8" w:color="auto"/>
              <w:bottom w:val="single" w:sz="8" w:color="auto"/>
            </w:tcBorders>
            <w:shd w:val="clear" w:color="auto" w:fill="CFF0FC"/>
          </w:tcPr>
          <w:p>
            <w:pPr>
              <w:jc w:val="right"/>
              <w:ind w:right="1145"/>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8,303</w:t>
            </w:r>
          </w:p>
        </w:tc>
        <w:tc>
          <w:tcPr>
            <w:tcW w:w="4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500" w:type="dxa"/>
            <w:vAlign w:val="bottom"/>
            <w:gridSpan w:val="2"/>
            <w:vMerge w:val="continue"/>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500" w:type="dxa"/>
            <w:vAlign w:val="bottom"/>
            <w:gridSpan w:val="2"/>
          </w:tcPr>
          <w:p>
            <w:pPr>
              <w:ind w:left="140"/>
              <w:spacing w:after="0"/>
              <w:rPr>
                <w:sz w:val="20"/>
                <w:szCs w:val="20"/>
                <w:color w:val="auto"/>
              </w:rPr>
            </w:pPr>
            <w:r>
              <w:rPr>
                <w:rFonts w:ascii="Arial" w:cs="Arial" w:eastAsia="Arial" w:hAnsi="Arial"/>
                <w:sz w:val="18"/>
                <w:szCs w:val="18"/>
                <w:color w:val="auto"/>
              </w:rPr>
              <w:t>related to assets still held at December 31, 2017</w:t>
            </w:r>
          </w:p>
        </w:tc>
        <w:tc>
          <w:tcPr>
            <w:tcW w:w="1300" w:type="dxa"/>
            <w:vAlign w:val="bottom"/>
          </w:tcPr>
          <w:p>
            <w:pPr>
              <w:jc w:val="right"/>
              <w:ind w:right="1145"/>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7,978</w:t>
            </w:r>
          </w:p>
        </w:tc>
        <w:tc>
          <w:tcPr>
            <w:tcW w:w="400" w:type="dxa"/>
            <w:vAlign w:val="bottom"/>
          </w:tcPr>
          <w:p>
            <w:pPr>
              <w:ind w:left="10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1" w:lineRule="exact"/>
        <w:rPr>
          <w:sz w:val="20"/>
          <w:szCs w:val="20"/>
          <w:color w:val="auto"/>
        </w:rPr>
      </w:pPr>
    </w:p>
    <w:p>
      <w:pPr>
        <w:ind w:left="600" w:hanging="595"/>
        <w:spacing w:after="0"/>
        <w:tabs>
          <w:tab w:leader="none" w:pos="60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The Company’s policy for transfers between fair value levels is to recognize the transfer as of the actual date of the event or change in circumstances that caused the transfer.</w:t>
      </w:r>
    </w:p>
    <w:p>
      <w:pPr>
        <w:spacing w:after="0" w:line="21" w:lineRule="exact"/>
        <w:rPr>
          <w:rFonts w:ascii="Arial" w:cs="Arial" w:eastAsia="Arial" w:hAnsi="Arial"/>
          <w:sz w:val="14"/>
          <w:szCs w:val="14"/>
          <w:i w:val="1"/>
          <w:iCs w:val="1"/>
          <w:color w:val="auto"/>
        </w:rPr>
      </w:pPr>
    </w:p>
    <w:p>
      <w:pPr>
        <w:ind w:left="600" w:hanging="595"/>
        <w:spacing w:after="0" w:line="219" w:lineRule="auto"/>
        <w:tabs>
          <w:tab w:leader="none" w:pos="600" w:val="left"/>
        </w:tabs>
        <w:numPr>
          <w:ilvl w:val="0"/>
          <w:numId w:val="54"/>
        </w:numPr>
        <w:rPr>
          <w:rFonts w:ascii="Arial" w:cs="Arial" w:eastAsia="Arial" w:hAnsi="Arial"/>
          <w:sz w:val="15"/>
          <w:szCs w:val="15"/>
          <w:i w:val="1"/>
          <w:iCs w:val="1"/>
          <w:color w:val="auto"/>
        </w:rPr>
      </w:pPr>
      <w:r>
        <w:rPr>
          <w:rFonts w:ascii="Arial" w:cs="Arial" w:eastAsia="Arial" w:hAnsi="Arial"/>
          <w:sz w:val="15"/>
          <w:szCs w:val="15"/>
          <w:i w:val="1"/>
          <w:iCs w:val="1"/>
          <w:color w:val="auto"/>
        </w:rPr>
        <w:t>Reported as mortgage banking revenues in the consolidated statement of income and includes the fair value of commitment issuances and expirations.</w:t>
      </w:r>
    </w:p>
    <w:p>
      <w:pPr>
        <w:ind w:left="600" w:hanging="595"/>
        <w:spacing w:after="0"/>
        <w:tabs>
          <w:tab w:leader="none" w:pos="600" w:val="left"/>
        </w:tabs>
        <w:numPr>
          <w:ilvl w:val="0"/>
          <w:numId w:val="54"/>
        </w:numPr>
        <w:rPr>
          <w:rFonts w:ascii="Arial" w:cs="Arial" w:eastAsia="Arial" w:hAnsi="Arial"/>
          <w:sz w:val="15"/>
          <w:szCs w:val="15"/>
          <w:i w:val="1"/>
          <w:iCs w:val="1"/>
          <w:color w:val="auto"/>
        </w:rPr>
      </w:pPr>
      <w:r>
        <w:rPr>
          <w:rFonts w:ascii="Arial" w:cs="Arial" w:eastAsia="Arial" w:hAnsi="Arial"/>
          <w:sz w:val="15"/>
          <w:szCs w:val="15"/>
          <w:i w:val="1"/>
          <w:iCs w:val="1"/>
          <w:color w:val="auto"/>
        </w:rPr>
        <w:t>Transfers out of Level 3 consist of interest rate locks transferred to closed loans.</w:t>
      </w:r>
    </w:p>
    <w:p>
      <w:pPr>
        <w:spacing w:after="0" w:line="183" w:lineRule="exact"/>
        <w:rPr>
          <w:sz w:val="20"/>
          <w:szCs w:val="20"/>
          <w:color w:val="auto"/>
        </w:rPr>
      </w:pPr>
    </w:p>
    <w:p>
      <w:pPr>
        <w:ind w:right="560" w:firstLine="598"/>
        <w:spacing w:after="0" w:line="275" w:lineRule="auto"/>
        <w:rPr>
          <w:sz w:val="20"/>
          <w:szCs w:val="20"/>
          <w:color w:val="auto"/>
        </w:rPr>
      </w:pPr>
      <w:r>
        <w:rPr>
          <w:rFonts w:ascii="Arial" w:cs="Arial" w:eastAsia="Arial" w:hAnsi="Arial"/>
          <w:sz w:val="20"/>
          <w:szCs w:val="20"/>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w:t>
      </w:r>
    </w:p>
    <w:p>
      <w:pPr>
        <w:spacing w:after="0" w:line="25" w:lineRule="exact"/>
        <w:rPr>
          <w:sz w:val="20"/>
          <w:szCs w:val="20"/>
          <w:color w:val="auto"/>
        </w:rPr>
      </w:pPr>
    </w:p>
    <w:p>
      <w:pPr>
        <w:ind w:right="340"/>
        <w:spacing w:after="0" w:line="251" w:lineRule="auto"/>
        <w:rPr>
          <w:sz w:val="20"/>
          <w:szCs w:val="20"/>
          <w:color w:val="auto"/>
        </w:rPr>
      </w:pPr>
      <w:r>
        <w:rPr>
          <w:rFonts w:ascii="Arial" w:cs="Arial" w:eastAsia="Arial" w:hAnsi="Arial"/>
          <w:sz w:val="20"/>
          <w:szCs w:val="20"/>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60"/>
          </w:cols>
          <w:pgMar w:left="240" w:top="336" w:right="199" w:bottom="1440" w:gutter="0" w:footer="0" w:header="0"/>
        </w:sectPr>
      </w:pPr>
    </w:p>
    <w:bookmarkStart w:id="175" w:name="page176"/>
    <w:bookmarkEnd w:id="175"/>
    <w:p>
      <w:pPr>
        <w:spacing w:after="0" w:line="277" w:lineRule="auto"/>
        <w:rPr>
          <w:sz w:val="20"/>
          <w:szCs w:val="20"/>
          <w:color w:val="auto"/>
        </w:rPr>
      </w:pPr>
      <w:r>
        <w:rPr>
          <w:rFonts w:ascii="Arial" w:cs="Arial" w:eastAsia="Arial" w:hAnsi="Arial"/>
          <w:sz w:val="18"/>
          <w:szCs w:val="18"/>
          <w:color w:val="auto"/>
        </w:rPr>
        <w:t>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generally in the range of 10% to 85% at December 31, 2019. As these discounts are not readily observable and are considered significant, the valuations have been classified as Level 3. Automobile collateral is typically valued by reference to independent pricing sources based on recent sales transactions of similar vehicles, and the related non-recurring fair value measurement adjustments have been classified as Level 2. Collateral values for other consumer installment loans are generally estimated based on historical recovery rates for similar types of loans. As these recovery rates are not readily observable by market participants, such valuation adjustments have been classified as Level 3. Loans subject to nonrecurring fair value measurement were $305 million at December 31, 2019, ($115 million and $190 million of which were classified as Level 2 and Level 3, respectively), $268 million at December 31, 2018 ($120 million and $148 million of which were classified as Level 2 and Level 3, respectively), and $210 million at December 31, 2017 ($145 million and $65 million of which were classified as Level 2 and Level 3, respectively). Changes in fair value recognized during the years ended December 31, 2019, 2018 and 2017 for partial charge-offs of loans and loan impairment reserves on loans held by the Company at the end of each of those years were decreases of $110 million, $83 million and $56 million, respectively.</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Assets taken in foreclosure of defaulted loans</w:t>
      </w:r>
    </w:p>
    <w:p>
      <w:pPr>
        <w:spacing w:after="0" w:line="25"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$21 million and $28 million at December 31, 2019 and December 31, 2018, respectively. Changes in fair value recognized during the years ended December 31, 2019, 2018 and 2017 for foreclosed assets held by the Company at the end of each of those years were not material.</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176" w:name="page177"/>
    <w:bookmarkEnd w:id="176"/>
    <w:p>
      <w:pPr>
        <w:spacing w:after="0"/>
        <w:rPr>
          <w:sz w:val="20"/>
          <w:szCs w:val="20"/>
          <w:color w:val="auto"/>
        </w:rPr>
      </w:pPr>
      <w:r>
        <w:rPr>
          <w:rFonts w:ascii="Arial" w:cs="Arial" w:eastAsia="Arial" w:hAnsi="Arial"/>
          <w:sz w:val="20"/>
          <w:szCs w:val="20"/>
          <w:b w:val="1"/>
          <w:bCs w:val="1"/>
          <w:i w:val="1"/>
          <w:iCs w:val="1"/>
          <w:color w:val="auto"/>
        </w:rPr>
        <w:t>Significant unobservable inputs to level 3 measurements</w:t>
      </w:r>
    </w:p>
    <w:p>
      <w:pPr>
        <w:spacing w:after="0" w:line="25" w:lineRule="exact"/>
        <w:rPr>
          <w:sz w:val="20"/>
          <w:szCs w:val="20"/>
          <w:color w:val="auto"/>
        </w:rPr>
      </w:pPr>
    </w:p>
    <w:p>
      <w:pPr>
        <w:ind w:right="160"/>
        <w:spacing w:after="0" w:line="256" w:lineRule="auto"/>
        <w:rPr>
          <w:sz w:val="20"/>
          <w:szCs w:val="20"/>
          <w:color w:val="auto"/>
        </w:rPr>
      </w:pPr>
      <w:r>
        <w:rPr>
          <w:rFonts w:ascii="Arial" w:cs="Arial" w:eastAsia="Arial" w:hAnsi="Arial"/>
          <w:sz w:val="20"/>
          <w:szCs w:val="20"/>
          <w:color w:val="auto"/>
        </w:rPr>
        <w:t>The following tables present quantitative information about significant unobservable inputs used in the fair value measurements for Level 3 assets and liabilities at December 31, 2019 and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Valuation</w:t>
            </w:r>
          </w:p>
        </w:tc>
        <w:tc>
          <w:tcPr>
            <w:tcW w:w="300" w:type="dxa"/>
            <w:vAlign w:val="bottom"/>
          </w:tcPr>
          <w:p>
            <w:pPr>
              <w:spacing w:after="0"/>
              <w:rPr>
                <w:sz w:val="14"/>
                <w:szCs w:val="14"/>
                <w:color w:val="auto"/>
              </w:rPr>
            </w:pPr>
          </w:p>
        </w:tc>
        <w:tc>
          <w:tcPr>
            <w:tcW w:w="18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8"/>
              </w:rPr>
              <w:t>Unobservable</w:t>
            </w:r>
          </w:p>
        </w:tc>
        <w:tc>
          <w:tcPr>
            <w:tcW w:w="2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45"/>
        </w:trPr>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400" w:type="dxa"/>
            <w:vAlign w:val="bottom"/>
            <w:vMerge w:val="restart"/>
          </w:tcPr>
          <w:p>
            <w:pPr>
              <w:spacing w:after="0"/>
              <w:rPr>
                <w:sz w:val="12"/>
                <w:szCs w:val="12"/>
                <w:color w:val="auto"/>
              </w:rPr>
            </w:pPr>
          </w:p>
        </w:tc>
        <w:tc>
          <w:tcPr>
            <w:tcW w:w="18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0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67"/>
        </w:trPr>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8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Technique</w:t>
            </w:r>
          </w:p>
        </w:tc>
        <w:tc>
          <w:tcPr>
            <w:tcW w:w="30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Inputs/Assumptions</w:t>
            </w:r>
          </w:p>
        </w:tc>
        <w:tc>
          <w:tcPr>
            <w:tcW w:w="42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(In thousands)</w:t>
            </w: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500" w:type="dxa"/>
            <w:vAlign w:val="bottom"/>
            <w:tcBorders>
              <w:bottom w:val="single" w:sz="8" w:color="auto"/>
            </w:tcBorders>
            <w:gridSpan w:val="4"/>
          </w:tcPr>
          <w:p>
            <w:pPr>
              <w:spacing w:after="0" w:line="184" w:lineRule="exact"/>
              <w:rPr>
                <w:sz w:val="20"/>
                <w:szCs w:val="20"/>
                <w:color w:val="auto"/>
              </w:rPr>
            </w:pPr>
            <w:r>
              <w:rPr>
                <w:rFonts w:ascii="Arial" w:cs="Arial" w:eastAsia="Arial" w:hAnsi="Arial"/>
                <w:sz w:val="18"/>
                <w:szCs w:val="18"/>
                <w:color w:val="auto"/>
                <w:w w:val="94"/>
              </w:rPr>
              <w:t>Recurring fair value</w:t>
            </w:r>
          </w:p>
        </w:tc>
        <w:tc>
          <w:tcPr>
            <w:tcW w:w="1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20" w:type="dxa"/>
            <w:vAlign w:val="bottom"/>
            <w:gridSpan w:val="5"/>
          </w:tcPr>
          <w:p>
            <w:pPr>
              <w:ind w:left="140"/>
              <w:spacing w:after="0" w:line="190" w:lineRule="exact"/>
              <w:rPr>
                <w:sz w:val="20"/>
                <w:szCs w:val="20"/>
                <w:color w:val="auto"/>
              </w:rPr>
            </w:pPr>
            <w:r>
              <w:rPr>
                <w:rFonts w:ascii="Arial" w:cs="Arial" w:eastAsia="Arial" w:hAnsi="Arial"/>
                <w:sz w:val="18"/>
                <w:szCs w:val="18"/>
                <w:color w:val="auto"/>
              </w:rPr>
              <w:t>measurements</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92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Privately issued mortgage-</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8"/>
                <w:szCs w:val="18"/>
                <w:color w:val="auto"/>
                <w:w w:val="90"/>
              </w:rPr>
              <w:t>Two independent pricing</w:t>
            </w: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shd w:val="clear" w:color="auto" w:fill="CFF0FC"/>
          </w:tcPr>
          <w:p>
            <w:pPr>
              <w:spacing w:after="0"/>
              <w:rPr>
                <w:sz w:val="19"/>
                <w:szCs w:val="19"/>
                <w:color w:val="auto"/>
              </w:rPr>
            </w:pPr>
          </w:p>
        </w:tc>
        <w:tc>
          <w:tcPr>
            <w:tcW w:w="27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backed securities</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8"/>
                <w:szCs w:val="18"/>
                <w:color w:val="auto"/>
              </w:rPr>
              <w:t>quotes</w:t>
            </w:r>
          </w:p>
        </w:tc>
        <w:tc>
          <w:tcPr>
            <w:tcW w:w="30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gridSpan w:val="3"/>
          </w:tcPr>
          <w:p>
            <w:pPr>
              <w:ind w:left="300"/>
              <w:spacing w:after="0"/>
              <w:rPr>
                <w:sz w:val="20"/>
                <w:szCs w:val="20"/>
                <w:color w:val="auto"/>
              </w:rPr>
            </w:pPr>
            <w:r>
              <w:rPr>
                <w:rFonts w:ascii="Arial" w:cs="Arial" w:eastAsia="Arial" w:hAnsi="Arial"/>
                <w:sz w:val="18"/>
                <w:szCs w:val="18"/>
                <w:color w:val="auto"/>
              </w:rPr>
              <w:t>Commitment</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gridSpan w:val="5"/>
          </w:tcPr>
          <w:p>
            <w:pPr>
              <w:spacing w:after="0"/>
              <w:rPr>
                <w:sz w:val="20"/>
                <w:szCs w:val="20"/>
                <w:color w:val="auto"/>
              </w:rPr>
            </w:pPr>
            <w:r>
              <w:rPr>
                <w:rFonts w:ascii="Arial" w:cs="Arial" w:eastAsia="Arial" w:hAnsi="Arial"/>
                <w:sz w:val="18"/>
                <w:szCs w:val="18"/>
                <w:color w:val="auto"/>
              </w:rPr>
              <w:t>Net other assets (liabilities) (a)</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10,740</w:t>
            </w:r>
          </w:p>
        </w:tc>
        <w:tc>
          <w:tcPr>
            <w:tcW w:w="40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Discounted cash flow</w:t>
            </w:r>
          </w:p>
        </w:tc>
        <w:tc>
          <w:tcPr>
            <w:tcW w:w="2160" w:type="dxa"/>
            <w:vAlign w:val="bottom"/>
            <w:gridSpan w:val="3"/>
          </w:tcPr>
          <w:p>
            <w:pPr>
              <w:ind w:left="300"/>
              <w:spacing w:after="0"/>
              <w:rPr>
                <w:sz w:val="20"/>
                <w:szCs w:val="20"/>
                <w:color w:val="auto"/>
              </w:rPr>
            </w:pPr>
            <w:r>
              <w:rPr>
                <w:rFonts w:ascii="Arial" w:cs="Arial" w:eastAsia="Arial" w:hAnsi="Arial"/>
                <w:sz w:val="18"/>
                <w:szCs w:val="18"/>
                <w:color w:val="auto"/>
              </w:rPr>
              <w:t>expirations</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0%-99% (13%)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gridSpan w:val="5"/>
          </w:tcPr>
          <w:p>
            <w:pPr>
              <w:spacing w:after="0"/>
              <w:rPr>
                <w:sz w:val="20"/>
                <w:szCs w:val="20"/>
                <w:color w:val="auto"/>
              </w:rPr>
            </w:pPr>
            <w:r>
              <w:rPr>
                <w:rFonts w:ascii="Arial" w:cs="Arial" w:eastAsia="Arial" w:hAnsi="Arial"/>
                <w:sz w:val="18"/>
                <w:szCs w:val="18"/>
                <w:color w:val="auto"/>
              </w:rPr>
              <w:t>December 31, 2018</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420" w:type="dxa"/>
            <w:vAlign w:val="bottom"/>
            <w:tcBorders>
              <w:bottom w:val="single" w:sz="8" w:color="auto"/>
            </w:tcBorders>
            <w:gridSpan w:val="3"/>
            <w:shd w:val="clear" w:color="auto" w:fill="CFF0FC"/>
          </w:tcPr>
          <w:p>
            <w:pPr>
              <w:spacing w:after="0" w:line="184" w:lineRule="exact"/>
              <w:rPr>
                <w:sz w:val="20"/>
                <w:szCs w:val="20"/>
                <w:color w:val="auto"/>
              </w:rPr>
            </w:pPr>
            <w:r>
              <w:rPr>
                <w:rFonts w:ascii="Arial" w:cs="Arial" w:eastAsia="Arial" w:hAnsi="Arial"/>
                <w:sz w:val="18"/>
                <w:szCs w:val="18"/>
                <w:color w:val="auto"/>
                <w:w w:val="89"/>
              </w:rPr>
              <w:t>Recurring fair value</w:t>
            </w:r>
          </w:p>
        </w:tc>
        <w:tc>
          <w:tcPr>
            <w:tcW w:w="1500" w:type="dxa"/>
            <w:vAlign w:val="bottom"/>
            <w:tcBorders>
              <w:bottom w:val="single" w:sz="8" w:color="CFF0FC"/>
            </w:tcBorders>
            <w:gridSpan w:val="2"/>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18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44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CFF0FC"/>
            </w:tcBorders>
            <w:shd w:val="clear" w:color="auto" w:fill="CFF0FC"/>
          </w:tcPr>
          <w:p>
            <w:pPr>
              <w:spacing w:after="0"/>
              <w:rPr>
                <w:sz w:val="16"/>
                <w:szCs w:val="16"/>
                <w:color w:val="auto"/>
              </w:rPr>
            </w:pPr>
          </w:p>
        </w:tc>
        <w:tc>
          <w:tcPr>
            <w:tcW w:w="19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20" w:type="dxa"/>
            <w:vAlign w:val="bottom"/>
            <w:gridSpan w:val="5"/>
            <w:shd w:val="clear" w:color="auto" w:fill="CFF0FC"/>
          </w:tcPr>
          <w:p>
            <w:pPr>
              <w:ind w:left="140"/>
              <w:spacing w:after="0" w:line="190" w:lineRule="exact"/>
              <w:rPr>
                <w:sz w:val="20"/>
                <w:szCs w:val="20"/>
                <w:color w:val="auto"/>
              </w:rPr>
            </w:pPr>
            <w:r>
              <w:rPr>
                <w:rFonts w:ascii="Arial" w:cs="Arial" w:eastAsia="Arial" w:hAnsi="Arial"/>
                <w:sz w:val="18"/>
                <w:szCs w:val="18"/>
                <w:color w:val="auto"/>
              </w:rPr>
              <w:t>measurements</w:t>
            </w:r>
          </w:p>
        </w:tc>
        <w:tc>
          <w:tcPr>
            <w:tcW w:w="7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8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40" w:type="dxa"/>
            <w:vAlign w:val="bottom"/>
            <w:shd w:val="clear" w:color="auto" w:fill="CFF0FC"/>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142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1180" w:type="dxa"/>
            <w:vAlign w:val="bottom"/>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1800" w:type="dxa"/>
            <w:vAlign w:val="bottom"/>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1440" w:type="dxa"/>
            <w:vAlign w:val="bottom"/>
            <w:shd w:val="clear" w:color="auto" w:fill="CFF0FC"/>
          </w:tcPr>
          <w:p>
            <w:pPr>
              <w:spacing w:after="0"/>
              <w:rPr>
                <w:sz w:val="3"/>
                <w:szCs w:val="3"/>
                <w:color w:val="auto"/>
              </w:rPr>
            </w:pPr>
          </w:p>
        </w:tc>
        <w:tc>
          <w:tcPr>
            <w:tcW w:w="420" w:type="dxa"/>
            <w:vAlign w:val="bottom"/>
            <w:shd w:val="clear" w:color="auto" w:fill="CFF0FC"/>
          </w:tcPr>
          <w:p>
            <w:pPr>
              <w:spacing w:after="0"/>
              <w:rPr>
                <w:sz w:val="3"/>
                <w:szCs w:val="3"/>
                <w:color w:val="auto"/>
              </w:rPr>
            </w:pPr>
          </w:p>
        </w:tc>
        <w:tc>
          <w:tcPr>
            <w:tcW w:w="19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2920" w:type="dxa"/>
            <w:vAlign w:val="bottom"/>
            <w:gridSpan w:val="5"/>
          </w:tcPr>
          <w:p>
            <w:pPr>
              <w:spacing w:after="0"/>
              <w:rPr>
                <w:sz w:val="20"/>
                <w:szCs w:val="20"/>
                <w:color w:val="auto"/>
              </w:rPr>
            </w:pPr>
            <w:r>
              <w:rPr>
                <w:rFonts w:ascii="Arial" w:cs="Arial" w:eastAsia="Arial" w:hAnsi="Arial"/>
                <w:sz w:val="18"/>
                <w:szCs w:val="18"/>
                <w:color w:val="auto"/>
              </w:rPr>
              <w:t>Privately issued mortgage-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w w:val="90"/>
              </w:rPr>
              <w:t>Two independent pricing</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backed securities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quotes</w:t>
            </w:r>
          </w:p>
        </w:tc>
        <w:tc>
          <w:tcPr>
            <w:tcW w:w="300" w:type="dxa"/>
            <w:vAlign w:val="bottom"/>
          </w:tcPr>
          <w:p>
            <w:pPr>
              <w:spacing w:after="0"/>
              <w:rPr>
                <w:sz w:val="19"/>
                <w:szCs w:val="19"/>
                <w:color w:val="auto"/>
              </w:rPr>
            </w:pPr>
          </w:p>
        </w:tc>
        <w:tc>
          <w:tcPr>
            <w:tcW w:w="1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2160" w:type="dxa"/>
            <w:vAlign w:val="bottom"/>
            <w:gridSpan w:val="3"/>
            <w:shd w:val="clear" w:color="auto" w:fill="CFF0FC"/>
          </w:tcPr>
          <w:p>
            <w:pPr>
              <w:ind w:left="300"/>
              <w:spacing w:after="0"/>
              <w:rPr>
                <w:sz w:val="20"/>
                <w:szCs w:val="20"/>
                <w:color w:val="auto"/>
              </w:rPr>
            </w:pPr>
            <w:r>
              <w:rPr>
                <w:rFonts w:ascii="Arial" w:cs="Arial" w:eastAsia="Arial" w:hAnsi="Arial"/>
                <w:sz w:val="18"/>
                <w:szCs w:val="18"/>
                <w:color w:val="auto"/>
              </w:rPr>
              <w:t>Commitment</w:t>
            </w:r>
          </w:p>
        </w:tc>
        <w:tc>
          <w:tcPr>
            <w:tcW w:w="1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Net other assets (liabilities) (a)</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7,712</w:t>
            </w:r>
          </w:p>
        </w:tc>
        <w:tc>
          <w:tcPr>
            <w:tcW w:w="4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2160" w:type="dxa"/>
            <w:vAlign w:val="bottom"/>
            <w:gridSpan w:val="3"/>
            <w:shd w:val="clear" w:color="auto" w:fill="CFF0FC"/>
          </w:tcPr>
          <w:p>
            <w:pPr>
              <w:ind w:left="300"/>
              <w:spacing w:after="0"/>
              <w:rPr>
                <w:sz w:val="20"/>
                <w:szCs w:val="20"/>
                <w:color w:val="auto"/>
              </w:rPr>
            </w:pPr>
            <w:r>
              <w:rPr>
                <w:rFonts w:ascii="Arial" w:cs="Arial" w:eastAsia="Arial" w:hAnsi="Arial"/>
                <w:sz w:val="18"/>
                <w:szCs w:val="18"/>
                <w:color w:val="auto"/>
              </w:rPr>
              <w:t>expirations</w:t>
            </w:r>
          </w:p>
        </w:tc>
        <w:tc>
          <w:tcPr>
            <w:tcW w:w="1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0%-95% (13%)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hanging="595"/>
        <w:spacing w:after="0"/>
        <w:tabs>
          <w:tab w:leader="none" w:pos="60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Sensitivity of fair value measurements to changes in unobservable inputs</w:t>
      </w:r>
    </w:p>
    <w:p>
      <w:pPr>
        <w:spacing w:after="0" w:line="25" w:lineRule="exact"/>
        <w:rPr>
          <w:sz w:val="20"/>
          <w:szCs w:val="20"/>
          <w:color w:val="auto"/>
        </w:rPr>
      </w:pPr>
    </w:p>
    <w:p>
      <w:pPr>
        <w:jc w:val="both"/>
        <w:ind w:right="40"/>
        <w:spacing w:after="0" w:line="251" w:lineRule="auto"/>
        <w:rPr>
          <w:sz w:val="20"/>
          <w:szCs w:val="20"/>
          <w:color w:val="auto"/>
        </w:rPr>
      </w:pPr>
      <w:r>
        <w:rPr>
          <w:rFonts w:ascii="Arial" w:cs="Arial" w:eastAsia="Arial" w:hAnsi="Arial"/>
          <w:sz w:val="20"/>
          <w:szCs w:val="20"/>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177" w:name="page178"/>
    <w:bookmarkEnd w:id="177"/>
    <w:p>
      <w:pPr>
        <w:spacing w:after="0"/>
        <w:rPr>
          <w:sz w:val="20"/>
          <w:szCs w:val="20"/>
          <w:color w:val="auto"/>
        </w:rPr>
      </w:pPr>
      <w:r>
        <w:rPr>
          <w:rFonts w:ascii="Arial" w:cs="Arial" w:eastAsia="Arial" w:hAnsi="Arial"/>
          <w:sz w:val="20"/>
          <w:szCs w:val="20"/>
          <w:b w:val="1"/>
          <w:bCs w:val="1"/>
          <w:i w:val="1"/>
          <w:iCs w:val="1"/>
          <w:color w:val="auto"/>
        </w:rPr>
        <w:t>Disclosures of fair value of financial instruments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The carrying amounts and estimated fair value for financial instrument assets (liabilities) are presented in the following tables: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8"/>
              </w:rPr>
              <w:t>December 31, 2019</w:t>
            </w: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rPr>
              <w:t>Carrying</w:t>
            </w:r>
          </w:p>
        </w:tc>
        <w:tc>
          <w:tcPr>
            <w:tcW w:w="1340" w:type="dxa"/>
            <w:vAlign w:val="bottom"/>
            <w:gridSpan w:val="2"/>
          </w:tcPr>
          <w:p>
            <w:pPr>
              <w:jc w:val="right"/>
              <w:ind w:right="350"/>
              <w:spacing w:after="0" w:line="129" w:lineRule="exact"/>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1"/>
                <w:szCs w:val="11"/>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Level 1</w:t>
            </w:r>
          </w:p>
        </w:tc>
        <w:tc>
          <w:tcPr>
            <w:tcW w:w="14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Level 2</w:t>
            </w:r>
          </w:p>
        </w:tc>
        <w:tc>
          <w:tcPr>
            <w:tcW w:w="124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34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center"/>
              <w:ind w:right="260"/>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1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1,432,805</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1,432,805</w:t>
            </w: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1,394,984</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37,821</w:t>
            </w:r>
          </w:p>
        </w:tc>
        <w:tc>
          <w:tcPr>
            <w:tcW w:w="16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Interest-bearing deposits at banks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7,190,154</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7,190,154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7,190,154</w:t>
            </w:r>
          </w:p>
        </w:tc>
        <w:tc>
          <w:tcPr>
            <w:tcW w:w="16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80" w:type="dxa"/>
            <w:vAlign w:val="bottom"/>
          </w:tcPr>
          <w:p>
            <w:pPr>
              <w:ind w:left="240"/>
              <w:spacing w:after="0"/>
              <w:rPr>
                <w:sz w:val="20"/>
                <w:szCs w:val="20"/>
                <w:color w:val="auto"/>
              </w:rPr>
            </w:pPr>
            <w:r>
              <w:rPr>
                <w:rFonts w:ascii="Arial" w:cs="Arial" w:eastAsia="Arial" w:hAnsi="Arial"/>
                <w:sz w:val="18"/>
                <w:szCs w:val="18"/>
                <w:color w:val="auto"/>
              </w:rPr>
              <w:t>Federal funds sold</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Trading account assets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470,129</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470,129</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49,040</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421,089</w:t>
            </w:r>
          </w:p>
        </w:tc>
        <w:tc>
          <w:tcPr>
            <w:tcW w:w="16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80" w:type="dxa"/>
            <w:vAlign w:val="bottom"/>
          </w:tcPr>
          <w:p>
            <w:pPr>
              <w:ind w:left="240"/>
              <w:spacing w:after="0"/>
              <w:rPr>
                <w:sz w:val="20"/>
                <w:szCs w:val="20"/>
                <w:color w:val="auto"/>
              </w:rPr>
            </w:pPr>
            <w:r>
              <w:rPr>
                <w:rFonts w:ascii="Arial" w:cs="Arial" w:eastAsia="Arial" w:hAnsi="Arial"/>
                <w:sz w:val="18"/>
                <w:szCs w:val="18"/>
                <w:color w:val="auto"/>
              </w:rPr>
              <w:t>Investment securities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9,497,251</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9,539,540</w:t>
            </w: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100,637</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9,351,793</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87,110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and leases: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480"/>
              <w:spacing w:after="0"/>
              <w:rPr>
                <w:sz w:val="20"/>
                <w:szCs w:val="20"/>
                <w:color w:val="auto"/>
              </w:rPr>
            </w:pPr>
            <w:r>
              <w:rPr>
                <w:rFonts w:ascii="Arial" w:cs="Arial" w:eastAsia="Arial" w:hAnsi="Arial"/>
                <w:sz w:val="18"/>
                <w:szCs w:val="18"/>
                <w:color w:val="auto"/>
              </w:rPr>
              <w:t>Commercial loans and leases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23,838,168</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23,510,908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23,510,908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real estate loans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35,541,914</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35,517,180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28,338</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35,488,842</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480"/>
              <w:spacing w:after="0"/>
              <w:rPr>
                <w:sz w:val="20"/>
                <w:szCs w:val="20"/>
                <w:color w:val="auto"/>
              </w:rPr>
            </w:pPr>
            <w:r>
              <w:rPr>
                <w:rFonts w:ascii="Arial" w:cs="Arial" w:eastAsia="Arial" w:hAnsi="Arial"/>
                <w:sz w:val="18"/>
                <w:szCs w:val="18"/>
                <w:color w:val="auto"/>
              </w:rPr>
              <w:t>Residential real estate loans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16,156,094</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16,227,274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3,990,848</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12,236,426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Consumer loans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15,386,693</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15,413,262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15,413,262</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480"/>
              <w:spacing w:after="0"/>
              <w:rPr>
                <w:sz w:val="20"/>
                <w:szCs w:val="20"/>
                <w:color w:val="auto"/>
              </w:rPr>
            </w:pPr>
            <w:r>
              <w:rPr>
                <w:rFonts w:ascii="Arial" w:cs="Arial" w:eastAsia="Arial" w:hAnsi="Arial"/>
                <w:sz w:val="18"/>
                <w:szCs w:val="18"/>
                <w:color w:val="auto"/>
              </w:rPr>
              <w:t>Allowance for credit losses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(1,051,071)</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88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Loans and leases, net</w:t>
            </w:r>
          </w:p>
        </w:tc>
        <w:tc>
          <w:tcPr>
            <w:tcW w:w="9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89,871,798</w:t>
            </w:r>
          </w:p>
        </w:tc>
        <w:tc>
          <w:tcPr>
            <w:tcW w:w="16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90,668,624</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4,019,186</w:t>
            </w:r>
          </w:p>
        </w:tc>
        <w:tc>
          <w:tcPr>
            <w:tcW w:w="16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86,649,438</w:t>
            </w:r>
          </w:p>
        </w:tc>
        <w:tc>
          <w:tcPr>
            <w:tcW w:w="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240"/>
              <w:spacing w:after="0"/>
              <w:rPr>
                <w:sz w:val="20"/>
                <w:szCs w:val="20"/>
                <w:color w:val="auto"/>
              </w:rPr>
            </w:pPr>
            <w:r>
              <w:rPr>
                <w:rFonts w:ascii="Arial" w:cs="Arial" w:eastAsia="Arial" w:hAnsi="Arial"/>
                <w:sz w:val="18"/>
                <w:szCs w:val="18"/>
                <w:color w:val="auto"/>
              </w:rPr>
              <w:t>Accrued interest receivable</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333,142</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333,142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333,142</w:t>
            </w:r>
          </w:p>
        </w:tc>
        <w:tc>
          <w:tcPr>
            <w:tcW w:w="16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240"/>
              <w:spacing w:after="0"/>
              <w:rPr>
                <w:sz w:val="20"/>
                <w:szCs w:val="20"/>
                <w:color w:val="auto"/>
              </w:rPr>
            </w:pPr>
            <w:r>
              <w:rPr>
                <w:rFonts w:ascii="Arial" w:cs="Arial" w:eastAsia="Arial" w:hAnsi="Arial"/>
                <w:sz w:val="18"/>
                <w:szCs w:val="18"/>
                <w:color w:val="auto"/>
              </w:rPr>
              <w:t>Noninterest-bearing deposits</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(32,396,407)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(32,396,407)</w:t>
            </w:r>
          </w:p>
        </w:tc>
        <w:tc>
          <w:tcPr>
            <w:tcW w:w="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(32,396,407)</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Savings and interest-checking deposits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(54,932,162)</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(54,932,162)</w:t>
            </w:r>
          </w:p>
        </w:tc>
        <w:tc>
          <w:tcPr>
            <w:tcW w:w="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(54,932,162)</w:t>
            </w:r>
          </w:p>
        </w:tc>
        <w:tc>
          <w:tcPr>
            <w:tcW w:w="12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80" w:type="dxa"/>
            <w:vAlign w:val="bottom"/>
          </w:tcPr>
          <w:p>
            <w:pPr>
              <w:ind w:left="240"/>
              <w:spacing w:after="0"/>
              <w:rPr>
                <w:sz w:val="20"/>
                <w:szCs w:val="20"/>
                <w:color w:val="auto"/>
              </w:rPr>
            </w:pPr>
            <w:r>
              <w:rPr>
                <w:rFonts w:ascii="Arial" w:cs="Arial" w:eastAsia="Arial" w:hAnsi="Arial"/>
                <w:sz w:val="18"/>
                <w:szCs w:val="18"/>
                <w:color w:val="auto"/>
              </w:rPr>
              <w:t>Time deposits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(5,757,456)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(5,829,347)</w:t>
            </w:r>
          </w:p>
        </w:tc>
        <w:tc>
          <w:tcPr>
            <w:tcW w:w="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(5,829,347)</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Deposits at Cayman Islands office</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(1,684,044)</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(1,684,044)</w:t>
            </w:r>
          </w:p>
        </w:tc>
        <w:tc>
          <w:tcPr>
            <w:tcW w:w="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(1,684,044)</w:t>
            </w:r>
          </w:p>
        </w:tc>
        <w:tc>
          <w:tcPr>
            <w:tcW w:w="12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80" w:type="dxa"/>
            <w:vAlign w:val="bottom"/>
          </w:tcPr>
          <w:p>
            <w:pPr>
              <w:ind w:left="240"/>
              <w:spacing w:after="0"/>
              <w:rPr>
                <w:sz w:val="20"/>
                <w:szCs w:val="20"/>
                <w:color w:val="auto"/>
              </w:rPr>
            </w:pPr>
            <w:r>
              <w:rPr>
                <w:rFonts w:ascii="Arial" w:cs="Arial" w:eastAsia="Arial" w:hAnsi="Arial"/>
                <w:sz w:val="18"/>
                <w:szCs w:val="18"/>
                <w:color w:val="auto"/>
              </w:rPr>
              <w:t>Short-term borrowings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(62,363)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(62,363)</w:t>
            </w:r>
          </w:p>
        </w:tc>
        <w:tc>
          <w:tcPr>
            <w:tcW w:w="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(62,363)</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 borrowings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(6,986,186)</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(7,063,165)</w:t>
            </w:r>
          </w:p>
        </w:tc>
        <w:tc>
          <w:tcPr>
            <w:tcW w:w="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(7,063,165)</w:t>
            </w:r>
          </w:p>
        </w:tc>
        <w:tc>
          <w:tcPr>
            <w:tcW w:w="12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80" w:type="dxa"/>
            <w:vAlign w:val="bottom"/>
          </w:tcPr>
          <w:p>
            <w:pPr>
              <w:ind w:left="240"/>
              <w:spacing w:after="0"/>
              <w:rPr>
                <w:sz w:val="20"/>
                <w:szCs w:val="20"/>
                <w:color w:val="auto"/>
              </w:rPr>
            </w:pPr>
            <w:r>
              <w:rPr>
                <w:rFonts w:ascii="Arial" w:cs="Arial" w:eastAsia="Arial" w:hAnsi="Arial"/>
                <w:sz w:val="18"/>
                <w:szCs w:val="18"/>
                <w:color w:val="auto"/>
              </w:rPr>
              <w:t>Accrued interest payable</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(105,374)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(105,374)</w:t>
            </w:r>
          </w:p>
        </w:tc>
        <w:tc>
          <w:tcPr>
            <w:tcW w:w="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(105,374)</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Trading account liabilities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(79,903)</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(79,903)</w:t>
            </w:r>
          </w:p>
        </w:tc>
        <w:tc>
          <w:tcPr>
            <w:tcW w:w="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(79,903)</w:t>
            </w:r>
          </w:p>
        </w:tc>
        <w:tc>
          <w:tcPr>
            <w:tcW w:w="12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Other financial instruments: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Commitments to originate real estate</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loans for sale</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10,740</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10,740</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240"/>
              <w:spacing w:after="0"/>
              <w:rPr>
                <w:sz w:val="20"/>
                <w:szCs w:val="20"/>
                <w:color w:val="auto"/>
              </w:rPr>
            </w:pPr>
            <w:r>
              <w:rPr>
                <w:rFonts w:ascii="Arial" w:cs="Arial" w:eastAsia="Arial" w:hAnsi="Arial"/>
                <w:sz w:val="18"/>
                <w:szCs w:val="18"/>
                <w:color w:val="auto"/>
              </w:rPr>
              <w:t>Commitments to sell real estate loans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credit-related commitments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(136,470)</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(136,470)</w:t>
            </w:r>
          </w:p>
        </w:tc>
        <w:tc>
          <w:tcPr>
            <w:tcW w:w="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(136,470)</w:t>
            </w:r>
          </w:p>
        </w:tc>
        <w:tc>
          <w:tcPr>
            <w:tcW w:w="0" w:type="dxa"/>
            <w:vAlign w:val="bottom"/>
          </w:tcPr>
          <w:p>
            <w:pPr>
              <w:spacing w:after="0"/>
              <w:rPr>
                <w:sz w:val="1"/>
                <w:szCs w:val="1"/>
                <w:color w:val="auto"/>
              </w:rPr>
            </w:pPr>
          </w:p>
        </w:tc>
      </w:tr>
      <w:tr>
        <w:trPr>
          <w:trHeight w:val="211"/>
        </w:trPr>
        <w:tc>
          <w:tcPr>
            <w:tcW w:w="3880" w:type="dxa"/>
            <w:vAlign w:val="bottom"/>
          </w:tcPr>
          <w:p>
            <w:pPr>
              <w:ind w:left="240"/>
              <w:spacing w:after="0"/>
              <w:rPr>
                <w:sz w:val="20"/>
                <w:szCs w:val="20"/>
                <w:color w:val="auto"/>
              </w:rPr>
            </w:pPr>
            <w:r>
              <w:rPr>
                <w:rFonts w:ascii="Arial" w:cs="Arial" w:eastAsia="Arial" w:hAnsi="Arial"/>
                <w:sz w:val="18"/>
                <w:szCs w:val="18"/>
                <w:color w:val="auto"/>
              </w:rPr>
              <w:t>Interest rate swap agreements used for</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380"/>
              <w:spacing w:after="0"/>
              <w:rPr>
                <w:sz w:val="20"/>
                <w:szCs w:val="20"/>
                <w:color w:val="auto"/>
              </w:rPr>
            </w:pPr>
            <w:r>
              <w:rPr>
                <w:rFonts w:ascii="Arial" w:cs="Arial" w:eastAsia="Arial" w:hAnsi="Arial"/>
                <w:sz w:val="18"/>
                <w:szCs w:val="18"/>
                <w:color w:val="auto"/>
              </w:rPr>
              <w:t>interest rate risk management</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(1,762)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(1,762)</w:t>
            </w:r>
          </w:p>
        </w:tc>
        <w:tc>
          <w:tcPr>
            <w:tcW w:w="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(1,762)</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1"/>
        </w:trPr>
        <w:tc>
          <w:tcPr>
            <w:tcW w:w="3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8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652" w:right="19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167"/>
        </w:trPr>
        <w:tc>
          <w:tcPr>
            <w:tcW w:w="5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rPr>
              <w:t>Carrying</w:t>
            </w:r>
          </w:p>
        </w:tc>
        <w:tc>
          <w:tcPr>
            <w:tcW w:w="108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1"/>
                <w:szCs w:val="11"/>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1</w:t>
            </w:r>
          </w:p>
        </w:tc>
        <w:tc>
          <w:tcPr>
            <w:tcW w:w="13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Level 2</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7"/>
        </w:trPr>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3"/>
          </w:tcPr>
          <w:p>
            <w:pPr>
              <w:jc w:val="center"/>
              <w:ind w:right="14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9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1,605,439</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1,605,439</w:t>
            </w: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1,528,302</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77,137</w:t>
            </w:r>
          </w:p>
        </w:tc>
        <w:tc>
          <w:tcPr>
            <w:tcW w:w="3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8,105,197</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8,105,197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8,105,197</w:t>
            </w: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185,584</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185,584</w:t>
            </w: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46,018</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139,566</w:t>
            </w:r>
          </w:p>
        </w:tc>
        <w:tc>
          <w:tcPr>
            <w:tcW w:w="3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12,692,813</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12,631,656</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71,989</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12,456,467</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loans and leases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22,977,976</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22,587,387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22,587,387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480"/>
              <w:spacing w:after="0"/>
              <w:rPr>
                <w:sz w:val="20"/>
                <w:szCs w:val="20"/>
                <w:color w:val="auto"/>
              </w:rPr>
            </w:pPr>
            <w:r>
              <w:rPr>
                <w:rFonts w:ascii="Arial" w:cs="Arial" w:eastAsia="Arial" w:hAnsi="Arial"/>
                <w:sz w:val="18"/>
                <w:szCs w:val="18"/>
                <w:color w:val="auto"/>
              </w:rPr>
              <w:t>Commercial real estate loans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34,363,556</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33,832,558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346,775</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33,485,783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Residential real estate loans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17,154,446</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16,974,545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3,920,447</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13,054,098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480"/>
              <w:spacing w:after="0"/>
              <w:rPr>
                <w:sz w:val="20"/>
                <w:szCs w:val="20"/>
                <w:color w:val="auto"/>
              </w:rPr>
            </w:pPr>
            <w:r>
              <w:rPr>
                <w:rFonts w:ascii="Arial" w:cs="Arial" w:eastAsia="Arial" w:hAnsi="Arial"/>
                <w:sz w:val="18"/>
                <w:szCs w:val="18"/>
                <w:color w:val="auto"/>
              </w:rPr>
              <w:t>Consumer loans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13,970,499</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13,819,545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13,819,545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9"/>
              </w:rPr>
              <w:t>(1,019,444)</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ind w:left="72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87,447,033</w:t>
            </w:r>
          </w:p>
        </w:tc>
        <w:tc>
          <w:tcPr>
            <w:tcW w:w="3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87,214,035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4,267,222</w:t>
            </w:r>
          </w:p>
        </w:tc>
        <w:tc>
          <w:tcPr>
            <w:tcW w:w="3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82,946,813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353,965</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353,965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353,965</w:t>
            </w: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0"/>
              </w:rPr>
              <w:t>(32,256,668)</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7"/>
              </w:rPr>
              <w:t>(32,256,668)</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w w:val="97"/>
              </w:rPr>
              <w:t>(32,256,668)</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Savings and interest-checking deposits</w:t>
            </w:r>
          </w:p>
        </w:tc>
        <w:tc>
          <w:tcPr>
            <w:tcW w:w="1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(50,963,744)</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(50,963,744)</w:t>
            </w:r>
          </w:p>
        </w:tc>
        <w:tc>
          <w:tcPr>
            <w:tcW w:w="2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(50,963,744)</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9"/>
              </w:rPr>
              <w:t>(6,124,254)</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(6,201,957)</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(6,201,957)</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(811,906)</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(811,906)</w:t>
            </w:r>
          </w:p>
        </w:tc>
        <w:tc>
          <w:tcPr>
            <w:tcW w:w="2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(811,906)</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9"/>
              </w:rPr>
              <w:t>(4,398,378)</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(4,398,378)</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(4,398,378)</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(8,444,914)</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(8,385,289)</w:t>
            </w:r>
          </w:p>
        </w:tc>
        <w:tc>
          <w:tcPr>
            <w:tcW w:w="2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(8,385,289)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(95,274)</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(95,274)</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(95,274)</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Trading account liabilities</w:t>
            </w:r>
          </w:p>
        </w:tc>
        <w:tc>
          <w:tcPr>
            <w:tcW w:w="1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(178,125)</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(178,125)</w:t>
            </w:r>
          </w:p>
        </w:tc>
        <w:tc>
          <w:tcPr>
            <w:tcW w:w="2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(178,125)</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instruments: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300" w:type="dxa"/>
            <w:vAlign w:val="bottom"/>
          </w:tcPr>
          <w:p>
            <w:pPr>
              <w:ind w:left="240"/>
              <w:spacing w:after="0"/>
              <w:rPr>
                <w:sz w:val="20"/>
                <w:szCs w:val="20"/>
                <w:color w:val="auto"/>
              </w:rPr>
            </w:pPr>
            <w:r>
              <w:rPr>
                <w:rFonts w:ascii="Arial" w:cs="Arial" w:eastAsia="Arial" w:hAnsi="Arial"/>
                <w:sz w:val="18"/>
                <w:szCs w:val="18"/>
                <w:color w:val="auto"/>
              </w:rPr>
              <w:t>Commitments to originate real estate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00" w:type="dxa"/>
            <w:vAlign w:val="bottom"/>
          </w:tcPr>
          <w:p>
            <w:pPr>
              <w:ind w:left="380"/>
              <w:spacing w:after="0"/>
              <w:rPr>
                <w:sz w:val="20"/>
                <w:szCs w:val="20"/>
                <w:color w:val="auto"/>
              </w:rPr>
            </w:pPr>
            <w:r>
              <w:rPr>
                <w:rFonts w:ascii="Arial" w:cs="Arial" w:eastAsia="Arial" w:hAnsi="Arial"/>
                <w:sz w:val="18"/>
                <w:szCs w:val="18"/>
                <w:color w:val="auto"/>
              </w:rPr>
              <w:t>loans for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7,712</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(6,177)</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(6,177)</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(6,177)</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Other credit-related commitments</w:t>
            </w:r>
          </w:p>
        </w:tc>
        <w:tc>
          <w:tcPr>
            <w:tcW w:w="1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(131,688)</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(131,688)</w:t>
            </w:r>
          </w:p>
        </w:tc>
        <w:tc>
          <w:tcPr>
            <w:tcW w:w="2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(131,688)</w:t>
            </w:r>
          </w:p>
        </w:tc>
        <w:tc>
          <w:tcPr>
            <w:tcW w:w="0" w:type="dxa"/>
            <w:vAlign w:val="bottom"/>
          </w:tcPr>
          <w:p>
            <w:pPr>
              <w:spacing w:after="0"/>
              <w:rPr>
                <w:sz w:val="1"/>
                <w:szCs w:val="1"/>
                <w:color w:val="auto"/>
              </w:rPr>
            </w:pPr>
          </w:p>
        </w:tc>
      </w:tr>
      <w:tr>
        <w:trPr>
          <w:trHeight w:val="211"/>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rate swap agreements used for interest</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rate risk management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w:t>
            </w: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firstLine="598"/>
        <w:spacing w:after="0" w:line="249" w:lineRule="auto"/>
        <w:rPr>
          <w:sz w:val="20"/>
          <w:szCs w:val="20"/>
          <w:color w:val="auto"/>
        </w:rPr>
      </w:pPr>
      <w:r>
        <w:rPr>
          <w:rFonts w:ascii="Arial" w:cs="Arial" w:eastAsia="Arial" w:hAnsi="Arial"/>
          <w:sz w:val="20"/>
          <w:szCs w:val="20"/>
          <w:color w:val="auto"/>
        </w:rPr>
        <w:t>With the exception of marketable securities, certain off-balance sheet financial instruments and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w:t>
      </w:r>
    </w:p>
    <w:p>
      <w:pPr>
        <w:spacing w:after="0" w:line="3" w:lineRule="exact"/>
        <w:rPr>
          <w:sz w:val="20"/>
          <w:szCs w:val="20"/>
          <w:color w:val="auto"/>
        </w:rPr>
      </w:pPr>
    </w:p>
    <w:p>
      <w:pPr>
        <w:ind w:right="20" w:firstLine="598"/>
        <w:spacing w:after="0" w:line="263" w:lineRule="auto"/>
        <w:rPr>
          <w:sz w:val="20"/>
          <w:szCs w:val="20"/>
          <w:color w:val="auto"/>
        </w:rPr>
      </w:pPr>
      <w:r>
        <w:rPr>
          <w:rFonts w:ascii="Arial" w:cs="Arial" w:eastAsia="Arial" w:hAnsi="Arial"/>
          <w:sz w:val="19"/>
          <w:szCs w:val="19"/>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color w:val="auto"/>
        </w:rPr>
        <w:t>date, the amounts actually realized or paid upon maturity or settlement of the various financial instruments could be significantly different.</w:t>
      </w:r>
    </w:p>
    <w:p>
      <w:pPr>
        <w:spacing w:after="0" w:line="200" w:lineRule="exact"/>
        <w:rPr>
          <w:sz w:val="20"/>
          <w:szCs w:val="20"/>
          <w:color w:val="auto"/>
        </w:rPr>
      </w:pPr>
    </w:p>
    <w:p>
      <w:pPr>
        <w:spacing w:after="0" w:line="22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7"/>
          <w:szCs w:val="17"/>
          <w:b w:val="1"/>
          <w:bCs w:val="1"/>
          <w:color w:val="auto"/>
        </w:rPr>
        <w:t>Commitments and contingencies</w:t>
      </w:r>
    </w:p>
    <w:p>
      <w:pPr>
        <w:spacing w:after="0" w:line="29" w:lineRule="exact"/>
        <w:rPr>
          <w:sz w:val="20"/>
          <w:szCs w:val="20"/>
          <w:color w:val="auto"/>
        </w:rPr>
      </w:pPr>
    </w:p>
    <w:p>
      <w:pPr>
        <w:ind w:right="860"/>
        <w:spacing w:after="0" w:line="311"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60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1116"/>
              <w:spacing w:after="0" w:line="151" w:lineRule="exact"/>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jc w:val="right"/>
              <w:ind w:right="394"/>
              <w:spacing w:after="0" w:line="151"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1"/>
        </w:trPr>
        <w:tc>
          <w:tcPr>
            <w:tcW w:w="60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Pr>
          <w:p>
            <w:pPr>
              <w:jc w:val="right"/>
              <w:ind w:right="16"/>
              <w:spacing w:after="0" w:line="151"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extend credit</w:t>
            </w:r>
          </w:p>
        </w:tc>
        <w:tc>
          <w:tcPr>
            <w:tcW w:w="2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6020" w:type="dxa"/>
            <w:vAlign w:val="bottom"/>
          </w:tcPr>
          <w:p>
            <w:pPr>
              <w:ind w:left="240"/>
              <w:spacing w:after="0"/>
              <w:rPr>
                <w:sz w:val="20"/>
                <w:szCs w:val="20"/>
                <w:color w:val="auto"/>
              </w:rPr>
            </w:pPr>
            <w:r>
              <w:rPr>
                <w:rFonts w:ascii="Arial" w:cs="Arial" w:eastAsia="Arial" w:hAnsi="Arial"/>
                <w:sz w:val="18"/>
                <w:szCs w:val="18"/>
                <w:color w:val="auto"/>
              </w:rPr>
              <w:t>Home equity lines of credit</w:t>
            </w:r>
          </w:p>
        </w:tc>
        <w:tc>
          <w:tcPr>
            <w:tcW w:w="2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636"/>
              <w:spacing w:after="0"/>
              <w:rPr>
                <w:sz w:val="20"/>
                <w:szCs w:val="20"/>
                <w:color w:val="auto"/>
              </w:rPr>
            </w:pPr>
            <w:r>
              <w:rPr>
                <w:rFonts w:ascii="Arial" w:cs="Arial" w:eastAsia="Arial" w:hAnsi="Arial"/>
                <w:sz w:val="18"/>
                <w:szCs w:val="18"/>
                <w:color w:val="auto"/>
              </w:rPr>
              <w:t>5,442,160</w:t>
            </w:r>
          </w:p>
        </w:tc>
        <w:tc>
          <w:tcPr>
            <w:tcW w:w="900" w:type="dxa"/>
            <w:vAlign w:val="bottom"/>
          </w:tcPr>
          <w:p>
            <w:pPr>
              <w:jc w:val="right"/>
              <w:spacing w:after="0"/>
              <w:rPr>
                <w:sz w:val="20"/>
                <w:szCs w:val="20"/>
                <w:color w:val="auto"/>
              </w:rPr>
            </w:pPr>
            <w:r>
              <w:rPr>
                <w:rFonts w:ascii="Arial" w:cs="Arial" w:eastAsia="Arial" w:hAnsi="Arial"/>
                <w:sz w:val="18"/>
                <w:szCs w:val="18"/>
                <w:color w:val="auto"/>
              </w:rPr>
              <w:t>5,484,197</w:t>
            </w:r>
          </w:p>
        </w:tc>
        <w:tc>
          <w:tcPr>
            <w:tcW w:w="100" w:type="dxa"/>
            <w:vAlign w:val="bottom"/>
          </w:tcPr>
          <w:p>
            <w:pPr>
              <w:spacing w:after="0"/>
              <w:rPr>
                <w:sz w:val="19"/>
                <w:szCs w:val="19"/>
                <w:color w:val="auto"/>
              </w:rPr>
            </w:pPr>
          </w:p>
        </w:tc>
      </w:tr>
      <w:tr>
        <w:trPr>
          <w:trHeight w:val="224"/>
        </w:trPr>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real estate loans to be sold</w:t>
            </w:r>
          </w:p>
        </w:tc>
        <w:tc>
          <w:tcPr>
            <w:tcW w:w="2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rPr>
              <w:t>164,076</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229,401</w:t>
            </w:r>
          </w:p>
        </w:tc>
        <w:tc>
          <w:tcPr>
            <w:tcW w:w="100" w:type="dxa"/>
            <w:vAlign w:val="bottom"/>
            <w:shd w:val="clear" w:color="auto" w:fill="CFF0FC"/>
          </w:tcPr>
          <w:p>
            <w:pPr>
              <w:spacing w:after="0"/>
              <w:rPr>
                <w:sz w:val="19"/>
                <w:szCs w:val="19"/>
                <w:color w:val="auto"/>
              </w:rPr>
            </w:pPr>
          </w:p>
        </w:tc>
      </w:tr>
      <w:tr>
        <w:trPr>
          <w:trHeight w:val="223"/>
        </w:trPr>
        <w:tc>
          <w:tcPr>
            <w:tcW w:w="6020" w:type="dxa"/>
            <w:vAlign w:val="bottom"/>
          </w:tcPr>
          <w:p>
            <w:pPr>
              <w:ind w:left="240"/>
              <w:spacing w:after="0"/>
              <w:rPr>
                <w:sz w:val="20"/>
                <w:szCs w:val="20"/>
                <w:color w:val="auto"/>
              </w:rPr>
            </w:pPr>
            <w:r>
              <w:rPr>
                <w:rFonts w:ascii="Arial" w:cs="Arial" w:eastAsia="Arial" w:hAnsi="Arial"/>
                <w:sz w:val="18"/>
                <w:szCs w:val="18"/>
                <w:color w:val="auto"/>
              </w:rPr>
              <w:t>Other commercial real estate</w:t>
            </w:r>
          </w:p>
        </w:tc>
        <w:tc>
          <w:tcPr>
            <w:tcW w:w="2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ind w:right="636"/>
              <w:spacing w:after="0"/>
              <w:rPr>
                <w:sz w:val="20"/>
                <w:szCs w:val="20"/>
                <w:color w:val="auto"/>
              </w:rPr>
            </w:pPr>
            <w:r>
              <w:rPr>
                <w:rFonts w:ascii="Arial" w:cs="Arial" w:eastAsia="Arial" w:hAnsi="Arial"/>
                <w:sz w:val="18"/>
                <w:szCs w:val="18"/>
                <w:color w:val="auto"/>
              </w:rPr>
              <w:t>9,029,608</w:t>
            </w:r>
          </w:p>
        </w:tc>
        <w:tc>
          <w:tcPr>
            <w:tcW w:w="900" w:type="dxa"/>
            <w:vAlign w:val="bottom"/>
          </w:tcPr>
          <w:p>
            <w:pPr>
              <w:jc w:val="right"/>
              <w:spacing w:after="0"/>
              <w:rPr>
                <w:sz w:val="20"/>
                <w:szCs w:val="20"/>
                <w:color w:val="auto"/>
              </w:rPr>
            </w:pPr>
            <w:r>
              <w:rPr>
                <w:rFonts w:ascii="Arial" w:cs="Arial" w:eastAsia="Arial" w:hAnsi="Arial"/>
                <w:sz w:val="18"/>
                <w:szCs w:val="18"/>
                <w:color w:val="auto"/>
              </w:rPr>
              <w:t>7,556,722</w:t>
            </w:r>
          </w:p>
        </w:tc>
        <w:tc>
          <w:tcPr>
            <w:tcW w:w="100" w:type="dxa"/>
            <w:vAlign w:val="bottom"/>
          </w:tcPr>
          <w:p>
            <w:pPr>
              <w:spacing w:after="0"/>
              <w:rPr>
                <w:sz w:val="19"/>
                <w:szCs w:val="19"/>
                <w:color w:val="auto"/>
              </w:rPr>
            </w:pPr>
          </w:p>
        </w:tc>
      </w:tr>
      <w:tr>
        <w:trPr>
          <w:trHeight w:val="224"/>
        </w:trPr>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 real estate loans to be sold</w:t>
            </w:r>
          </w:p>
        </w:tc>
        <w:tc>
          <w:tcPr>
            <w:tcW w:w="2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rPr>
              <w:t>423,056</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245,211</w:t>
            </w:r>
          </w:p>
        </w:tc>
        <w:tc>
          <w:tcPr>
            <w:tcW w:w="100" w:type="dxa"/>
            <w:vAlign w:val="bottom"/>
            <w:shd w:val="clear" w:color="auto" w:fill="CFF0FC"/>
          </w:tcPr>
          <w:p>
            <w:pPr>
              <w:spacing w:after="0"/>
              <w:rPr>
                <w:sz w:val="19"/>
                <w:szCs w:val="19"/>
                <w:color w:val="auto"/>
              </w:rPr>
            </w:pPr>
          </w:p>
        </w:tc>
      </w:tr>
      <w:tr>
        <w:trPr>
          <w:trHeight w:val="223"/>
        </w:trPr>
        <w:tc>
          <w:tcPr>
            <w:tcW w:w="6020" w:type="dxa"/>
            <w:vAlign w:val="bottom"/>
          </w:tcPr>
          <w:p>
            <w:pPr>
              <w:ind w:left="240"/>
              <w:spacing w:after="0"/>
              <w:rPr>
                <w:sz w:val="20"/>
                <w:szCs w:val="20"/>
                <w:color w:val="auto"/>
              </w:rPr>
            </w:pPr>
            <w:r>
              <w:rPr>
                <w:rFonts w:ascii="Arial" w:cs="Arial" w:eastAsia="Arial" w:hAnsi="Arial"/>
                <w:sz w:val="18"/>
                <w:szCs w:val="18"/>
                <w:color w:val="auto"/>
              </w:rPr>
              <w:t>Other residential real estate</w:t>
            </w:r>
          </w:p>
        </w:tc>
        <w:tc>
          <w:tcPr>
            <w:tcW w:w="2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ind w:right="636"/>
              <w:spacing w:after="0"/>
              <w:rPr>
                <w:sz w:val="20"/>
                <w:szCs w:val="20"/>
                <w:color w:val="auto"/>
              </w:rPr>
            </w:pPr>
            <w:r>
              <w:rPr>
                <w:rFonts w:ascii="Arial" w:cs="Arial" w:eastAsia="Arial" w:hAnsi="Arial"/>
                <w:sz w:val="18"/>
                <w:szCs w:val="18"/>
                <w:color w:val="auto"/>
              </w:rPr>
              <w:t>448,375</w:t>
            </w:r>
          </w:p>
        </w:tc>
        <w:tc>
          <w:tcPr>
            <w:tcW w:w="900" w:type="dxa"/>
            <w:vAlign w:val="bottom"/>
          </w:tcPr>
          <w:p>
            <w:pPr>
              <w:jc w:val="right"/>
              <w:spacing w:after="0"/>
              <w:rPr>
                <w:sz w:val="20"/>
                <w:szCs w:val="20"/>
                <w:color w:val="auto"/>
              </w:rPr>
            </w:pPr>
            <w:r>
              <w:rPr>
                <w:rFonts w:ascii="Arial" w:cs="Arial" w:eastAsia="Arial" w:hAnsi="Arial"/>
                <w:sz w:val="18"/>
                <w:szCs w:val="18"/>
                <w:color w:val="auto"/>
              </w:rPr>
              <w:t>219,351</w:t>
            </w:r>
          </w:p>
        </w:tc>
        <w:tc>
          <w:tcPr>
            <w:tcW w:w="100" w:type="dxa"/>
            <w:vAlign w:val="bottom"/>
          </w:tcPr>
          <w:p>
            <w:pPr>
              <w:spacing w:after="0"/>
              <w:rPr>
                <w:sz w:val="19"/>
                <w:szCs w:val="19"/>
                <w:color w:val="auto"/>
              </w:rPr>
            </w:pPr>
          </w:p>
        </w:tc>
      </w:tr>
      <w:tr>
        <w:trPr>
          <w:trHeight w:val="224"/>
        </w:trPr>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and other</w:t>
            </w:r>
          </w:p>
        </w:tc>
        <w:tc>
          <w:tcPr>
            <w:tcW w:w="2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rPr>
              <w:t>16,170,731</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14,363,803</w:t>
            </w:r>
          </w:p>
        </w:tc>
        <w:tc>
          <w:tcPr>
            <w:tcW w:w="100" w:type="dxa"/>
            <w:vAlign w:val="bottom"/>
            <w:shd w:val="clear" w:color="auto" w:fill="CFF0FC"/>
          </w:tcPr>
          <w:p>
            <w:pPr>
              <w:spacing w:after="0"/>
              <w:rPr>
                <w:sz w:val="19"/>
                <w:szCs w:val="19"/>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2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ind w:right="636"/>
              <w:spacing w:after="0"/>
              <w:rPr>
                <w:sz w:val="20"/>
                <w:szCs w:val="20"/>
                <w:color w:val="auto"/>
              </w:rPr>
            </w:pPr>
            <w:r>
              <w:rPr>
                <w:rFonts w:ascii="Arial" w:cs="Arial" w:eastAsia="Arial" w:hAnsi="Arial"/>
                <w:sz w:val="18"/>
                <w:szCs w:val="18"/>
                <w:color w:val="auto"/>
              </w:rPr>
              <w:t>2,441,432</w:t>
            </w:r>
          </w:p>
        </w:tc>
        <w:tc>
          <w:tcPr>
            <w:tcW w:w="900" w:type="dxa"/>
            <w:vAlign w:val="bottom"/>
          </w:tcPr>
          <w:p>
            <w:pPr>
              <w:jc w:val="right"/>
              <w:spacing w:after="0"/>
              <w:rPr>
                <w:sz w:val="20"/>
                <w:szCs w:val="20"/>
                <w:color w:val="auto"/>
              </w:rPr>
            </w:pPr>
            <w:r>
              <w:rPr>
                <w:rFonts w:ascii="Arial" w:cs="Arial" w:eastAsia="Arial" w:hAnsi="Arial"/>
                <w:sz w:val="18"/>
                <w:szCs w:val="18"/>
                <w:color w:val="auto"/>
              </w:rPr>
              <w:t>2,326,991</w:t>
            </w:r>
          </w:p>
        </w:tc>
        <w:tc>
          <w:tcPr>
            <w:tcW w:w="100" w:type="dxa"/>
            <w:vAlign w:val="bottom"/>
          </w:tcPr>
          <w:p>
            <w:pPr>
              <w:spacing w:after="0"/>
              <w:rPr>
                <w:sz w:val="19"/>
                <w:szCs w:val="19"/>
                <w:color w:val="auto"/>
              </w:rPr>
            </w:pPr>
          </w:p>
        </w:tc>
      </w:tr>
      <w:tr>
        <w:trPr>
          <w:trHeight w:val="224"/>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Commercial letters of credit</w:t>
            </w:r>
          </w:p>
        </w:tc>
        <w:tc>
          <w:tcPr>
            <w:tcW w:w="2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rPr>
              <w:t>41,059</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55,808</w:t>
            </w:r>
          </w:p>
        </w:tc>
        <w:tc>
          <w:tcPr>
            <w:tcW w:w="100" w:type="dxa"/>
            <w:vAlign w:val="bottom"/>
            <w:shd w:val="clear" w:color="auto" w:fill="CFF0FC"/>
          </w:tcPr>
          <w:p>
            <w:pPr>
              <w:spacing w:after="0"/>
              <w:rPr>
                <w:sz w:val="19"/>
                <w:szCs w:val="19"/>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Financial guarantees and indemnification contracts</w:t>
            </w:r>
          </w:p>
        </w:tc>
        <w:tc>
          <w:tcPr>
            <w:tcW w:w="2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ind w:right="636"/>
              <w:spacing w:after="0"/>
              <w:rPr>
                <w:sz w:val="20"/>
                <w:szCs w:val="20"/>
                <w:color w:val="auto"/>
              </w:rPr>
            </w:pPr>
            <w:r>
              <w:rPr>
                <w:rFonts w:ascii="Arial" w:cs="Arial" w:eastAsia="Arial" w:hAnsi="Arial"/>
                <w:sz w:val="18"/>
                <w:szCs w:val="18"/>
                <w:color w:val="auto"/>
              </w:rPr>
              <w:t>4,108,572</w:t>
            </w:r>
          </w:p>
        </w:tc>
        <w:tc>
          <w:tcPr>
            <w:tcW w:w="900" w:type="dxa"/>
            <w:vAlign w:val="bottom"/>
          </w:tcPr>
          <w:p>
            <w:pPr>
              <w:jc w:val="right"/>
              <w:spacing w:after="0"/>
              <w:rPr>
                <w:sz w:val="20"/>
                <w:szCs w:val="20"/>
                <w:color w:val="auto"/>
              </w:rPr>
            </w:pPr>
            <w:r>
              <w:rPr>
                <w:rFonts w:ascii="Arial" w:cs="Arial" w:eastAsia="Arial" w:hAnsi="Arial"/>
                <w:sz w:val="18"/>
                <w:szCs w:val="18"/>
                <w:color w:val="auto"/>
              </w:rPr>
              <w:t>3,529,136</w:t>
            </w:r>
          </w:p>
        </w:tc>
        <w:tc>
          <w:tcPr>
            <w:tcW w:w="100" w:type="dxa"/>
            <w:vAlign w:val="bottom"/>
          </w:tcPr>
          <w:p>
            <w:pPr>
              <w:spacing w:after="0"/>
              <w:rPr>
                <w:sz w:val="19"/>
                <w:szCs w:val="19"/>
                <w:color w:val="auto"/>
              </w:rPr>
            </w:pPr>
          </w:p>
        </w:tc>
      </w:tr>
      <w:tr>
        <w:trPr>
          <w:trHeight w:val="224"/>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sell real estate loans</w:t>
            </w:r>
          </w:p>
        </w:tc>
        <w:tc>
          <w:tcPr>
            <w:tcW w:w="2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rPr>
              <w:t>906,037</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940,692</w:t>
            </w:r>
          </w:p>
        </w:tc>
        <w:tc>
          <w:tcPr>
            <w:tcW w:w="100" w:type="dxa"/>
            <w:vAlign w:val="bottom"/>
            <w:shd w:val="clear" w:color="auto" w:fill="CFF0FC"/>
          </w:tcPr>
          <w:p>
            <w:pPr>
              <w:spacing w:after="0"/>
              <w:rPr>
                <w:sz w:val="19"/>
                <w:szCs w:val="19"/>
                <w:color w:val="auto"/>
              </w:rPr>
            </w:pPr>
          </w:p>
        </w:tc>
      </w:tr>
    </w:tbl>
    <w:p>
      <w:pPr>
        <w:spacing w:after="0" w:line="262" w:lineRule="exact"/>
        <w:rPr>
          <w:sz w:val="20"/>
          <w:szCs w:val="20"/>
          <w:color w:val="auto"/>
        </w:rPr>
      </w:pPr>
    </w:p>
    <w:p>
      <w:pPr>
        <w:ind w:right="120" w:firstLine="598"/>
        <w:spacing w:after="0" w:line="261" w:lineRule="auto"/>
        <w:rPr>
          <w:sz w:val="20"/>
          <w:szCs w:val="20"/>
          <w:color w:val="auto"/>
        </w:rPr>
      </w:pPr>
      <w:r>
        <w:rPr>
          <w:rFonts w:ascii="Arial" w:cs="Arial" w:eastAsia="Arial" w:hAnsi="Arial"/>
          <w:sz w:val="19"/>
          <w:szCs w:val="19"/>
          <w:color w:val="auto"/>
        </w:rPr>
        <w:t>Commitments to extend credit are agreements to lend to customers, generally having fixed expiration dates or other termination clauses that may require payment of a fee. In addition to the amounts presented in the preceding table, the Company had discretionary funding commitments to commercial customers of $9.1 billion and $8.6 billion at December 31, 2019 and 2018, respectively, that the Company had the unconditional right to cancel prior to funding.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7" w:lineRule="exact"/>
        <w:rPr>
          <w:sz w:val="20"/>
          <w:szCs w:val="20"/>
          <w:color w:val="auto"/>
        </w:rPr>
      </w:pPr>
    </w:p>
    <w:p>
      <w:pPr>
        <w:ind w:right="160" w:firstLine="598"/>
        <w:spacing w:after="0" w:line="246" w:lineRule="auto"/>
        <w:rPr>
          <w:sz w:val="20"/>
          <w:szCs w:val="20"/>
          <w:color w:val="auto"/>
        </w:rPr>
      </w:pPr>
      <w:r>
        <w:rPr>
          <w:rFonts w:ascii="Arial" w:cs="Arial" w:eastAsia="Arial" w:hAnsi="Arial"/>
          <w:sz w:val="20"/>
          <w:szCs w:val="20"/>
          <w:color w:val="auto"/>
        </w:rPr>
        <w:t>Financial guarantees and indemnification contracts are predominantly comprised of recourse obligations associated with sold loans and other guarantees and commitments. Included in financial guarantees and indemnification contracts are loan principal amounts sold with recourse in conjunction with the Company’s involvement in the Fannie Mae DUS program. The Company’s maximum credit risk for recourse associated with loans sold under this program totaled approximately $3.9 billion and $3.4 billion at December 31, 2019 and 2018, respectively.</w:t>
      </w:r>
    </w:p>
    <w:p>
      <w:pPr>
        <w:spacing w:after="0" w:line="4" w:lineRule="exact"/>
        <w:rPr>
          <w:sz w:val="20"/>
          <w:szCs w:val="20"/>
          <w:color w:val="auto"/>
        </w:rPr>
      </w:pPr>
    </w:p>
    <w:p>
      <w:pPr>
        <w:ind w:right="60" w:firstLine="598"/>
        <w:spacing w:after="0" w:line="246" w:lineRule="auto"/>
        <w:rPr>
          <w:sz w:val="20"/>
          <w:szCs w:val="20"/>
          <w:color w:val="auto"/>
        </w:rPr>
      </w:pPr>
      <w:r>
        <w:rPr>
          <w:rFonts w:ascii="Arial" w:cs="Arial" w:eastAsia="Arial" w:hAnsi="Arial"/>
          <w:sz w:val="20"/>
          <w:szCs w:val="20"/>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2" w:lineRule="exact"/>
        <w:rPr>
          <w:sz w:val="20"/>
          <w:szCs w:val="20"/>
          <w:color w:val="auto"/>
        </w:rPr>
      </w:pPr>
    </w:p>
    <w:p>
      <w:pPr>
        <w:ind w:right="40" w:firstLine="598"/>
        <w:spacing w:after="0" w:line="256" w:lineRule="auto"/>
        <w:rPr>
          <w:sz w:val="20"/>
          <w:szCs w:val="20"/>
          <w:color w:val="auto"/>
        </w:rPr>
      </w:pPr>
      <w:r>
        <w:rPr>
          <w:rFonts w:ascii="Arial" w:cs="Arial" w:eastAsia="Arial" w:hAnsi="Arial"/>
          <w:sz w:val="20"/>
          <w:szCs w:val="20"/>
          <w:color w:val="auto"/>
        </w:rPr>
        <w:t>The Company utilizes commitments to sell real estate loans to hedge exposure to changes in the fair value of real estate loans held for sale. Such commitments are considered derivatives and along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80" w:name="page181"/>
    <w:bookmarkEnd w:id="180"/>
    <w:p>
      <w:pPr>
        <w:ind w:right="400"/>
        <w:spacing w:after="0" w:line="256" w:lineRule="auto"/>
        <w:rPr>
          <w:sz w:val="20"/>
          <w:szCs w:val="20"/>
          <w:color w:val="auto"/>
        </w:rPr>
      </w:pPr>
      <w:r>
        <w:rPr>
          <w:rFonts w:ascii="Arial" w:cs="Arial" w:eastAsia="Arial" w:hAnsi="Arial"/>
          <w:sz w:val="20"/>
          <w:szCs w:val="20"/>
          <w:color w:val="auto"/>
        </w:rPr>
        <w:t>with commitments to originate real estate loans to be held for sale are recorded in the consolidated balance sheet at estimated fair market value.</w:t>
      </w:r>
    </w:p>
    <w:p>
      <w:pPr>
        <w:ind w:right="120" w:firstLine="674"/>
        <w:spacing w:after="0" w:line="246" w:lineRule="auto"/>
        <w:rPr>
          <w:sz w:val="20"/>
          <w:szCs w:val="20"/>
          <w:color w:val="auto"/>
        </w:rPr>
      </w:pPr>
      <w:r>
        <w:rPr>
          <w:rFonts w:ascii="Arial" w:cs="Arial" w:eastAsia="Arial" w:hAnsi="Arial"/>
          <w:sz w:val="20"/>
          <w:szCs w:val="20"/>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December 31, 2019, the Company believes that its obligation to loan purchasers was not material to the Company’s consolidated financial position.</w:t>
      </w:r>
    </w:p>
    <w:p>
      <w:pPr>
        <w:spacing w:after="0" w:line="5" w:lineRule="exact"/>
        <w:rPr>
          <w:sz w:val="20"/>
          <w:szCs w:val="20"/>
          <w:color w:val="auto"/>
        </w:rPr>
      </w:pPr>
    </w:p>
    <w:p>
      <w:pPr>
        <w:jc w:val="both"/>
        <w:ind w:firstLine="598"/>
        <w:spacing w:after="0" w:line="274" w:lineRule="auto"/>
        <w:rPr>
          <w:sz w:val="20"/>
          <w:szCs w:val="20"/>
          <w:color w:val="auto"/>
        </w:rPr>
      </w:pPr>
      <w:r>
        <w:rPr>
          <w:rFonts w:ascii="Arial" w:cs="Arial" w:eastAsia="Arial" w:hAnsi="Arial"/>
          <w:sz w:val="18"/>
          <w:szCs w:val="18"/>
          <w:color w:val="auto"/>
        </w:rPr>
        <w:t>Wilmington Trust, N.A., a wholly owned bank subsidiary of M&amp;T, provides retirement services, including serving in certain trustee roles relating to Employee Stock Ownership Plans (“ESOPs”). Beginning in 2010, the U.S. Department of Labor (“DOL”) announced that it would increase its focus on ESOP transactions, particularly with regard to valuation issues relating to ESOP transactions. Beginning in late 2013, Wilmington Trust, N.A. began receiving requests for information and subpoenas relating to certain ESOP transactions for which it acted as trustee. In June 2016, Wilmington Trust, N.A. received a DOL subpoena seeking information on its global ESOP trustee business. In addition to these investigations, the DOL has commenced three lawsuits against Wilmington Trust, N.A. relating to its role as trustee of three ESOP transactions. In July 2019, Wilmington Trust, N.A. reached a settlement in principle with the DOL to resolve certain pending DOL ESOP matters. Although a formal settlement agreement has yet to be finalized and executed, the Company does not expect that the agreed-upon settlement will have a material incremental impact on the Company’s consolidated financial position or results of operations. Wilmington Trust, N.A. is also currently a defendant in five pending private party lawsuits relating to its role as trustee for five ESOP transactions. Under applicable transaction documents, Wilmington Trust, N.A. may be entitled to indemnification by the ESOP plan sponsors. These matters could result in damages, settlements, penalties, restitution, reputational damage or additional costs and expenses.</w:t>
      </w:r>
    </w:p>
    <w:p>
      <w:pPr>
        <w:spacing w:after="0" w:line="2" w:lineRule="exact"/>
        <w:rPr>
          <w:sz w:val="20"/>
          <w:szCs w:val="20"/>
          <w:color w:val="auto"/>
        </w:rPr>
      </w:pPr>
    </w:p>
    <w:p>
      <w:pPr>
        <w:ind w:right="140" w:firstLine="598"/>
        <w:spacing w:after="0" w:line="278" w:lineRule="auto"/>
        <w:rPr>
          <w:sz w:val="20"/>
          <w:szCs w:val="20"/>
          <w:color w:val="auto"/>
        </w:rPr>
      </w:pPr>
      <w:r>
        <w:rPr>
          <w:rFonts w:ascii="Arial" w:cs="Arial" w:eastAsia="Arial" w:hAnsi="Arial"/>
          <w:sz w:val="18"/>
          <w:szCs w:val="18"/>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$50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30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8"/>
          <w:szCs w:val="18"/>
          <w:b w:val="1"/>
          <w:bCs w:val="1"/>
          <w:color w:val="auto"/>
        </w:rPr>
        <w:t>Segment information</w:t>
      </w:r>
    </w:p>
    <w:p>
      <w:pPr>
        <w:spacing w:after="0" w:line="29"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81" w:name="page182"/>
    <w:bookmarkEnd w:id="181"/>
    <w:p>
      <w:pPr>
        <w:ind w:right="320"/>
        <w:spacing w:after="0" w:line="256" w:lineRule="auto"/>
        <w:rPr>
          <w:sz w:val="20"/>
          <w:szCs w:val="20"/>
          <w:color w:val="auto"/>
        </w:rPr>
      </w:pPr>
      <w:r>
        <w:rPr>
          <w:rFonts w:ascii="Arial" w:cs="Arial" w:eastAsia="Arial" w:hAnsi="Arial"/>
          <w:sz w:val="20"/>
          <w:szCs w:val="20"/>
          <w:color w:val="auto"/>
        </w:rPr>
        <w:t>reportable segments are Business Banking, Commercial Banking, Commercial Real Estate, Discretionary Portfolio, Residential Mortgage Banking and Retail Banking.</w:t>
      </w:r>
    </w:p>
    <w:p>
      <w:pPr>
        <w:ind w:firstLine="598"/>
        <w:spacing w:after="0" w:line="274" w:lineRule="auto"/>
        <w:rPr>
          <w:sz w:val="20"/>
          <w:szCs w:val="20"/>
          <w:color w:val="auto"/>
        </w:rPr>
      </w:pPr>
      <w:r>
        <w:rPr>
          <w:rFonts w:ascii="Arial" w:cs="Arial" w:eastAsia="Arial" w:hAnsi="Arial"/>
          <w:sz w:val="18"/>
          <w:szCs w:val="18"/>
          <w:color w:val="auto"/>
        </w:rPr>
        <w:t>The financial information of the Company’s segments was compiled utilizing the accounting policies described in note 1 with certain exceptions. The more significant of these exceptions are described herein. The Company allocates interest income or interest expense using a methodology that charges users of funds (assets) interest expense and credits providers of funds (liabilities) with income based on the maturity, prepayment and/or repricing characteristics of the assets and liabilities. A provision for credit losses is allocated to segments in an amount based largely on actual net charge-offs incurred by the segment during the period plus or minus an amount necessary to adjust the segment’s allowance for credit losses due to changes in loan balances. In contrast, the level of the consolidated provision for credit losses is determined using the methodologies described in notes 1 and 4. The net effects of these allocations are recorded in the “All Other” category. Indirect fixed and variable expenses incurred by certain centralized support areas are allocated to segments based on actual usage (for example, volume measurements) and other criteria. Certain types of administrative expenses and bankwide expense accruals (including amortization of core deposit and other intangible assets associated with acquisitions of financial institutions) are generally not allocated to segments. Income taxes are allocated to segments based on the Company’s marginal statutory tax rate adjusted for any tax-exempt income or non-deductible expenses. Equity is allocated to the segments based on regulatory capital requirements and in proportion to an assessment of the inherent risks associated with the business of the segment (including interest, credit and operating risk).</w:t>
      </w:r>
    </w:p>
    <w:p>
      <w:pPr>
        <w:spacing w:after="0" w:line="3" w:lineRule="exact"/>
        <w:rPr>
          <w:sz w:val="20"/>
          <w:szCs w:val="20"/>
          <w:color w:val="auto"/>
        </w:rPr>
      </w:pPr>
    </w:p>
    <w:p>
      <w:pPr>
        <w:ind w:right="260" w:firstLine="598"/>
        <w:spacing w:after="0" w:line="267" w:lineRule="auto"/>
        <w:rPr>
          <w:sz w:val="20"/>
          <w:szCs w:val="20"/>
          <w:color w:val="auto"/>
        </w:rPr>
      </w:pPr>
      <w:r>
        <w:rPr>
          <w:rFonts w:ascii="Arial" w:cs="Arial" w:eastAsia="Arial" w:hAnsi="Arial"/>
          <w:sz w:val="19"/>
          <w:szCs w:val="19"/>
          <w:color w:val="auto"/>
        </w:rPr>
        <w:t>The management accounting policies and processes utilized in compiling segment financial information are highly subjective and, unlike financial accounting, are not based on authoritative guidance similar to GAAP. As a result, reported segment results are not necessarily comparable with similar information reported by other financial institutions. Furthermore, changes in management structure or allocation methodologies and procedures may result in changes in reported segment financial data.</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82" w:name="page183"/>
    <w:bookmarkEnd w:id="182"/>
    <w:p>
      <w:pPr>
        <w:ind w:right="280" w:firstLine="598"/>
        <w:spacing w:after="0" w:line="275" w:lineRule="auto"/>
        <w:rPr>
          <w:sz w:val="20"/>
          <w:szCs w:val="20"/>
          <w:color w:val="auto"/>
        </w:rPr>
      </w:pPr>
      <w:r>
        <w:rPr>
          <w:rFonts w:ascii="Arial" w:cs="Arial" w:eastAsia="Arial" w:hAnsi="Arial"/>
          <w:sz w:val="20"/>
          <w:szCs w:val="20"/>
          <w:color w:val="auto"/>
        </w:rPr>
        <w:t>Information about the Company’s segments is presented in the accompanying table. Income statement amounts are in thousands of dollars. Balance sheet amounts are in millions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gridSpan w:val="13"/>
          </w:tcPr>
          <w:p>
            <w:pPr>
              <w:jc w:val="right"/>
              <w:ind w:right="120"/>
              <w:spacing w:after="0"/>
              <w:rPr>
                <w:sz w:val="20"/>
                <w:szCs w:val="20"/>
                <w:color w:val="auto"/>
              </w:rPr>
            </w:pPr>
            <w:r>
              <w:rPr>
                <w:rFonts w:ascii="Arial" w:cs="Arial" w:eastAsia="Arial" w:hAnsi="Arial"/>
                <w:sz w:val="11"/>
                <w:szCs w:val="11"/>
                <w:b w:val="1"/>
                <w:bCs w:val="1"/>
                <w:color w:val="auto"/>
                <w:w w:val="96"/>
              </w:rPr>
              <w:t>For the Years Ended December 31, 2019, 2018 and 2017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0"/>
              </w:rPr>
              <w:t>Business Banking</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7"/>
          </w:tcPr>
          <w:p>
            <w:pPr>
              <w:jc w:val="center"/>
              <w:ind w:left="343"/>
              <w:spacing w:after="0"/>
              <w:rPr>
                <w:sz w:val="20"/>
                <w:szCs w:val="20"/>
                <w:color w:val="auto"/>
              </w:rPr>
            </w:pPr>
            <w:r>
              <w:rPr>
                <w:rFonts w:ascii="Arial" w:cs="Arial" w:eastAsia="Arial" w:hAnsi="Arial"/>
                <w:sz w:val="11"/>
                <w:szCs w:val="11"/>
                <w:b w:val="1"/>
                <w:bCs w:val="1"/>
                <w:color w:val="auto"/>
                <w:w w:val="95"/>
              </w:rPr>
              <w:t>Commercial Banking</w:t>
            </w: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8"/>
          </w:tcPr>
          <w:p>
            <w:pPr>
              <w:jc w:val="center"/>
              <w:ind w:left="343"/>
              <w:spacing w:after="0"/>
              <w:rPr>
                <w:sz w:val="20"/>
                <w:szCs w:val="20"/>
                <w:color w:val="auto"/>
              </w:rPr>
            </w:pPr>
            <w:r>
              <w:rPr>
                <w:rFonts w:ascii="Arial" w:cs="Arial" w:eastAsia="Arial" w:hAnsi="Arial"/>
                <w:sz w:val="11"/>
                <w:szCs w:val="11"/>
                <w:b w:val="1"/>
                <w:bCs w:val="1"/>
                <w:color w:val="auto"/>
                <w:w w:val="94"/>
              </w:rPr>
              <w:t>Commercial Real Estate</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6"/>
          </w:tcPr>
          <w:p>
            <w:pPr>
              <w:jc w:val="center"/>
              <w:ind w:left="323"/>
              <w:spacing w:after="0"/>
              <w:rPr>
                <w:sz w:val="20"/>
                <w:szCs w:val="20"/>
                <w:color w:val="auto"/>
              </w:rPr>
            </w:pPr>
            <w:r>
              <w:rPr>
                <w:rFonts w:ascii="Arial" w:cs="Arial" w:eastAsia="Arial" w:hAnsi="Arial"/>
                <w:sz w:val="11"/>
                <w:szCs w:val="11"/>
                <w:b w:val="1"/>
                <w:bCs w:val="1"/>
                <w:color w:val="auto"/>
                <w:w w:val="94"/>
              </w:rPr>
              <w:t>Discretionary Portfolio</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4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2019</w:t>
            </w:r>
          </w:p>
        </w:tc>
        <w:tc>
          <w:tcPr>
            <w:tcW w:w="2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w w:val="89"/>
              </w:rPr>
              <w:t>2018</w:t>
            </w:r>
          </w:p>
        </w:tc>
        <w:tc>
          <w:tcPr>
            <w:tcW w:w="18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2017</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2019</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w w:val="89"/>
              </w:rPr>
              <w:t>2018</w:t>
            </w:r>
          </w:p>
        </w:tc>
        <w:tc>
          <w:tcPr>
            <w:tcW w:w="12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2017</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w w:val="97"/>
              </w:rPr>
              <w:t>2018</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2017</w:t>
            </w:r>
          </w:p>
        </w:tc>
        <w:tc>
          <w:tcPr>
            <w:tcW w:w="10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2019</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b w:val="1"/>
                <w:bCs w:val="1"/>
                <w:color w:val="auto"/>
                <w:w w:val="89"/>
              </w:rPr>
              <w:t>2018</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2017</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440" w:type="dxa"/>
            <w:vAlign w:val="bottom"/>
            <w:shd w:val="clear" w:color="auto" w:fill="CFF0FC"/>
          </w:tcPr>
          <w:p>
            <w:pPr>
              <w:spacing w:after="0"/>
              <w:rPr>
                <w:sz w:val="20"/>
                <w:szCs w:val="20"/>
                <w:color w:val="auto"/>
              </w:rPr>
            </w:pPr>
            <w:r>
              <w:rPr>
                <w:rFonts w:ascii="Arial" w:cs="Arial" w:eastAsia="Arial" w:hAnsi="Arial"/>
                <w:sz w:val="11"/>
                <w:szCs w:val="11"/>
                <w:color w:val="auto"/>
              </w:rPr>
              <w:t>Net interest income(a)</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451,307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434,579</w:t>
            </w:r>
          </w:p>
        </w:tc>
        <w:tc>
          <w:tcPr>
            <w:tcW w:w="180" w:type="dxa"/>
            <w:vAlign w:val="bottom"/>
            <w:shd w:val="clear" w:color="auto" w:fill="CFF0FC"/>
          </w:tcPr>
          <w:p>
            <w:pPr>
              <w:spacing w:after="0"/>
              <w:rPr>
                <w:sz w:val="11"/>
                <w:szCs w:val="11"/>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0"/>
              </w:rPr>
              <w:t>393,948</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828,888</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821,812</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809,301</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692,526</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665,220</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649,378</w:t>
            </w:r>
          </w:p>
        </w:tc>
        <w:tc>
          <w:tcPr>
            <w:tcW w:w="10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209,807</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228,051</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277,095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40" w:type="dxa"/>
            <w:vAlign w:val="bottom"/>
          </w:tcPr>
          <w:p>
            <w:pPr>
              <w:spacing w:after="0"/>
              <w:rPr>
                <w:sz w:val="20"/>
                <w:szCs w:val="20"/>
                <w:color w:val="auto"/>
              </w:rPr>
            </w:pPr>
            <w:r>
              <w:rPr>
                <w:rFonts w:ascii="Arial" w:cs="Arial" w:eastAsia="Arial" w:hAnsi="Arial"/>
                <w:sz w:val="11"/>
                <w:szCs w:val="11"/>
                <w:color w:val="auto"/>
              </w:rPr>
              <w:t>Noninterest income</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w w:val="95"/>
              </w:rPr>
              <w:t>113,855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w w:val="95"/>
              </w:rPr>
              <w:t>111,600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w w:val="90"/>
              </w:rPr>
              <w:t>112,512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289,558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288,908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283,447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214,970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183,955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169,966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26,919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(9,690)</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23,851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565,162</w:t>
            </w:r>
          </w:p>
        </w:tc>
        <w:tc>
          <w:tcPr>
            <w:tcW w:w="2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546,179</w:t>
            </w:r>
          </w:p>
        </w:tc>
        <w:tc>
          <w:tcPr>
            <w:tcW w:w="18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0"/>
              </w:rPr>
              <w:t>506,460</w:t>
            </w:r>
          </w:p>
        </w:tc>
        <w:tc>
          <w:tcPr>
            <w:tcW w:w="2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1,118,446</w:t>
            </w:r>
          </w:p>
        </w:tc>
        <w:tc>
          <w:tcPr>
            <w:tcW w:w="2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1,110,720</w:t>
            </w:r>
          </w:p>
        </w:tc>
        <w:tc>
          <w:tcPr>
            <w:tcW w:w="1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1,092,748</w:t>
            </w:r>
          </w:p>
        </w:tc>
        <w:tc>
          <w:tcPr>
            <w:tcW w:w="2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907,496</w:t>
            </w: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849,175</w:t>
            </w: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819,344</w:t>
            </w: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236,726</w:t>
            </w:r>
          </w:p>
        </w:tc>
        <w:tc>
          <w:tcPr>
            <w:tcW w:w="2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218,361</w:t>
            </w:r>
          </w:p>
        </w:tc>
        <w:tc>
          <w:tcPr>
            <w:tcW w:w="2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300,946</w:t>
            </w: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40" w:type="dxa"/>
            <w:vAlign w:val="bottom"/>
          </w:tcPr>
          <w:p>
            <w:pPr>
              <w:spacing w:after="0"/>
              <w:rPr>
                <w:sz w:val="20"/>
                <w:szCs w:val="20"/>
                <w:color w:val="auto"/>
              </w:rPr>
            </w:pPr>
            <w:r>
              <w:rPr>
                <w:rFonts w:ascii="Arial" w:cs="Arial" w:eastAsia="Arial" w:hAnsi="Arial"/>
                <w:sz w:val="11"/>
                <w:szCs w:val="11"/>
                <w:color w:val="auto"/>
              </w:rPr>
              <w:t>Provision for credit losses</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16,501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10,916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15,598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25,580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8,976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11,876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1,537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3,159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(7,524)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3,608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6,683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31,119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40" w:type="dxa"/>
            <w:vAlign w:val="bottom"/>
            <w:shd w:val="clear" w:color="auto" w:fill="CFF0FC"/>
          </w:tcPr>
          <w:p>
            <w:pPr>
              <w:spacing w:after="0"/>
              <w:rPr>
                <w:sz w:val="20"/>
                <w:szCs w:val="20"/>
                <w:color w:val="auto"/>
              </w:rPr>
            </w:pPr>
            <w:r>
              <w:rPr>
                <w:rFonts w:ascii="Arial" w:cs="Arial" w:eastAsia="Arial" w:hAnsi="Arial"/>
                <w:sz w:val="11"/>
                <w:szCs w:val="11"/>
                <w:color w:val="auto"/>
              </w:rPr>
              <w:t>Amortization of core deposit</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40" w:type="dxa"/>
            <w:vAlign w:val="bottom"/>
            <w:shd w:val="clear" w:color="auto" w:fill="CFF0FC"/>
          </w:tcPr>
          <w:p>
            <w:pPr>
              <w:ind w:left="80"/>
              <w:spacing w:after="0"/>
              <w:rPr>
                <w:sz w:val="20"/>
                <w:szCs w:val="20"/>
                <w:color w:val="auto"/>
              </w:rPr>
            </w:pPr>
            <w:r>
              <w:rPr>
                <w:rFonts w:ascii="Arial" w:cs="Arial" w:eastAsia="Arial" w:hAnsi="Arial"/>
                <w:sz w:val="11"/>
                <w:szCs w:val="11"/>
                <w:color w:val="auto"/>
              </w:rPr>
              <w:t>and other intangible assets</w:t>
            </w: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1,060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1,060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1,060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440" w:type="dxa"/>
            <w:vAlign w:val="bottom"/>
          </w:tcPr>
          <w:p>
            <w:pPr>
              <w:spacing w:after="0"/>
              <w:rPr>
                <w:sz w:val="20"/>
                <w:szCs w:val="20"/>
                <w:color w:val="auto"/>
              </w:rPr>
            </w:pPr>
            <w:r>
              <w:rPr>
                <w:rFonts w:ascii="Arial" w:cs="Arial" w:eastAsia="Arial" w:hAnsi="Arial"/>
                <w:sz w:val="11"/>
                <w:szCs w:val="11"/>
                <w:color w:val="auto"/>
              </w:rPr>
              <w:t>Depreciation and other</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40" w:type="dxa"/>
            <w:vAlign w:val="bottom"/>
          </w:tcPr>
          <w:p>
            <w:pPr>
              <w:ind w:left="100"/>
              <w:spacing w:after="0"/>
              <w:rPr>
                <w:sz w:val="20"/>
                <w:szCs w:val="20"/>
                <w:color w:val="auto"/>
              </w:rPr>
            </w:pPr>
            <w:r>
              <w:rPr>
                <w:rFonts w:ascii="Arial" w:cs="Arial" w:eastAsia="Arial" w:hAnsi="Arial"/>
                <w:sz w:val="11"/>
                <w:szCs w:val="11"/>
                <w:color w:val="auto"/>
              </w:rPr>
              <w:t>amortization</w:t>
            </w: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412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382</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393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554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496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509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25,560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25,852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24,410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263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187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40" w:type="dxa"/>
            <w:vAlign w:val="bottom"/>
            <w:shd w:val="clear" w:color="auto" w:fill="CFF0FC"/>
          </w:tcPr>
          <w:p>
            <w:pPr>
              <w:spacing w:after="0"/>
              <w:rPr>
                <w:sz w:val="20"/>
                <w:szCs w:val="20"/>
                <w:color w:val="auto"/>
              </w:rPr>
            </w:pPr>
            <w:r>
              <w:rPr>
                <w:rFonts w:ascii="Arial" w:cs="Arial" w:eastAsia="Arial" w:hAnsi="Arial"/>
                <w:sz w:val="11"/>
                <w:szCs w:val="11"/>
                <w:color w:val="auto"/>
              </w:rPr>
              <w:t>Other noninterest expense</w:t>
            </w:r>
          </w:p>
        </w:tc>
        <w:tc>
          <w:tcPr>
            <w:tcW w:w="1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319,136</w:t>
            </w:r>
          </w:p>
        </w:tc>
        <w:tc>
          <w:tcPr>
            <w:tcW w:w="2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305,340</w:t>
            </w: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0"/>
              </w:rPr>
              <w:t>294,493</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384,013</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364,102</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339,936</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240,736</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217,387</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207,493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52,901</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65,393</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76,021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40" w:type="dxa"/>
            <w:vAlign w:val="bottom"/>
          </w:tcPr>
          <w:p>
            <w:pPr>
              <w:spacing w:after="0"/>
              <w:rPr>
                <w:sz w:val="20"/>
                <w:szCs w:val="20"/>
                <w:color w:val="auto"/>
              </w:rPr>
            </w:pPr>
            <w:r>
              <w:rPr>
                <w:rFonts w:ascii="Arial" w:cs="Arial" w:eastAsia="Arial" w:hAnsi="Arial"/>
                <w:sz w:val="11"/>
                <w:szCs w:val="11"/>
                <w:color w:val="auto"/>
              </w:rPr>
              <w:t>Income (loss) before taxes</w:t>
            </w: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w w:val="95"/>
              </w:rPr>
              <w:t>229,113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w w:val="95"/>
              </w:rPr>
              <w:t>229,541</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w w:val="90"/>
              </w:rPr>
              <w:t>195,976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708,299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737,146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740,427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638,603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601,717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593,905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179,954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146,098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193,527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40" w:type="dxa"/>
            <w:vAlign w:val="bottom"/>
            <w:shd w:val="clear" w:color="auto" w:fill="CFF0FC"/>
          </w:tcPr>
          <w:p>
            <w:pPr>
              <w:spacing w:after="0"/>
              <w:rPr>
                <w:sz w:val="20"/>
                <w:szCs w:val="20"/>
                <w:color w:val="auto"/>
              </w:rPr>
            </w:pPr>
            <w:r>
              <w:rPr>
                <w:rFonts w:ascii="Arial" w:cs="Arial" w:eastAsia="Arial" w:hAnsi="Arial"/>
                <w:sz w:val="11"/>
                <w:szCs w:val="11"/>
                <w:color w:val="auto"/>
              </w:rPr>
              <w:t>Income tax expense (benefit)</w:t>
            </w:r>
          </w:p>
        </w:tc>
        <w:tc>
          <w:tcPr>
            <w:tcW w:w="1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60,617</w:t>
            </w:r>
          </w:p>
        </w:tc>
        <w:tc>
          <w:tcPr>
            <w:tcW w:w="2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61,279</w:t>
            </w: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80,043</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187,835</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198,229</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303,556</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152,977</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148,807</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229,770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36,342</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29,872</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58,559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440" w:type="dxa"/>
            <w:vAlign w:val="bottom"/>
          </w:tcPr>
          <w:p>
            <w:pPr>
              <w:spacing w:after="0"/>
              <w:rPr>
                <w:sz w:val="20"/>
                <w:szCs w:val="20"/>
                <w:color w:val="auto"/>
              </w:rPr>
            </w:pPr>
            <w:r>
              <w:rPr>
                <w:rFonts w:ascii="Arial" w:cs="Arial" w:eastAsia="Arial" w:hAnsi="Arial"/>
                <w:sz w:val="11"/>
                <w:szCs w:val="11"/>
                <w:color w:val="auto"/>
              </w:rPr>
              <w:t>Net income (loss)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w w:val="95"/>
              </w:rPr>
              <w:t>168,496</w:t>
            </w: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w w:val="95"/>
              </w:rPr>
              <w:t>168,262</w:t>
            </w:r>
          </w:p>
        </w:tc>
        <w:tc>
          <w:tcPr>
            <w:tcW w:w="18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color w:val="auto"/>
                <w:w w:val="90"/>
              </w:rPr>
              <w:t>115,933</w:t>
            </w:r>
          </w:p>
        </w:tc>
        <w:tc>
          <w:tcPr>
            <w:tcW w:w="2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520,464</w:t>
            </w:r>
          </w:p>
        </w:tc>
        <w:tc>
          <w:tcPr>
            <w:tcW w:w="2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538,917</w:t>
            </w:r>
          </w:p>
        </w:tc>
        <w:tc>
          <w:tcPr>
            <w:tcW w:w="120" w:type="dxa"/>
            <w:vAlign w:val="bottom"/>
          </w:tcPr>
          <w:p>
            <w:pPr>
              <w:spacing w:after="0"/>
              <w:rPr>
                <w:sz w:val="15"/>
                <w:szCs w:val="15"/>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436,871</w:t>
            </w:r>
          </w:p>
        </w:tc>
        <w:tc>
          <w:tcPr>
            <w:tcW w:w="2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485,626</w:t>
            </w:r>
          </w:p>
        </w:tc>
        <w:tc>
          <w:tcPr>
            <w:tcW w:w="12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452,910</w:t>
            </w:r>
          </w:p>
        </w:tc>
        <w:tc>
          <w:tcPr>
            <w:tcW w:w="12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364,135</w:t>
            </w:r>
          </w:p>
        </w:tc>
        <w:tc>
          <w:tcPr>
            <w:tcW w:w="10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143,612</w:t>
            </w:r>
          </w:p>
        </w:tc>
        <w:tc>
          <w:tcPr>
            <w:tcW w:w="2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116,226</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134,968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440" w:type="dxa"/>
            <w:vAlign w:val="bottom"/>
            <w:tcBorders>
              <w:top w:val="single" w:sz="8" w:color="CFF0FC"/>
            </w:tcBorders>
            <w:shd w:val="clear" w:color="auto" w:fill="CFF0FC"/>
          </w:tcPr>
          <w:p>
            <w:pPr>
              <w:spacing w:after="0" w:line="118" w:lineRule="exact"/>
              <w:rPr>
                <w:sz w:val="20"/>
                <w:szCs w:val="20"/>
                <w:color w:val="auto"/>
              </w:rPr>
            </w:pPr>
            <w:r>
              <w:rPr>
                <w:rFonts w:ascii="Arial" w:cs="Arial" w:eastAsia="Arial" w:hAnsi="Arial"/>
                <w:sz w:val="11"/>
                <w:szCs w:val="11"/>
                <w:color w:val="auto"/>
              </w:rPr>
              <w:t>Average total assets</w:t>
            </w:r>
          </w:p>
        </w:tc>
        <w:tc>
          <w:tcPr>
            <w:tcW w:w="100" w:type="dxa"/>
            <w:vAlign w:val="bottom"/>
            <w:tcBorders>
              <w:top w:val="single" w:sz="8" w:color="auto"/>
            </w:tcBorders>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(in millions)</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5,793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5,631</w:t>
            </w:r>
          </w:p>
        </w:tc>
        <w:tc>
          <w:tcPr>
            <w:tcW w:w="180" w:type="dxa"/>
            <w:vAlign w:val="bottom"/>
            <w:shd w:val="clear" w:color="auto" w:fill="CFF0FC"/>
          </w:tcPr>
          <w:p>
            <w:pPr>
              <w:spacing w:after="0"/>
              <w:rPr>
                <w:sz w:val="11"/>
                <w:szCs w:val="11"/>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5,602</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28,142</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26,626</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26,573</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23,921</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22,885</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22,741</w:t>
            </w:r>
          </w:p>
        </w:tc>
        <w:tc>
          <w:tcPr>
            <w:tcW w:w="10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29,081</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32,123</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37,203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color w:val="auto"/>
              </w:rPr>
              <w:t>Capital expenditures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40" w:type="dxa"/>
            <w:vAlign w:val="bottom"/>
          </w:tcPr>
          <w:p>
            <w:pPr>
              <w:ind w:left="100"/>
              <w:spacing w:after="0"/>
              <w:rPr>
                <w:sz w:val="20"/>
                <w:szCs w:val="20"/>
                <w:color w:val="auto"/>
              </w:rPr>
            </w:pPr>
            <w:r>
              <w:rPr>
                <w:rFonts w:ascii="Arial" w:cs="Arial" w:eastAsia="Arial" w:hAnsi="Arial"/>
                <w:sz w:val="11"/>
                <w:szCs w:val="11"/>
                <w:color w:val="auto"/>
              </w:rPr>
              <w:t>(in millions)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2</w:t>
            </w:r>
          </w:p>
        </w:tc>
        <w:tc>
          <w:tcPr>
            <w:tcW w:w="2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7"/>
            <w:vMerge w:val="restart"/>
          </w:tcPr>
          <w:p>
            <w:pPr>
              <w:jc w:val="center"/>
              <w:ind w:left="243"/>
              <w:spacing w:after="0"/>
              <w:rPr>
                <w:sz w:val="20"/>
                <w:szCs w:val="20"/>
                <w:color w:val="auto"/>
              </w:rPr>
            </w:pPr>
            <w:r>
              <w:rPr>
                <w:rFonts w:ascii="Arial" w:cs="Arial" w:eastAsia="Arial" w:hAnsi="Arial"/>
                <w:sz w:val="11"/>
                <w:szCs w:val="11"/>
                <w:b w:val="1"/>
                <w:bCs w:val="1"/>
                <w:color w:val="auto"/>
                <w:w w:val="95"/>
              </w:rPr>
              <w:t>Residential Mortgage</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gridSpan w:val="13"/>
          </w:tcPr>
          <w:p>
            <w:pPr>
              <w:jc w:val="right"/>
              <w:ind w:right="120"/>
              <w:spacing w:after="0"/>
              <w:rPr>
                <w:sz w:val="20"/>
                <w:szCs w:val="20"/>
                <w:color w:val="auto"/>
              </w:rPr>
            </w:pPr>
            <w:r>
              <w:rPr>
                <w:rFonts w:ascii="Arial" w:cs="Arial" w:eastAsia="Arial" w:hAnsi="Arial"/>
                <w:sz w:val="11"/>
                <w:szCs w:val="11"/>
                <w:b w:val="1"/>
                <w:bCs w:val="1"/>
                <w:color w:val="auto"/>
                <w:w w:val="96"/>
              </w:rPr>
              <w:t>For the Years Ended December 31, 2019, 2018 and 2017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7"/>
            <w:vMerge w:val="continue"/>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1"/>
                <w:szCs w:val="11"/>
                <w:b w:val="1"/>
                <w:bCs w:val="1"/>
                <w:color w:val="auto"/>
                <w:w w:val="96"/>
              </w:rPr>
              <w:t>Banking</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4"/>
          </w:tcPr>
          <w:p>
            <w:pPr>
              <w:jc w:val="center"/>
              <w:ind w:left="3"/>
              <w:spacing w:after="0"/>
              <w:rPr>
                <w:sz w:val="20"/>
                <w:szCs w:val="20"/>
                <w:color w:val="auto"/>
              </w:rPr>
            </w:pPr>
            <w:r>
              <w:rPr>
                <w:rFonts w:ascii="Arial" w:cs="Arial" w:eastAsia="Arial" w:hAnsi="Arial"/>
                <w:sz w:val="11"/>
                <w:szCs w:val="11"/>
                <w:b w:val="1"/>
                <w:bCs w:val="1"/>
                <w:color w:val="auto"/>
                <w:w w:val="94"/>
              </w:rPr>
              <w:t>Retail Banking</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1"/>
                <w:szCs w:val="11"/>
                <w:b w:val="1"/>
                <w:bCs w:val="1"/>
                <w:color w:val="auto"/>
              </w:rPr>
              <w:t>All Other</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98"/>
              </w:rPr>
              <w:t>Total</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4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2019</w:t>
            </w:r>
          </w:p>
        </w:tc>
        <w:tc>
          <w:tcPr>
            <w:tcW w:w="2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w w:val="89"/>
              </w:rPr>
              <w:t>2018</w:t>
            </w:r>
          </w:p>
        </w:tc>
        <w:tc>
          <w:tcPr>
            <w:tcW w:w="18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2017</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2019</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w w:val="89"/>
              </w:rPr>
              <w:t>2018</w:t>
            </w:r>
          </w:p>
        </w:tc>
        <w:tc>
          <w:tcPr>
            <w:tcW w:w="12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2017</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w w:val="97"/>
              </w:rPr>
              <w:t>2018</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2017</w:t>
            </w:r>
          </w:p>
        </w:tc>
        <w:tc>
          <w:tcPr>
            <w:tcW w:w="10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2019</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b w:val="1"/>
                <w:bCs w:val="1"/>
                <w:color w:val="auto"/>
                <w:w w:val="89"/>
              </w:rPr>
              <w:t>2018</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2017</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440" w:type="dxa"/>
            <w:vAlign w:val="bottom"/>
            <w:shd w:val="clear" w:color="auto" w:fill="CFF0FC"/>
          </w:tcPr>
          <w:p>
            <w:pPr>
              <w:spacing w:after="0"/>
              <w:rPr>
                <w:sz w:val="20"/>
                <w:szCs w:val="20"/>
                <w:color w:val="auto"/>
              </w:rPr>
            </w:pPr>
            <w:r>
              <w:rPr>
                <w:rFonts w:ascii="Arial" w:cs="Arial" w:eastAsia="Arial" w:hAnsi="Arial"/>
                <w:sz w:val="11"/>
                <w:szCs w:val="11"/>
                <w:color w:val="auto"/>
              </w:rPr>
              <w:t>Net interest income(a)</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20,008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13,933</w:t>
            </w:r>
          </w:p>
        </w:tc>
        <w:tc>
          <w:tcPr>
            <w:tcW w:w="180" w:type="dxa"/>
            <w:vAlign w:val="bottom"/>
            <w:shd w:val="clear" w:color="auto" w:fill="CFF0FC"/>
          </w:tcPr>
          <w:p>
            <w:pPr>
              <w:spacing w:after="0"/>
              <w:rPr>
                <w:sz w:val="11"/>
                <w:szCs w:val="11"/>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30,328</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1,389,788</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$ 1,351,165</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1,210,066</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537,940</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557,542</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410,928</w:t>
            </w:r>
          </w:p>
        </w:tc>
        <w:tc>
          <w:tcPr>
            <w:tcW w:w="10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4,130,264</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4,072,302</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3,781,044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4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Noninterest income</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5"/>
              </w:rPr>
              <w:t>393,372</w:t>
            </w:r>
          </w:p>
        </w:tc>
        <w:tc>
          <w:tcPr>
            <w:tcW w:w="2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5"/>
              </w:rPr>
              <w:t>305,560</w:t>
            </w:r>
          </w:p>
        </w:tc>
        <w:tc>
          <w:tcPr>
            <w:tcW w:w="1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0"/>
              </w:rPr>
              <w:t>321,589</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327,562</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324,228</w:t>
            </w:r>
          </w:p>
        </w:tc>
        <w:tc>
          <w:tcPr>
            <w:tcW w:w="12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329,833</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695,443</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651,439</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609,945</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2,061,679</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1,856,000</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1,851,143</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413,380</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319,493</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0"/>
              </w:rPr>
              <w:t>351,917</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1,717,350</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1,675,393</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1,539,899</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1,233,383</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1,208,981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9"/>
              </w:rPr>
              <w:t>1,020,873</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6,191,943</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5,928,302</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5,632,187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40" w:type="dxa"/>
            <w:vAlign w:val="bottom"/>
          </w:tcPr>
          <w:p>
            <w:pPr>
              <w:spacing w:after="0"/>
              <w:rPr>
                <w:sz w:val="20"/>
                <w:szCs w:val="20"/>
                <w:color w:val="auto"/>
              </w:rPr>
            </w:pPr>
            <w:r>
              <w:rPr>
                <w:rFonts w:ascii="Arial" w:cs="Arial" w:eastAsia="Arial" w:hAnsi="Arial"/>
                <w:sz w:val="11"/>
                <w:szCs w:val="11"/>
                <w:color w:val="auto"/>
              </w:rPr>
              <w:t>Provision for credit losses</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382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(2,178)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1,254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122,135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112,572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107,412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6,257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(8,128)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8,265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176,000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132,000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168,000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40" w:type="dxa"/>
            <w:vAlign w:val="bottom"/>
            <w:shd w:val="clear" w:color="auto" w:fill="CFF0FC"/>
          </w:tcPr>
          <w:p>
            <w:pPr>
              <w:spacing w:after="0"/>
              <w:rPr>
                <w:sz w:val="20"/>
                <w:szCs w:val="20"/>
                <w:color w:val="auto"/>
              </w:rPr>
            </w:pPr>
            <w:r>
              <w:rPr>
                <w:rFonts w:ascii="Arial" w:cs="Arial" w:eastAsia="Arial" w:hAnsi="Arial"/>
                <w:sz w:val="11"/>
                <w:szCs w:val="11"/>
                <w:color w:val="auto"/>
              </w:rPr>
              <w:t>Amortization of core deposit</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40" w:type="dxa"/>
            <w:vAlign w:val="bottom"/>
            <w:shd w:val="clear" w:color="auto" w:fill="CFF0FC"/>
          </w:tcPr>
          <w:p>
            <w:pPr>
              <w:ind w:left="80"/>
              <w:spacing w:after="0"/>
              <w:rPr>
                <w:sz w:val="20"/>
                <w:szCs w:val="20"/>
                <w:color w:val="auto"/>
              </w:rPr>
            </w:pPr>
            <w:r>
              <w:rPr>
                <w:rFonts w:ascii="Arial" w:cs="Arial" w:eastAsia="Arial" w:hAnsi="Arial"/>
                <w:sz w:val="11"/>
                <w:szCs w:val="11"/>
                <w:color w:val="auto"/>
              </w:rPr>
              <w:t>and other intangible assets</w:t>
            </w: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18,430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23,462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30,306</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19,490</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24,522</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31,366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440" w:type="dxa"/>
            <w:vAlign w:val="bottom"/>
          </w:tcPr>
          <w:p>
            <w:pPr>
              <w:spacing w:after="0"/>
              <w:rPr>
                <w:sz w:val="20"/>
                <w:szCs w:val="20"/>
                <w:color w:val="auto"/>
              </w:rPr>
            </w:pPr>
            <w:r>
              <w:rPr>
                <w:rFonts w:ascii="Arial" w:cs="Arial" w:eastAsia="Arial" w:hAnsi="Arial"/>
                <w:sz w:val="11"/>
                <w:szCs w:val="11"/>
                <w:color w:val="auto"/>
              </w:rPr>
              <w:t>Depreciation and other</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40" w:type="dxa"/>
            <w:vAlign w:val="bottom"/>
          </w:tcPr>
          <w:p>
            <w:pPr>
              <w:ind w:left="100"/>
              <w:spacing w:after="0"/>
              <w:rPr>
                <w:sz w:val="20"/>
                <w:szCs w:val="20"/>
                <w:color w:val="auto"/>
              </w:rPr>
            </w:pPr>
            <w:r>
              <w:rPr>
                <w:rFonts w:ascii="Arial" w:cs="Arial" w:eastAsia="Arial" w:hAnsi="Arial"/>
                <w:sz w:val="11"/>
                <w:szCs w:val="11"/>
                <w:color w:val="auto"/>
              </w:rPr>
              <w:t>amortization</w:t>
            </w: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46,901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24,288</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32,011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38,394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35,274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38,234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68,840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68,004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69,923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180,924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154,483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165,759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40" w:type="dxa"/>
            <w:vAlign w:val="bottom"/>
            <w:shd w:val="clear" w:color="auto" w:fill="CFF0FC"/>
          </w:tcPr>
          <w:p>
            <w:pPr>
              <w:spacing w:after="0"/>
              <w:rPr>
                <w:sz w:val="20"/>
                <w:szCs w:val="20"/>
                <w:color w:val="auto"/>
              </w:rPr>
            </w:pPr>
            <w:r>
              <w:rPr>
                <w:rFonts w:ascii="Arial" w:cs="Arial" w:eastAsia="Arial" w:hAnsi="Arial"/>
                <w:sz w:val="11"/>
                <w:szCs w:val="11"/>
                <w:color w:val="auto"/>
              </w:rPr>
              <w:t>Other noninterest expense</w:t>
            </w:r>
          </w:p>
        </w:tc>
        <w:tc>
          <w:tcPr>
            <w:tcW w:w="1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274,414</w:t>
            </w:r>
          </w:p>
        </w:tc>
        <w:tc>
          <w:tcPr>
            <w:tcW w:w="2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241,624</w:t>
            </w: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0"/>
              </w:rPr>
              <w:t>247,639</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839,636</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789,783</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758,153</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1,157,432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1,125,428</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89"/>
              </w:rPr>
              <w:t>1,019,465</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3,268,268</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3,109,057</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2,943,200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40" w:type="dxa"/>
            <w:vAlign w:val="bottom"/>
          </w:tcPr>
          <w:p>
            <w:pPr>
              <w:spacing w:after="0"/>
              <w:rPr>
                <w:sz w:val="20"/>
                <w:szCs w:val="20"/>
                <w:color w:val="auto"/>
              </w:rPr>
            </w:pPr>
            <w:r>
              <w:rPr>
                <w:rFonts w:ascii="Arial" w:cs="Arial" w:eastAsia="Arial" w:hAnsi="Arial"/>
                <w:sz w:val="11"/>
                <w:szCs w:val="11"/>
                <w:color w:val="auto"/>
              </w:rPr>
              <w:t>Income (loss) before taxes</w:t>
            </w: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91,683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55,759</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71,013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717,185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737,764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636,100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(17,576)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215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(107,086)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w w:val="93"/>
              </w:rPr>
              <w:t>2,547,261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93"/>
              </w:rPr>
              <w:t>2,508,240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93"/>
              </w:rPr>
              <w:t>2,323,862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40" w:type="dxa"/>
            <w:vAlign w:val="bottom"/>
            <w:shd w:val="clear" w:color="auto" w:fill="CFF0FC"/>
          </w:tcPr>
          <w:p>
            <w:pPr>
              <w:spacing w:after="0"/>
              <w:rPr>
                <w:sz w:val="20"/>
                <w:szCs w:val="20"/>
                <w:color w:val="auto"/>
              </w:rPr>
            </w:pPr>
            <w:r>
              <w:rPr>
                <w:rFonts w:ascii="Arial" w:cs="Arial" w:eastAsia="Arial" w:hAnsi="Arial"/>
                <w:sz w:val="11"/>
                <w:szCs w:val="11"/>
                <w:color w:val="auto"/>
              </w:rPr>
              <w:t>Income tax expense (benefit)</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19,355</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10,272</w:t>
            </w: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25,446</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189,611</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196,467</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258,934</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(28,625)</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(54,766)</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(40,752)</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618,112</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590,160</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915,556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440" w:type="dxa"/>
            <w:vAlign w:val="bottom"/>
          </w:tcPr>
          <w:p>
            <w:pPr>
              <w:spacing w:after="0"/>
              <w:rPr>
                <w:sz w:val="20"/>
                <w:szCs w:val="20"/>
                <w:color w:val="auto"/>
              </w:rPr>
            </w:pPr>
            <w:r>
              <w:rPr>
                <w:rFonts w:ascii="Arial" w:cs="Arial" w:eastAsia="Arial" w:hAnsi="Arial"/>
                <w:sz w:val="11"/>
                <w:szCs w:val="11"/>
                <w:color w:val="auto"/>
              </w:rPr>
              <w:t>Net income (loss)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72,328</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45,487</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45,567</w:t>
            </w:r>
          </w:p>
        </w:tc>
        <w:tc>
          <w:tcPr>
            <w:tcW w:w="2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527,574</w:t>
            </w:r>
          </w:p>
        </w:tc>
        <w:tc>
          <w:tcPr>
            <w:tcW w:w="2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541,297</w:t>
            </w:r>
          </w:p>
        </w:tc>
        <w:tc>
          <w:tcPr>
            <w:tcW w:w="120" w:type="dxa"/>
            <w:vAlign w:val="bottom"/>
          </w:tcPr>
          <w:p>
            <w:pPr>
              <w:spacing w:after="0"/>
              <w:rPr>
                <w:sz w:val="15"/>
                <w:szCs w:val="15"/>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377,166</w:t>
            </w:r>
          </w:p>
        </w:tc>
        <w:tc>
          <w:tcPr>
            <w:tcW w:w="2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11,049</w:t>
            </w:r>
          </w:p>
        </w:tc>
        <w:tc>
          <w:tcPr>
            <w:tcW w:w="12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54,981</w:t>
            </w:r>
          </w:p>
        </w:tc>
        <w:tc>
          <w:tcPr>
            <w:tcW w:w="12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(66,334 )</w:t>
            </w: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w w:val="93"/>
              </w:rPr>
              <w:t>1,929,149</w:t>
            </w:r>
          </w:p>
        </w:tc>
        <w:tc>
          <w:tcPr>
            <w:tcW w:w="2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w w:val="93"/>
              </w:rPr>
              <w:t>1,918,080</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w w:val="93"/>
              </w:rPr>
              <w:t>1,408,306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440" w:type="dxa"/>
            <w:vAlign w:val="bottom"/>
            <w:tcBorders>
              <w:top w:val="single" w:sz="8" w:color="CFF0FC"/>
            </w:tcBorders>
            <w:shd w:val="clear" w:color="auto" w:fill="CFF0FC"/>
          </w:tcPr>
          <w:p>
            <w:pPr>
              <w:spacing w:after="0" w:line="118" w:lineRule="exact"/>
              <w:rPr>
                <w:sz w:val="20"/>
                <w:szCs w:val="20"/>
                <w:color w:val="auto"/>
              </w:rPr>
            </w:pPr>
            <w:r>
              <w:rPr>
                <w:rFonts w:ascii="Arial" w:cs="Arial" w:eastAsia="Arial" w:hAnsi="Arial"/>
                <w:sz w:val="11"/>
                <w:szCs w:val="11"/>
                <w:color w:val="auto"/>
              </w:rPr>
              <w:t>Average total assets</w:t>
            </w:r>
          </w:p>
        </w:tc>
        <w:tc>
          <w:tcPr>
            <w:tcW w:w="100" w:type="dxa"/>
            <w:vAlign w:val="bottom"/>
            <w:tcBorders>
              <w:top w:val="single" w:sz="8" w:color="auto"/>
            </w:tcBorders>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(in millions)</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2,611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2,161</w:t>
            </w:r>
          </w:p>
        </w:tc>
        <w:tc>
          <w:tcPr>
            <w:tcW w:w="180" w:type="dxa"/>
            <w:vAlign w:val="bottom"/>
            <w:shd w:val="clear" w:color="auto" w:fill="CFF0FC"/>
          </w:tcPr>
          <w:p>
            <w:pPr>
              <w:spacing w:after="0"/>
              <w:rPr>
                <w:sz w:val="11"/>
                <w:szCs w:val="11"/>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2,355</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15,083</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13,656</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12,702</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14,953</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13,877</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13,684</w:t>
            </w:r>
          </w:p>
        </w:tc>
        <w:tc>
          <w:tcPr>
            <w:tcW w:w="10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119,584</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116,959</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120,860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color w:val="auto"/>
              </w:rPr>
              <w:t>Capital expenditures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40" w:type="dxa"/>
            <w:vAlign w:val="bottom"/>
          </w:tcPr>
          <w:p>
            <w:pPr>
              <w:ind w:left="100"/>
              <w:spacing w:after="0"/>
              <w:rPr>
                <w:sz w:val="20"/>
                <w:szCs w:val="20"/>
                <w:color w:val="auto"/>
              </w:rPr>
            </w:pPr>
            <w:r>
              <w:rPr>
                <w:rFonts w:ascii="Arial" w:cs="Arial" w:eastAsia="Arial" w:hAnsi="Arial"/>
                <w:sz w:val="11"/>
                <w:szCs w:val="11"/>
                <w:color w:val="auto"/>
              </w:rPr>
              <w:t>(in millions)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1</w:t>
            </w: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1"/>
                <w:szCs w:val="11"/>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76</w:t>
            </w:r>
          </w:p>
        </w:tc>
        <w:tc>
          <w:tcPr>
            <w:tcW w:w="2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11"/>
                <w:szCs w:val="1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34</w:t>
            </w:r>
          </w:p>
        </w:tc>
        <w:tc>
          <w:tcPr>
            <w:tcW w:w="2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98</w:t>
            </w:r>
          </w:p>
        </w:tc>
        <w:tc>
          <w:tcPr>
            <w:tcW w:w="120" w:type="dxa"/>
            <w:vAlign w:val="bottom"/>
          </w:tcPr>
          <w:p>
            <w:pPr>
              <w:spacing w:after="0"/>
              <w:rPr>
                <w:sz w:val="11"/>
                <w:szCs w:val="11"/>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11"/>
                <w:szCs w:val="11"/>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44</w:t>
            </w:r>
          </w:p>
        </w:tc>
        <w:tc>
          <w:tcPr>
            <w:tcW w:w="100" w:type="dxa"/>
            <w:vAlign w:val="bottom"/>
          </w:tcPr>
          <w:p>
            <w:pPr>
              <w:spacing w:after="0"/>
              <w:rPr>
                <w:sz w:val="11"/>
                <w:szCs w:val="11"/>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178</w:t>
            </w:r>
          </w:p>
        </w:tc>
        <w:tc>
          <w:tcPr>
            <w:tcW w:w="2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98</w:t>
            </w:r>
          </w:p>
        </w:tc>
        <w:tc>
          <w:tcPr>
            <w:tcW w:w="2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jc w:val="both"/>
        <w:ind w:left="600" w:right="120" w:hanging="595"/>
        <w:spacing w:after="0" w:line="243" w:lineRule="auto"/>
        <w:tabs>
          <w:tab w:leader="none" w:pos="600" w:val="left"/>
        </w:tabs>
        <w:numPr>
          <w:ilvl w:val="0"/>
          <w:numId w:val="56"/>
        </w:numPr>
        <w:rPr>
          <w:rFonts w:ascii="Arial" w:cs="Arial" w:eastAsia="Arial" w:hAnsi="Arial"/>
          <w:sz w:val="12"/>
          <w:szCs w:val="12"/>
          <w:i w:val="1"/>
          <w:iCs w:val="1"/>
          <w:color w:val="auto"/>
        </w:rPr>
      </w:pPr>
      <w:r>
        <w:rPr>
          <w:rFonts w:ascii="Arial" w:cs="Arial" w:eastAsia="Arial" w:hAnsi="Arial"/>
          <w:sz w:val="12"/>
          <w:szCs w:val="12"/>
          <w:i w:val="1"/>
          <w:iCs w:val="1"/>
          <w:color w:val="auto"/>
        </w:rPr>
        <w:t>Net interest income is the difference between actual taxable-equivalent interest earned on assets and interest paid on liabilities by a segment and a funding charge (credit) based on the Company’s internal funds transfer pricing methodology. Segments are charged a cost to fund any assets (e.g. loans) and are paid a funding credit for any funds provided (e.g. deposits). The taxable-equivalent adjustment aggregated $22,863,000 in 2019, $21,897,000 in 2018 and $34,570,000 in 2017 and is eliminated in “All Other” net interest income and income tax expense (benefit).</w:t>
      </w:r>
    </w:p>
    <w:p>
      <w:pPr>
        <w:spacing w:after="0" w:line="199" w:lineRule="exact"/>
        <w:rPr>
          <w:sz w:val="20"/>
          <w:szCs w:val="20"/>
          <w:color w:val="auto"/>
        </w:rPr>
      </w:pPr>
    </w:p>
    <w:p>
      <w:pPr>
        <w:ind w:right="100" w:firstLine="598"/>
        <w:spacing w:after="0" w:line="280" w:lineRule="auto"/>
        <w:rPr>
          <w:sz w:val="20"/>
          <w:szCs w:val="20"/>
          <w:color w:val="auto"/>
        </w:rPr>
      </w:pPr>
      <w:r>
        <w:rPr>
          <w:rFonts w:ascii="Arial" w:cs="Arial" w:eastAsia="Arial" w:hAnsi="Arial"/>
          <w:sz w:val="18"/>
          <w:szCs w:val="18"/>
          <w:color w:val="auto"/>
        </w:rPr>
        <w:t>The Business Banking segment provides deposit, lending, cash management and other financial services to small businesses and professionals through the Company’s banking office network and several other delivery channels, including business banking centers, telephone banking, Internet banking and automated teller machines. The Commercial Banking segment provides a wide range of credit products and banking services to middle-market and large commercial customers, mainly within the markets the Company serves. Among the services provided by this segment are commercial lending and leasing, letters of credit, deposit products and cash management services. The Commercial Real Estate segment provides credit services which are secured by various types of multifamily residential and commercial real estate and deposit services to its customers. Activities of this segment include the origination, sales and servicing of commercial real estate loans. Commercial real estate loans held for sale are included in the Commercial Real Estate Segment. The Discretionary Portfolio segment includes securities; residential real estate loans and other assets; short-term and long-term borrowed funds; brokered deposits; and Cayman Islands branch deposits. This segment also provides foreign exchange services to customers. The Residential Mortgage Banking segment originates and services residential real estate loans for consumers and sells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83" w:name="page184"/>
    <w:bookmarkEnd w:id="183"/>
    <w:p>
      <w:pPr>
        <w:ind w:right="120"/>
        <w:spacing w:after="0" w:line="264" w:lineRule="auto"/>
        <w:rPr>
          <w:sz w:val="20"/>
          <w:szCs w:val="20"/>
          <w:color w:val="auto"/>
        </w:rPr>
      </w:pPr>
      <w:r>
        <w:rPr>
          <w:rFonts w:ascii="Arial" w:cs="Arial" w:eastAsia="Arial" w:hAnsi="Arial"/>
          <w:sz w:val="19"/>
          <w:szCs w:val="19"/>
          <w:color w:val="auto"/>
        </w:rPr>
        <w:t>substantially all originated loans in the secondary market to investors or to the Discretionary Portfolio segment. The segment periodically purchases servicing rights to loans that have been originated by other entities. Residential real estate loans held for sale are included in the Residential Mortgage Banking segment. The Retail Banking segment offers a variety of services to consumers through several delivery channels that include banking offices, automated teller machines, and telephone, mobile and Internet banking. The “All Other” category includes other operating activities of the Company that are not directly attributable to the reported segments; the difference between the provision for credit losses and the calculated provision allocated to the reportable segments; goodwill and core deposit and other intangible assets resulting from acquisitions of financial institutions; merger-related gains and expenses resulting from acquisitions; the net impact of the Company’s internal funds transfer pricing methodology; eliminations of transactions between reportable segments; certain nonrecurring transactions; the residual effects of unallocated support systems and general and administrative expenses; and the impact of interest rate risk management strategies. The amount of intersegment activity eliminated in arriving at consolidated totals was included in the “All Other” category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43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45"/>
              <w:spacing w:after="0" w:line="151"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250"/>
              <w:spacing w:after="0" w:line="151" w:lineRule="exact"/>
              <w:rPr>
                <w:sz w:val="20"/>
                <w:szCs w:val="20"/>
                <w:color w:val="auto"/>
              </w:rPr>
            </w:pPr>
            <w:r>
              <w:rPr>
                <w:rFonts w:ascii="Arial" w:cs="Arial" w:eastAsia="Arial" w:hAnsi="Arial"/>
                <w:sz w:val="14"/>
                <w:szCs w:val="14"/>
                <w:b w:val="1"/>
                <w:bCs w:val="1"/>
                <w:color w:val="auto"/>
                <w:w w:val="89"/>
              </w:rPr>
              <w:t>2018</w:t>
            </w:r>
          </w:p>
        </w:tc>
        <w:tc>
          <w:tcPr>
            <w:tcW w:w="4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5"/>
              <w:spacing w:after="0" w:line="151"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76"/>
        </w:trPr>
        <w:tc>
          <w:tcPr>
            <w:tcW w:w="43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center"/>
              <w:ind w:right="25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82"/>
        </w:trPr>
        <w:tc>
          <w:tcPr>
            <w:tcW w:w="4300" w:type="dxa"/>
            <w:vAlign w:val="bottom"/>
          </w:tcPr>
          <w:p>
            <w:pPr>
              <w:spacing w:after="0"/>
              <w:rPr>
                <w:sz w:val="20"/>
                <w:szCs w:val="20"/>
                <w:color w:val="auto"/>
              </w:rPr>
            </w:pPr>
            <w:r>
              <w:rPr>
                <w:rFonts w:ascii="Arial" w:cs="Arial" w:eastAsia="Arial" w:hAnsi="Arial"/>
                <w:sz w:val="20"/>
                <w:szCs w:val="20"/>
                <w:color w:val="auto"/>
              </w:rPr>
              <w:t>Revenues</w:t>
            </w:r>
          </w:p>
        </w:tc>
        <w:tc>
          <w:tcPr>
            <w:tcW w:w="278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(48,559)</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10"/>
              <w:spacing w:after="0"/>
              <w:rPr>
                <w:sz w:val="20"/>
                <w:szCs w:val="20"/>
                <w:color w:val="auto"/>
              </w:rPr>
            </w:pPr>
            <w:r>
              <w:rPr>
                <w:rFonts w:ascii="Arial" w:cs="Arial" w:eastAsia="Arial" w:hAnsi="Arial"/>
                <w:sz w:val="20"/>
                <w:szCs w:val="20"/>
                <w:color w:val="auto"/>
              </w:rPr>
              <w:t>(41,285)</w:t>
            </w:r>
          </w:p>
        </w:tc>
        <w:tc>
          <w:tcPr>
            <w:tcW w:w="400" w:type="dxa"/>
            <w:vAlign w:val="bottom"/>
          </w:tcPr>
          <w:p>
            <w:pPr>
              <w:jc w:val="right"/>
              <w:ind w:right="119"/>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(43,941)</w:t>
            </w:r>
          </w:p>
        </w:tc>
      </w:tr>
      <w:tr>
        <w:trPr>
          <w:trHeight w:val="250"/>
        </w:trPr>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Expenses</w:t>
            </w:r>
          </w:p>
        </w:tc>
        <w:tc>
          <w:tcPr>
            <w:tcW w:w="2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(18,218)</w:t>
            </w: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20"/>
                <w:szCs w:val="20"/>
                <w:color w:val="auto"/>
              </w:rPr>
              <w:t>(24,660)</w:t>
            </w:r>
          </w:p>
        </w:tc>
        <w:tc>
          <w:tcPr>
            <w:tcW w:w="4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(32,623)</w:t>
            </w:r>
          </w:p>
        </w:tc>
      </w:tr>
      <w:tr>
        <w:trPr>
          <w:trHeight w:val="250"/>
        </w:trPr>
        <w:tc>
          <w:tcPr>
            <w:tcW w:w="4300" w:type="dxa"/>
            <w:vAlign w:val="bottom"/>
          </w:tcPr>
          <w:p>
            <w:pPr>
              <w:spacing w:after="0"/>
              <w:rPr>
                <w:sz w:val="20"/>
                <w:szCs w:val="20"/>
                <w:color w:val="auto"/>
              </w:rPr>
            </w:pPr>
            <w:r>
              <w:rPr>
                <w:rFonts w:ascii="Arial" w:cs="Arial" w:eastAsia="Arial" w:hAnsi="Arial"/>
                <w:sz w:val="20"/>
                <w:szCs w:val="20"/>
                <w:color w:val="auto"/>
              </w:rPr>
              <w:t>Income taxes (benefit)</w:t>
            </w:r>
          </w:p>
        </w:tc>
        <w:tc>
          <w:tcPr>
            <w:tcW w:w="2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(7,976)</w:t>
            </w:r>
          </w:p>
        </w:tc>
        <w:tc>
          <w:tcPr>
            <w:tcW w:w="3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20"/>
                <w:szCs w:val="20"/>
                <w:color w:val="auto"/>
              </w:rPr>
              <w:t>(4,371)</w:t>
            </w:r>
          </w:p>
        </w:tc>
        <w:tc>
          <w:tcPr>
            <w:tcW w:w="4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(4,606)</w:t>
            </w:r>
          </w:p>
        </w:tc>
      </w:tr>
      <w:tr>
        <w:trPr>
          <w:trHeight w:val="250"/>
        </w:trPr>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Net income (loss)</w:t>
            </w:r>
          </w:p>
        </w:tc>
        <w:tc>
          <w:tcPr>
            <w:tcW w:w="2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(22,365)</w:t>
            </w: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20"/>
                <w:szCs w:val="20"/>
                <w:color w:val="auto"/>
              </w:rPr>
              <w:t>(12,254)</w:t>
            </w:r>
          </w:p>
        </w:tc>
        <w:tc>
          <w:tcPr>
            <w:tcW w:w="4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(6,712)</w:t>
            </w:r>
          </w:p>
        </w:tc>
      </w:tr>
    </w:tbl>
    <w:p>
      <w:pPr>
        <w:spacing w:after="0" w:line="236" w:lineRule="exact"/>
        <w:rPr>
          <w:sz w:val="20"/>
          <w:szCs w:val="20"/>
          <w:color w:val="auto"/>
        </w:rPr>
      </w:pPr>
    </w:p>
    <w:p>
      <w:pPr>
        <w:jc w:val="both"/>
        <w:ind w:right="40" w:firstLine="598"/>
        <w:spacing w:after="0" w:line="275" w:lineRule="auto"/>
        <w:rPr>
          <w:sz w:val="20"/>
          <w:szCs w:val="20"/>
          <w:color w:val="auto"/>
        </w:rPr>
      </w:pPr>
      <w:r>
        <w:rPr>
          <w:rFonts w:ascii="Arial" w:cs="Arial" w:eastAsia="Arial" w:hAnsi="Arial"/>
          <w:sz w:val="20"/>
          <w:szCs w:val="20"/>
          <w:color w:val="auto"/>
        </w:rPr>
        <w:t>The Company conducts substantially all of its operations in the United States. There are no transactions with a single customer that in the aggregate result in revenues that exceed ten percent of consolidated total revenues.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84" w:name="page185"/>
    <w:bookmarkEnd w:id="184"/>
    <w:p>
      <w:pPr>
        <w:spacing w:after="0"/>
        <w:tabs>
          <w:tab w:leader="none" w:pos="44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8"/>
          <w:szCs w:val="18"/>
          <w:b w:val="1"/>
          <w:bCs w:val="1"/>
          <w:color w:val="auto"/>
        </w:rPr>
        <w:t>Regulatory matters</w:t>
      </w:r>
    </w:p>
    <w:p>
      <w:pPr>
        <w:spacing w:after="0" w:line="29"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Payment of dividends by M&amp;T’s banking subsidiaries is restricted by various legal and regulatory limitations. Dividends from any banking subsidiary to M&amp;T are limited by the amount of earnings of the banking subsidiary in the current year and the preceding two years. For purposes of this test, at December 31, 2019, approximately $605 million was available for payment of dividends to M&amp;T from banking subsidiaries. M&amp;T may pay dividends and repurchase stock only in accordance with a capital plan that the Federal Reserve Board has not objected to.</w:t>
      </w:r>
    </w:p>
    <w:p>
      <w:pPr>
        <w:spacing w:after="0" w:line="4" w:lineRule="exact"/>
        <w:rPr>
          <w:sz w:val="20"/>
          <w:szCs w:val="20"/>
          <w:color w:val="auto"/>
        </w:rPr>
      </w:pPr>
    </w:p>
    <w:p>
      <w:pPr>
        <w:ind w:right="200" w:firstLine="598"/>
        <w:spacing w:after="0" w:line="246" w:lineRule="auto"/>
        <w:rPr>
          <w:sz w:val="20"/>
          <w:szCs w:val="20"/>
          <w:color w:val="auto"/>
        </w:rPr>
      </w:pPr>
      <w:r>
        <w:rPr>
          <w:rFonts w:ascii="Arial" w:cs="Arial" w:eastAsia="Arial" w:hAnsi="Arial"/>
          <w:sz w:val="20"/>
          <w:szCs w:val="20"/>
          <w:color w:val="auto"/>
        </w:rPr>
        <w:t>Banking regulations prohibit extensions of credit by the subsidiary banks to M&amp;T unless appropriately secured by assets. Securities of affiliates are not eligible as collateral for this purpose.</w:t>
      </w:r>
    </w:p>
    <w:p>
      <w:pPr>
        <w:spacing w:after="0" w:line="2" w:lineRule="exact"/>
        <w:rPr>
          <w:sz w:val="20"/>
          <w:szCs w:val="20"/>
          <w:color w:val="auto"/>
        </w:rPr>
      </w:pPr>
    </w:p>
    <w:p>
      <w:pPr>
        <w:ind w:right="420" w:firstLine="598"/>
        <w:spacing w:after="0" w:line="246" w:lineRule="auto"/>
        <w:rPr>
          <w:sz w:val="20"/>
          <w:szCs w:val="20"/>
          <w:color w:val="auto"/>
        </w:rPr>
      </w:pPr>
      <w:r>
        <w:rPr>
          <w:rFonts w:ascii="Arial" w:cs="Arial" w:eastAsia="Arial" w:hAnsi="Arial"/>
          <w:sz w:val="20"/>
          <w:szCs w:val="20"/>
          <w:color w:val="auto"/>
        </w:rPr>
        <w:t>The bank subsidiaries are required to maintain reserves against certain deposit liabilities. During the maintenance periods that included December 31, 2019 and 2018, cash and due from banks and interest-earning deposits at banks included a daily average of $666 million and $684 million, respectively, for such purpose.</w:t>
      </w:r>
    </w:p>
    <w:p>
      <w:pPr>
        <w:spacing w:after="0" w:line="2" w:lineRule="exact"/>
        <w:rPr>
          <w:sz w:val="20"/>
          <w:szCs w:val="20"/>
          <w:color w:val="auto"/>
        </w:rPr>
      </w:pPr>
    </w:p>
    <w:p>
      <w:pPr>
        <w:ind w:right="60" w:firstLine="598"/>
        <w:spacing w:after="0" w:line="250" w:lineRule="auto"/>
        <w:rPr>
          <w:sz w:val="20"/>
          <w:szCs w:val="20"/>
          <w:color w:val="auto"/>
        </w:rPr>
      </w:pPr>
      <w:r>
        <w:rPr>
          <w:rFonts w:ascii="Arial" w:cs="Arial" w:eastAsia="Arial" w:hAnsi="Arial"/>
          <w:sz w:val="20"/>
          <w:szCs w:val="20"/>
          <w:color w:val="auto"/>
        </w:rPr>
        <w:t>M&amp;T and its subsidiary banks are required to comply with applicable capital adequacy regulations established by the federal banking agencies. Failure to meet minimum capital requirements can result in certain mandatory, and possibly additional discretionary, actions by regulators that, if undertaken, could have a material effect on the Company’s financial statements. Pursuant to the rules in effect as of December 31, 2019, the required minimum and well capitalized capital ratios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430"/>
              <w:spacing w:after="0"/>
              <w:rPr>
                <w:sz w:val="20"/>
                <w:szCs w:val="20"/>
                <w:color w:val="auto"/>
              </w:rPr>
            </w:pPr>
            <w:r>
              <w:rPr>
                <w:rFonts w:ascii="Arial" w:cs="Arial" w:eastAsia="Arial" w:hAnsi="Arial"/>
                <w:sz w:val="14"/>
                <w:szCs w:val="14"/>
                <w:b w:val="1"/>
                <w:bCs w:val="1"/>
                <w:color w:val="auto"/>
              </w:rPr>
              <w:t>Well</w:t>
            </w:r>
          </w:p>
        </w:tc>
        <w:tc>
          <w:tcPr>
            <w:tcW w:w="0" w:type="dxa"/>
            <w:vAlign w:val="bottom"/>
          </w:tcPr>
          <w:p>
            <w:pPr>
              <w:spacing w:after="0"/>
              <w:rPr>
                <w:sz w:val="1"/>
                <w:szCs w:val="1"/>
                <w:color w:val="auto"/>
              </w:rPr>
            </w:pPr>
          </w:p>
        </w:tc>
      </w:tr>
      <w:tr>
        <w:trPr>
          <w:trHeight w:val="167"/>
        </w:trPr>
        <w:tc>
          <w:tcPr>
            <w:tcW w:w="8620" w:type="dxa"/>
            <w:vAlign w:val="bottom"/>
            <w:vMerge w:val="restart"/>
          </w:tcPr>
          <w:p>
            <w:pPr>
              <w:spacing w:after="0"/>
              <w:rPr>
                <w:sz w:val="20"/>
                <w:szCs w:val="20"/>
                <w:color w:val="auto"/>
              </w:rPr>
            </w:pPr>
            <w:r>
              <w:rPr>
                <w:rFonts w:ascii="Arial" w:cs="Arial" w:eastAsia="Arial" w:hAnsi="Arial"/>
                <w:sz w:val="20"/>
                <w:szCs w:val="20"/>
                <w:color w:val="auto"/>
              </w:rPr>
              <w:t>●  Common equity Tier 1 ("CET1") to risk-weighted assets</w:t>
            </w:r>
          </w:p>
        </w:tc>
        <w:tc>
          <w:tcPr>
            <w:tcW w:w="1480" w:type="dxa"/>
            <w:vAlign w:val="bottom"/>
            <w:gridSpan w:val="2"/>
          </w:tcPr>
          <w:p>
            <w:pPr>
              <w:ind w:left="360"/>
              <w:spacing w:after="0"/>
              <w:rPr>
                <w:sz w:val="20"/>
                <w:szCs w:val="20"/>
                <w:color w:val="auto"/>
              </w:rPr>
            </w:pPr>
            <w:r>
              <w:rPr>
                <w:rFonts w:ascii="Arial" w:cs="Arial" w:eastAsia="Arial" w:hAnsi="Arial"/>
                <w:sz w:val="14"/>
                <w:szCs w:val="14"/>
                <w:b w:val="1"/>
                <w:bCs w:val="1"/>
                <w:color w:val="auto"/>
              </w:rPr>
              <w:t>Minimum</w:t>
            </w:r>
          </w:p>
        </w:tc>
        <w:tc>
          <w:tcPr>
            <w:tcW w:w="1320" w:type="dxa"/>
            <w:vAlign w:val="bottom"/>
          </w:tcPr>
          <w:p>
            <w:pPr>
              <w:jc w:val="right"/>
              <w:ind w:right="230"/>
              <w:spacing w:after="0"/>
              <w:rPr>
                <w:sz w:val="20"/>
                <w:szCs w:val="20"/>
                <w:color w:val="auto"/>
              </w:rPr>
            </w:pPr>
            <w:r>
              <w:rPr>
                <w:rFonts w:ascii="Arial" w:cs="Arial" w:eastAsia="Arial" w:hAnsi="Arial"/>
                <w:sz w:val="14"/>
                <w:szCs w:val="14"/>
                <w:b w:val="1"/>
                <w:bCs w:val="1"/>
                <w:color w:val="auto"/>
              </w:rPr>
              <w:t>Capitalized</w:t>
            </w:r>
          </w:p>
        </w:tc>
        <w:tc>
          <w:tcPr>
            <w:tcW w:w="0" w:type="dxa"/>
            <w:vAlign w:val="bottom"/>
          </w:tcPr>
          <w:p>
            <w:pPr>
              <w:spacing w:after="0"/>
              <w:rPr>
                <w:sz w:val="1"/>
                <w:szCs w:val="1"/>
                <w:color w:val="auto"/>
              </w:rPr>
            </w:pPr>
          </w:p>
        </w:tc>
      </w:tr>
      <w:tr>
        <w:trPr>
          <w:trHeight w:val="243"/>
        </w:trPr>
        <w:tc>
          <w:tcPr>
            <w:tcW w:w="8620" w:type="dxa"/>
            <w:vAlign w:val="bottom"/>
            <w:vMerge w:val="continue"/>
          </w:tcPr>
          <w:p>
            <w:pPr>
              <w:spacing w:after="0"/>
              <w:rPr>
                <w:sz w:val="21"/>
                <w:szCs w:val="21"/>
                <w:color w:val="auto"/>
              </w:rPr>
            </w:pPr>
          </w:p>
        </w:tc>
        <w:tc>
          <w:tcPr>
            <w:tcW w:w="1320" w:type="dxa"/>
            <w:vAlign w:val="bottom"/>
            <w:tcBorders>
              <w:top w:val="single" w:sz="8" w:color="auto"/>
            </w:tcBorders>
          </w:tcPr>
          <w:p>
            <w:pPr>
              <w:jc w:val="right"/>
              <w:ind w:right="85"/>
              <w:spacing w:after="0"/>
              <w:rPr>
                <w:sz w:val="20"/>
                <w:szCs w:val="20"/>
                <w:color w:val="auto"/>
              </w:rPr>
            </w:pPr>
            <w:r>
              <w:rPr>
                <w:rFonts w:ascii="Arial" w:cs="Arial" w:eastAsia="Arial" w:hAnsi="Arial"/>
                <w:sz w:val="20"/>
                <w:szCs w:val="20"/>
                <w:color w:val="auto"/>
              </w:rPr>
              <w:t>4.5%</w:t>
            </w:r>
          </w:p>
        </w:tc>
        <w:tc>
          <w:tcPr>
            <w:tcW w:w="160" w:type="dxa"/>
            <w:vAlign w:val="bottom"/>
          </w:tcPr>
          <w:p>
            <w:pPr>
              <w:spacing w:after="0"/>
              <w:rPr>
                <w:sz w:val="21"/>
                <w:szCs w:val="21"/>
                <w:color w:val="auto"/>
              </w:rPr>
            </w:pPr>
          </w:p>
        </w:tc>
        <w:tc>
          <w:tcPr>
            <w:tcW w:w="1320" w:type="dxa"/>
            <w:vAlign w:val="bottom"/>
            <w:tcBorders>
              <w:top w:val="single" w:sz="8" w:color="auto"/>
            </w:tcBorders>
          </w:tcPr>
          <w:p>
            <w:pPr>
              <w:jc w:val="right"/>
              <w:ind w:right="90"/>
              <w:spacing w:after="0"/>
              <w:rPr>
                <w:sz w:val="20"/>
                <w:szCs w:val="20"/>
                <w:color w:val="auto"/>
              </w:rPr>
            </w:pPr>
            <w:r>
              <w:rPr>
                <w:rFonts w:ascii="Arial" w:cs="Arial" w:eastAsia="Arial" w:hAnsi="Arial"/>
                <w:sz w:val="20"/>
                <w:szCs w:val="20"/>
                <w:color w:val="auto"/>
              </w:rPr>
              <w:t>6.5%</w:t>
            </w:r>
          </w:p>
        </w:tc>
        <w:tc>
          <w:tcPr>
            <w:tcW w:w="0" w:type="dxa"/>
            <w:vAlign w:val="bottom"/>
          </w:tcPr>
          <w:p>
            <w:pPr>
              <w:spacing w:after="0"/>
              <w:rPr>
                <w:sz w:val="1"/>
                <w:szCs w:val="1"/>
                <w:color w:val="auto"/>
              </w:rPr>
            </w:pPr>
          </w:p>
        </w:tc>
      </w:tr>
      <w:tr>
        <w:trPr>
          <w:trHeight w:val="250"/>
        </w:trPr>
        <w:tc>
          <w:tcPr>
            <w:tcW w:w="8620" w:type="dxa"/>
            <w:vAlign w:val="bottom"/>
            <w:shd w:val="clear" w:color="auto" w:fill="CFF0FC"/>
          </w:tcPr>
          <w:p>
            <w:pPr>
              <w:spacing w:after="0"/>
              <w:rPr>
                <w:sz w:val="20"/>
                <w:szCs w:val="20"/>
                <w:color w:val="auto"/>
              </w:rPr>
            </w:pPr>
            <w:r>
              <w:rPr>
                <w:rFonts w:ascii="Arial" w:cs="Arial" w:eastAsia="Arial" w:hAnsi="Arial"/>
                <w:sz w:val="20"/>
                <w:szCs w:val="20"/>
                <w:color w:val="auto"/>
              </w:rPr>
              <w:t>●  Tier 1 capital to risk-weighted assets</w:t>
            </w:r>
          </w:p>
        </w:tc>
        <w:tc>
          <w:tcPr>
            <w:tcW w:w="1320" w:type="dxa"/>
            <w:vAlign w:val="bottom"/>
            <w:shd w:val="clear" w:color="auto" w:fill="CFF0FC"/>
          </w:tcPr>
          <w:p>
            <w:pPr>
              <w:jc w:val="right"/>
              <w:ind w:right="85"/>
              <w:spacing w:after="0"/>
              <w:rPr>
                <w:sz w:val="20"/>
                <w:szCs w:val="20"/>
                <w:color w:val="auto"/>
              </w:rPr>
            </w:pPr>
            <w:r>
              <w:rPr>
                <w:rFonts w:ascii="Arial" w:cs="Arial" w:eastAsia="Arial" w:hAnsi="Arial"/>
                <w:sz w:val="20"/>
                <w:szCs w:val="20"/>
                <w:color w:val="auto"/>
              </w:rPr>
              <w:t>6.0%</w:t>
            </w: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250"/>
        </w:trPr>
        <w:tc>
          <w:tcPr>
            <w:tcW w:w="8620" w:type="dxa"/>
            <w:vAlign w:val="bottom"/>
          </w:tcPr>
          <w:p>
            <w:pPr>
              <w:spacing w:after="0"/>
              <w:rPr>
                <w:sz w:val="20"/>
                <w:szCs w:val="20"/>
                <w:color w:val="auto"/>
              </w:rPr>
            </w:pPr>
            <w:r>
              <w:rPr>
                <w:rFonts w:ascii="Arial" w:cs="Arial" w:eastAsia="Arial" w:hAnsi="Arial"/>
                <w:sz w:val="20"/>
                <w:szCs w:val="20"/>
                <w:color w:val="auto"/>
              </w:rPr>
              <w:t>●  Total capital to risk-weighted assets</w:t>
            </w:r>
          </w:p>
        </w:tc>
        <w:tc>
          <w:tcPr>
            <w:tcW w:w="1320" w:type="dxa"/>
            <w:vAlign w:val="bottom"/>
          </w:tcPr>
          <w:p>
            <w:pPr>
              <w:jc w:val="right"/>
              <w:ind w:right="85"/>
              <w:spacing w:after="0"/>
              <w:rPr>
                <w:sz w:val="20"/>
                <w:szCs w:val="20"/>
                <w:color w:val="auto"/>
              </w:rPr>
            </w:pPr>
            <w:r>
              <w:rPr>
                <w:rFonts w:ascii="Arial" w:cs="Arial" w:eastAsia="Arial" w:hAnsi="Arial"/>
                <w:sz w:val="20"/>
                <w:szCs w:val="20"/>
                <w:color w:val="auto"/>
              </w:rPr>
              <w:t>8.0%</w:t>
            </w:r>
          </w:p>
        </w:tc>
        <w:tc>
          <w:tcPr>
            <w:tcW w:w="16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50"/>
        </w:trPr>
        <w:tc>
          <w:tcPr>
            <w:tcW w:w="8620" w:type="dxa"/>
            <w:vAlign w:val="bottom"/>
            <w:shd w:val="clear" w:color="auto" w:fill="CFF0FC"/>
          </w:tcPr>
          <w:p>
            <w:pPr>
              <w:spacing w:after="0"/>
              <w:rPr>
                <w:sz w:val="20"/>
                <w:szCs w:val="20"/>
                <w:color w:val="auto"/>
              </w:rPr>
            </w:pPr>
            <w:r>
              <w:rPr>
                <w:rFonts w:ascii="Arial" w:cs="Arial" w:eastAsia="Arial" w:hAnsi="Arial"/>
                <w:sz w:val="20"/>
                <w:szCs w:val="20"/>
                <w:color w:val="auto"/>
              </w:rPr>
              <w:t>●  Leverage — Tier 1 capital to average total assets, as defined</w:t>
            </w:r>
          </w:p>
        </w:tc>
        <w:tc>
          <w:tcPr>
            <w:tcW w:w="1320" w:type="dxa"/>
            <w:vAlign w:val="bottom"/>
            <w:shd w:val="clear" w:color="auto" w:fill="CFF0FC"/>
          </w:tcPr>
          <w:p>
            <w:pPr>
              <w:jc w:val="right"/>
              <w:ind w:right="85"/>
              <w:spacing w:after="0"/>
              <w:rPr>
                <w:sz w:val="20"/>
                <w:szCs w:val="20"/>
                <w:color w:val="auto"/>
              </w:rPr>
            </w:pPr>
            <w:r>
              <w:rPr>
                <w:rFonts w:ascii="Arial" w:cs="Arial" w:eastAsia="Arial" w:hAnsi="Arial"/>
                <w:sz w:val="20"/>
                <w:szCs w:val="20"/>
                <w:color w:val="auto"/>
              </w:rPr>
              <w:t>4.0%</w:t>
            </w: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340" w:firstLine="598"/>
        <w:spacing w:after="0" w:line="275" w:lineRule="auto"/>
        <w:rPr>
          <w:sz w:val="20"/>
          <w:szCs w:val="20"/>
          <w:color w:val="auto"/>
        </w:rPr>
      </w:pPr>
      <w:r>
        <w:rPr>
          <w:rFonts w:ascii="Arial" w:cs="Arial" w:eastAsia="Arial" w:hAnsi="Arial"/>
          <w:sz w:val="20"/>
          <w:szCs w:val="20"/>
          <w:color w:val="auto"/>
        </w:rPr>
        <w:t>In addition, capital regulations require a “capital conservation buffer” of 2.5% composed entirely of CET1 on top of the minimum risk-weighted asset ratios.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85" w:name="page186"/>
    <w:bookmarkEnd w:id="185"/>
    <w:p>
      <w:pPr>
        <w:ind w:left="600"/>
        <w:spacing w:after="0"/>
        <w:rPr>
          <w:sz w:val="20"/>
          <w:szCs w:val="20"/>
          <w:color w:val="auto"/>
        </w:rPr>
      </w:pPr>
      <w:r>
        <w:rPr>
          <w:rFonts w:ascii="Arial" w:cs="Arial" w:eastAsia="Arial" w:hAnsi="Arial"/>
          <w:sz w:val="18"/>
          <w:szCs w:val="18"/>
          <w:color w:val="auto"/>
        </w:rPr>
        <w:t>The capital ratios and amounts of the Company and its banking subsidiaries as of December 31, 2019 and 2018 are presented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ind w:right="643"/>
              <w:spacing w:after="0"/>
              <w:rPr>
                <w:sz w:val="20"/>
                <w:szCs w:val="20"/>
                <w:color w:val="auto"/>
              </w:rPr>
            </w:pPr>
            <w:r>
              <w:rPr>
                <w:rFonts w:ascii="Arial" w:cs="Arial" w:eastAsia="Arial" w:hAnsi="Arial"/>
                <w:sz w:val="14"/>
                <w:szCs w:val="14"/>
                <w:b w:val="1"/>
                <w:bCs w:val="1"/>
                <w:color w:val="auto"/>
              </w:rPr>
              <w:t>M&amp;T</w:t>
            </w:r>
          </w:p>
        </w:tc>
        <w:tc>
          <w:tcPr>
            <w:tcW w:w="300" w:type="dxa"/>
            <w:vAlign w:val="bottom"/>
          </w:tcPr>
          <w:p>
            <w:pPr>
              <w:spacing w:after="0"/>
              <w:rPr>
                <w:sz w:val="14"/>
                <w:szCs w:val="14"/>
                <w:color w:val="auto"/>
              </w:rPr>
            </w:pPr>
          </w:p>
        </w:tc>
        <w:tc>
          <w:tcPr>
            <w:tcW w:w="138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M&amp;T Bank</w:t>
            </w:r>
          </w:p>
        </w:tc>
        <w:tc>
          <w:tcPr>
            <w:tcW w:w="28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Wilmington</w:t>
            </w:r>
          </w:p>
        </w:tc>
        <w:tc>
          <w:tcPr>
            <w:tcW w:w="0" w:type="dxa"/>
            <w:vAlign w:val="bottom"/>
          </w:tcPr>
          <w:p>
            <w:pPr>
              <w:spacing w:after="0"/>
              <w:rPr>
                <w:sz w:val="1"/>
                <w:szCs w:val="1"/>
                <w:color w:val="auto"/>
              </w:rPr>
            </w:pPr>
          </w:p>
        </w:tc>
      </w:tr>
      <w:tr>
        <w:trPr>
          <w:trHeight w:val="167"/>
        </w:trPr>
        <w:tc>
          <w:tcPr>
            <w:tcW w:w="4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ind w:right="383"/>
              <w:spacing w:after="0"/>
              <w:rPr>
                <w:sz w:val="20"/>
                <w:szCs w:val="20"/>
                <w:color w:val="auto"/>
              </w:rPr>
            </w:pPr>
            <w:r>
              <w:rPr>
                <w:rFonts w:ascii="Arial" w:cs="Arial" w:eastAsia="Arial" w:hAnsi="Arial"/>
                <w:sz w:val="14"/>
                <w:szCs w:val="14"/>
                <w:b w:val="1"/>
                <w:bCs w:val="1"/>
                <w:color w:val="auto"/>
                <w:w w:val="93"/>
              </w:rPr>
              <w:t>(Consolidated)</w:t>
            </w:r>
          </w:p>
        </w:tc>
        <w:tc>
          <w:tcPr>
            <w:tcW w:w="3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Trust, N.A.</w:t>
            </w:r>
          </w:p>
        </w:tc>
        <w:tc>
          <w:tcPr>
            <w:tcW w:w="0" w:type="dxa"/>
            <w:vAlign w:val="bottom"/>
          </w:tcPr>
          <w:p>
            <w:pPr>
              <w:spacing w:after="0"/>
              <w:rPr>
                <w:sz w:val="1"/>
                <w:szCs w:val="1"/>
                <w:color w:val="auto"/>
              </w:rPr>
            </w:pPr>
          </w:p>
        </w:tc>
      </w:tr>
      <w:tr>
        <w:trPr>
          <w:trHeight w:val="151"/>
        </w:trPr>
        <w:tc>
          <w:tcPr>
            <w:tcW w:w="45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ind w:left="100"/>
              <w:spacing w:after="0" w:line="151"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December 31, 2019:</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20"/>
                <w:szCs w:val="20"/>
                <w:color w:val="auto"/>
              </w:rPr>
              <w:t>Common equity Tier 1 capital</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Amount</w:t>
            </w:r>
          </w:p>
        </w:tc>
        <w:tc>
          <w:tcPr>
            <w:tcW w:w="222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shd w:val="clear" w:color="auto" w:fill="CFF0FC"/>
          </w:tcPr>
          <w:p>
            <w:pPr>
              <w:jc w:val="right"/>
              <w:ind w:right="163"/>
              <w:spacing w:after="0"/>
              <w:rPr>
                <w:sz w:val="20"/>
                <w:szCs w:val="20"/>
                <w:color w:val="auto"/>
              </w:rPr>
            </w:pPr>
            <w:r>
              <w:rPr>
                <w:rFonts w:ascii="Arial" w:cs="Arial" w:eastAsia="Arial" w:hAnsi="Arial"/>
                <w:sz w:val="20"/>
                <w:szCs w:val="20"/>
                <w:color w:val="auto"/>
              </w:rPr>
              <w:t>10,053,887</w:t>
            </w:r>
          </w:p>
        </w:tc>
        <w:tc>
          <w:tcPr>
            <w:tcW w:w="3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10,649,953</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606,538</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40"/>
              <w:spacing w:after="0"/>
              <w:rPr>
                <w:sz w:val="20"/>
                <w:szCs w:val="20"/>
                <w:color w:val="auto"/>
              </w:rPr>
            </w:pPr>
            <w:r>
              <w:rPr>
                <w:rFonts w:ascii="Arial" w:cs="Arial" w:eastAsia="Arial" w:hAnsi="Arial"/>
                <w:sz w:val="20"/>
                <w:szCs w:val="20"/>
                <w:color w:val="auto"/>
              </w:rPr>
              <w:t>Ratio(a)</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9.73%</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10.34%</w:t>
            </w:r>
          </w:p>
        </w:tc>
        <w:tc>
          <w:tcPr>
            <w:tcW w:w="28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auto"/>
              </w:rPr>
              <w:t>56.35%</w:t>
            </w: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Tier 1 capital</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40"/>
              <w:spacing w:after="0"/>
              <w:rPr>
                <w:sz w:val="20"/>
                <w:szCs w:val="20"/>
                <w:color w:val="auto"/>
              </w:rPr>
            </w:pPr>
            <w:r>
              <w:rPr>
                <w:rFonts w:ascii="Arial" w:cs="Arial" w:eastAsia="Arial" w:hAnsi="Arial"/>
                <w:sz w:val="20"/>
                <w:szCs w:val="20"/>
                <w:color w:val="auto"/>
              </w:rPr>
              <w:t>Amount</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3"/>
              <w:spacing w:after="0"/>
              <w:rPr>
                <w:sz w:val="20"/>
                <w:szCs w:val="20"/>
                <w:color w:val="auto"/>
              </w:rPr>
            </w:pPr>
            <w:r>
              <w:rPr>
                <w:rFonts w:ascii="Arial" w:cs="Arial" w:eastAsia="Arial" w:hAnsi="Arial"/>
                <w:sz w:val="20"/>
                <w:szCs w:val="20"/>
                <w:color w:val="auto"/>
              </w:rPr>
              <w:t>11,303,836</w:t>
            </w:r>
          </w:p>
        </w:tc>
        <w:tc>
          <w:tcPr>
            <w:tcW w:w="300" w:type="dxa"/>
            <w:vAlign w:val="bottom"/>
          </w:tcPr>
          <w:p>
            <w:pPr>
              <w:spacing w:after="0"/>
              <w:rPr>
                <w:sz w:val="21"/>
                <w:szCs w:val="21"/>
                <w:color w:val="auto"/>
              </w:rPr>
            </w:pPr>
          </w:p>
        </w:tc>
        <w:tc>
          <w:tcPr>
            <w:tcW w:w="1380" w:type="dxa"/>
            <w:vAlign w:val="bottom"/>
          </w:tcPr>
          <w:p>
            <w:pPr>
              <w:jc w:val="right"/>
              <w:ind w:right="161"/>
              <w:spacing w:after="0"/>
              <w:rPr>
                <w:sz w:val="20"/>
                <w:szCs w:val="20"/>
                <w:color w:val="auto"/>
              </w:rPr>
            </w:pPr>
            <w:r>
              <w:rPr>
                <w:rFonts w:ascii="Arial" w:cs="Arial" w:eastAsia="Arial" w:hAnsi="Arial"/>
                <w:sz w:val="20"/>
                <w:szCs w:val="20"/>
                <w:color w:val="auto"/>
              </w:rPr>
              <w:t>10,649,953</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606,538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Ratio(a)</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10.94%</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10.34%</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56.35%</w:t>
            </w: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20"/>
                <w:szCs w:val="20"/>
                <w:color w:val="auto"/>
              </w:rPr>
              <w:t>Total capital</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Amount</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63"/>
              <w:spacing w:after="0"/>
              <w:rPr>
                <w:sz w:val="20"/>
                <w:szCs w:val="20"/>
                <w:color w:val="auto"/>
              </w:rPr>
            </w:pPr>
            <w:r>
              <w:rPr>
                <w:rFonts w:ascii="Arial" w:cs="Arial" w:eastAsia="Arial" w:hAnsi="Arial"/>
                <w:sz w:val="20"/>
                <w:szCs w:val="20"/>
                <w:color w:val="auto"/>
              </w:rPr>
              <w:t>13,480,612</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12,342,834</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608,130</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40"/>
              <w:spacing w:after="0"/>
              <w:rPr>
                <w:sz w:val="20"/>
                <w:szCs w:val="20"/>
                <w:color w:val="auto"/>
              </w:rPr>
            </w:pPr>
            <w:r>
              <w:rPr>
                <w:rFonts w:ascii="Arial" w:cs="Arial" w:eastAsia="Arial" w:hAnsi="Arial"/>
                <w:sz w:val="20"/>
                <w:szCs w:val="20"/>
                <w:color w:val="auto"/>
              </w:rPr>
              <w:t>Ratio(a)</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13.05%</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11.99%</w:t>
            </w:r>
          </w:p>
        </w:tc>
        <w:tc>
          <w:tcPr>
            <w:tcW w:w="28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auto"/>
              </w:rPr>
              <w:t>56.50%</w:t>
            </w: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Leverage</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40"/>
              <w:spacing w:after="0"/>
              <w:rPr>
                <w:sz w:val="20"/>
                <w:szCs w:val="20"/>
                <w:color w:val="auto"/>
              </w:rPr>
            </w:pPr>
            <w:r>
              <w:rPr>
                <w:rFonts w:ascii="Arial" w:cs="Arial" w:eastAsia="Arial" w:hAnsi="Arial"/>
                <w:sz w:val="20"/>
                <w:szCs w:val="20"/>
                <w:color w:val="auto"/>
              </w:rPr>
              <w:t>Amount</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3"/>
              <w:spacing w:after="0"/>
              <w:rPr>
                <w:sz w:val="20"/>
                <w:szCs w:val="20"/>
                <w:color w:val="auto"/>
              </w:rPr>
            </w:pPr>
            <w:r>
              <w:rPr>
                <w:rFonts w:ascii="Arial" w:cs="Arial" w:eastAsia="Arial" w:hAnsi="Arial"/>
                <w:sz w:val="20"/>
                <w:szCs w:val="20"/>
                <w:color w:val="auto"/>
              </w:rPr>
              <w:t>11,303,836</w:t>
            </w:r>
          </w:p>
        </w:tc>
        <w:tc>
          <w:tcPr>
            <w:tcW w:w="300" w:type="dxa"/>
            <w:vAlign w:val="bottom"/>
          </w:tcPr>
          <w:p>
            <w:pPr>
              <w:spacing w:after="0"/>
              <w:rPr>
                <w:sz w:val="21"/>
                <w:szCs w:val="21"/>
                <w:color w:val="auto"/>
              </w:rPr>
            </w:pPr>
          </w:p>
        </w:tc>
        <w:tc>
          <w:tcPr>
            <w:tcW w:w="1380" w:type="dxa"/>
            <w:vAlign w:val="bottom"/>
          </w:tcPr>
          <w:p>
            <w:pPr>
              <w:jc w:val="right"/>
              <w:ind w:right="161"/>
              <w:spacing w:after="0"/>
              <w:rPr>
                <w:sz w:val="20"/>
                <w:szCs w:val="20"/>
                <w:color w:val="auto"/>
              </w:rPr>
            </w:pPr>
            <w:r>
              <w:rPr>
                <w:rFonts w:ascii="Arial" w:cs="Arial" w:eastAsia="Arial" w:hAnsi="Arial"/>
                <w:sz w:val="20"/>
                <w:szCs w:val="20"/>
                <w:color w:val="auto"/>
              </w:rPr>
              <w:t>10,649,953</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606,538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Ratio(b)</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9.59%</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9.08%</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13.12%</w:t>
            </w: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20"/>
                <w:szCs w:val="20"/>
                <w:color w:val="auto"/>
              </w:rPr>
              <w:t>December 31, 2018:</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Common equity Tier 1 capital</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40"/>
              <w:spacing w:after="0"/>
              <w:rPr>
                <w:sz w:val="20"/>
                <w:szCs w:val="20"/>
                <w:color w:val="auto"/>
              </w:rPr>
            </w:pPr>
            <w:r>
              <w:rPr>
                <w:rFonts w:ascii="Arial" w:cs="Arial" w:eastAsia="Arial" w:hAnsi="Arial"/>
                <w:sz w:val="20"/>
                <w:szCs w:val="20"/>
                <w:color w:val="auto"/>
              </w:rPr>
              <w:t>Amount</w:t>
            </w:r>
          </w:p>
        </w:tc>
        <w:tc>
          <w:tcPr>
            <w:tcW w:w="222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163"/>
              <w:spacing w:after="0"/>
              <w:rPr>
                <w:sz w:val="20"/>
                <w:szCs w:val="20"/>
                <w:color w:val="auto"/>
              </w:rPr>
            </w:pPr>
            <w:r>
              <w:rPr>
                <w:rFonts w:ascii="Arial" w:cs="Arial" w:eastAsia="Arial" w:hAnsi="Arial"/>
                <w:sz w:val="20"/>
                <w:szCs w:val="20"/>
                <w:color w:val="auto"/>
              </w:rPr>
              <w:t>9,960,811</w:t>
            </w:r>
          </w:p>
        </w:tc>
        <w:tc>
          <w:tcPr>
            <w:tcW w:w="300" w:type="dxa"/>
            <w:vAlign w:val="bottom"/>
          </w:tcPr>
          <w:p>
            <w:pPr>
              <w:ind w:left="100"/>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161"/>
              <w:spacing w:after="0"/>
              <w:rPr>
                <w:sz w:val="20"/>
                <w:szCs w:val="20"/>
                <w:color w:val="auto"/>
              </w:rPr>
            </w:pPr>
            <w:r>
              <w:rPr>
                <w:rFonts w:ascii="Arial" w:cs="Arial" w:eastAsia="Arial" w:hAnsi="Arial"/>
                <w:sz w:val="20"/>
                <w:szCs w:val="20"/>
                <w:color w:val="auto"/>
              </w:rPr>
              <w:t>10,636,136</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585,767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Ratio(a)</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10.13%</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10.84%</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60.69%</w:t>
            </w: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20"/>
                <w:szCs w:val="20"/>
                <w:color w:val="auto"/>
              </w:rPr>
              <w:t>Tier 1 capital</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Amount</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63"/>
              <w:spacing w:after="0"/>
              <w:rPr>
                <w:sz w:val="20"/>
                <w:szCs w:val="20"/>
                <w:color w:val="auto"/>
              </w:rPr>
            </w:pPr>
            <w:r>
              <w:rPr>
                <w:rFonts w:ascii="Arial" w:cs="Arial" w:eastAsia="Arial" w:hAnsi="Arial"/>
                <w:sz w:val="20"/>
                <w:szCs w:val="20"/>
                <w:color w:val="auto"/>
              </w:rPr>
              <w:t>11,193,770</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10,636,136</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585,767</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40"/>
              <w:spacing w:after="0"/>
              <w:rPr>
                <w:sz w:val="20"/>
                <w:szCs w:val="20"/>
                <w:color w:val="auto"/>
              </w:rPr>
            </w:pPr>
            <w:r>
              <w:rPr>
                <w:rFonts w:ascii="Arial" w:cs="Arial" w:eastAsia="Arial" w:hAnsi="Arial"/>
                <w:sz w:val="20"/>
                <w:szCs w:val="20"/>
                <w:color w:val="auto"/>
              </w:rPr>
              <w:t>Ratio(a)</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11.38%</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10.84%</w:t>
            </w:r>
          </w:p>
        </w:tc>
        <w:tc>
          <w:tcPr>
            <w:tcW w:w="28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auto"/>
              </w:rPr>
              <w:t>60.69%</w:t>
            </w: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Total capital</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40"/>
              <w:spacing w:after="0"/>
              <w:rPr>
                <w:sz w:val="20"/>
                <w:szCs w:val="20"/>
                <w:color w:val="auto"/>
              </w:rPr>
            </w:pPr>
            <w:r>
              <w:rPr>
                <w:rFonts w:ascii="Arial" w:cs="Arial" w:eastAsia="Arial" w:hAnsi="Arial"/>
                <w:sz w:val="20"/>
                <w:szCs w:val="20"/>
                <w:color w:val="auto"/>
              </w:rPr>
              <w:t>Amount</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3"/>
              <w:spacing w:after="0"/>
              <w:rPr>
                <w:sz w:val="20"/>
                <w:szCs w:val="20"/>
                <w:color w:val="auto"/>
              </w:rPr>
            </w:pPr>
            <w:r>
              <w:rPr>
                <w:rFonts w:ascii="Arial" w:cs="Arial" w:eastAsia="Arial" w:hAnsi="Arial"/>
                <w:sz w:val="20"/>
                <w:szCs w:val="20"/>
                <w:color w:val="auto"/>
              </w:rPr>
              <w:t>13,454,137</w:t>
            </w:r>
          </w:p>
        </w:tc>
        <w:tc>
          <w:tcPr>
            <w:tcW w:w="300" w:type="dxa"/>
            <w:vAlign w:val="bottom"/>
          </w:tcPr>
          <w:p>
            <w:pPr>
              <w:spacing w:after="0"/>
              <w:rPr>
                <w:sz w:val="21"/>
                <w:szCs w:val="21"/>
                <w:color w:val="auto"/>
              </w:rPr>
            </w:pPr>
          </w:p>
        </w:tc>
        <w:tc>
          <w:tcPr>
            <w:tcW w:w="1380" w:type="dxa"/>
            <w:vAlign w:val="bottom"/>
          </w:tcPr>
          <w:p>
            <w:pPr>
              <w:jc w:val="right"/>
              <w:ind w:right="161"/>
              <w:spacing w:after="0"/>
              <w:rPr>
                <w:sz w:val="20"/>
                <w:szCs w:val="20"/>
                <w:color w:val="auto"/>
              </w:rPr>
            </w:pPr>
            <w:r>
              <w:rPr>
                <w:rFonts w:ascii="Arial" w:cs="Arial" w:eastAsia="Arial" w:hAnsi="Arial"/>
                <w:sz w:val="20"/>
                <w:szCs w:val="20"/>
                <w:color w:val="auto"/>
              </w:rPr>
              <w:t>12,475,296</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589,671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Ratio(a)</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13.68%</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12.72%</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61.10%</w:t>
            </w: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20"/>
                <w:szCs w:val="20"/>
                <w:color w:val="auto"/>
              </w:rPr>
              <w:t>Leverage</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Amount</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63"/>
              <w:spacing w:after="0"/>
              <w:rPr>
                <w:sz w:val="20"/>
                <w:szCs w:val="20"/>
                <w:color w:val="auto"/>
              </w:rPr>
            </w:pPr>
            <w:r>
              <w:rPr>
                <w:rFonts w:ascii="Arial" w:cs="Arial" w:eastAsia="Arial" w:hAnsi="Arial"/>
                <w:sz w:val="20"/>
                <w:szCs w:val="20"/>
                <w:color w:val="auto"/>
              </w:rPr>
              <w:t>11,193,770</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10,636,136</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585,767</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500" w:type="dxa"/>
            <w:vAlign w:val="bottom"/>
          </w:tcPr>
          <w:p>
            <w:pPr>
              <w:ind w:left="240"/>
              <w:spacing w:after="0"/>
              <w:rPr>
                <w:sz w:val="20"/>
                <w:szCs w:val="20"/>
                <w:color w:val="auto"/>
              </w:rPr>
            </w:pPr>
            <w:r>
              <w:rPr>
                <w:rFonts w:ascii="Arial" w:cs="Arial" w:eastAsia="Arial" w:hAnsi="Arial"/>
                <w:sz w:val="20"/>
                <w:szCs w:val="20"/>
                <w:color w:val="auto"/>
              </w:rPr>
              <w:t>Ratio(b)</w:t>
            </w:r>
          </w:p>
        </w:tc>
        <w:tc>
          <w:tcPr>
            <w:tcW w:w="2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9.88%</w:t>
            </w: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9.42%</w:t>
            </w:r>
          </w:p>
        </w:tc>
        <w:tc>
          <w:tcPr>
            <w:tcW w:w="280" w:type="dxa"/>
            <w:vAlign w:val="bottom"/>
          </w:tcPr>
          <w:p>
            <w:pPr>
              <w:spacing w:after="0"/>
              <w:rPr>
                <w:sz w:val="22"/>
                <w:szCs w:val="22"/>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auto"/>
              </w:rPr>
              <w:t>12.51%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13601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43" w:lineRule="exact"/>
        <w:rPr>
          <w:sz w:val="20"/>
          <w:szCs w:val="20"/>
          <w:color w:val="auto"/>
        </w:rPr>
      </w:pPr>
    </w:p>
    <w:p>
      <w:pPr>
        <w:ind w:left="600" w:hanging="595"/>
        <w:spacing w:after="0"/>
        <w:tabs>
          <w:tab w:leader="none" w:pos="600" w:val="left"/>
        </w:tabs>
        <w:numPr>
          <w:ilvl w:val="0"/>
          <w:numId w:val="57"/>
        </w:numPr>
        <w:rPr>
          <w:rFonts w:ascii="Arial" w:cs="Arial" w:eastAsia="Arial" w:hAnsi="Arial"/>
          <w:sz w:val="20"/>
          <w:szCs w:val="20"/>
          <w:i w:val="1"/>
          <w:iCs w:val="1"/>
          <w:color w:val="auto"/>
        </w:rPr>
      </w:pPr>
      <w:r>
        <w:rPr>
          <w:rFonts w:ascii="Arial" w:cs="Arial" w:eastAsia="Arial" w:hAnsi="Arial"/>
          <w:sz w:val="20"/>
          <w:szCs w:val="20"/>
          <w:i w:val="1"/>
          <w:iCs w:val="1"/>
          <w:color w:val="auto"/>
        </w:rPr>
        <w:t>The ratio of capital to risk-weighted assets, as defined by regulation.</w:t>
      </w:r>
    </w:p>
    <w:p>
      <w:pPr>
        <w:spacing w:after="0" w:line="27" w:lineRule="exact"/>
        <w:rPr>
          <w:rFonts w:ascii="Arial" w:cs="Arial" w:eastAsia="Arial" w:hAnsi="Arial"/>
          <w:sz w:val="20"/>
          <w:szCs w:val="20"/>
          <w:i w:val="1"/>
          <w:iCs w:val="1"/>
          <w:color w:val="auto"/>
        </w:rPr>
      </w:pPr>
    </w:p>
    <w:p>
      <w:pPr>
        <w:ind w:left="600" w:hanging="595"/>
        <w:spacing w:after="0"/>
        <w:tabs>
          <w:tab w:leader="none" w:pos="600" w:val="left"/>
        </w:tabs>
        <w:numPr>
          <w:ilvl w:val="0"/>
          <w:numId w:val="57"/>
        </w:numPr>
        <w:rPr>
          <w:rFonts w:ascii="Arial" w:cs="Arial" w:eastAsia="Arial" w:hAnsi="Arial"/>
          <w:sz w:val="20"/>
          <w:szCs w:val="20"/>
          <w:i w:val="1"/>
          <w:iCs w:val="1"/>
          <w:color w:val="auto"/>
        </w:rPr>
      </w:pPr>
      <w:r>
        <w:rPr>
          <w:rFonts w:ascii="Arial" w:cs="Arial" w:eastAsia="Arial" w:hAnsi="Arial"/>
          <w:sz w:val="20"/>
          <w:szCs w:val="20"/>
          <w:i w:val="1"/>
          <w:iCs w:val="1"/>
          <w:color w:val="auto"/>
        </w:rPr>
        <w:t>The ratio of capital to average assets, as defined by regulation.</w:t>
      </w:r>
    </w:p>
    <w:p>
      <w:pPr>
        <w:spacing w:after="0" w:line="200" w:lineRule="exact"/>
        <w:rPr>
          <w:sz w:val="20"/>
          <w:szCs w:val="20"/>
          <w:color w:val="auto"/>
        </w:rPr>
      </w:pPr>
    </w:p>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8"/>
          <w:szCs w:val="18"/>
          <w:b w:val="1"/>
          <w:bCs w:val="1"/>
          <w:color w:val="auto"/>
        </w:rPr>
        <w:t>Relationship with Bayview Lending Group LLC and Bayview Financial Holdings, L.P.</w:t>
      </w:r>
    </w:p>
    <w:p>
      <w:pPr>
        <w:spacing w:after="0" w:line="29"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M&amp;T holds a 20% minority interest in Bayview Lending Group LLC (“BLG”), a privately-held commercial mortgage company. M&amp;T recognizes income or loss from BLG using the equity method of accounting. That investment had no remaining carrying value at December 31, 2019 as a result of cumulative losses recognized and cash distributions received in prior years. Income recognized by M&amp;T is included in other revenues from operations and totaled $37 million in 2019 and $24 million in 2018. Income recognized in 2017 was not significant.</w:t>
      </w:r>
    </w:p>
    <w:p>
      <w:pPr>
        <w:spacing w:after="0" w:line="1" w:lineRule="exact"/>
        <w:rPr>
          <w:sz w:val="20"/>
          <w:szCs w:val="20"/>
          <w:color w:val="auto"/>
        </w:rPr>
      </w:pPr>
    </w:p>
    <w:p>
      <w:pPr>
        <w:ind w:right="380" w:firstLine="598"/>
        <w:spacing w:after="0" w:line="293" w:lineRule="auto"/>
        <w:rPr>
          <w:sz w:val="20"/>
          <w:szCs w:val="20"/>
          <w:color w:val="auto"/>
        </w:rPr>
      </w:pPr>
      <w:r>
        <w:rPr>
          <w:rFonts w:ascii="Arial" w:cs="Arial" w:eastAsia="Arial" w:hAnsi="Arial"/>
          <w:sz w:val="18"/>
          <w:szCs w:val="18"/>
          <w:color w:val="auto"/>
        </w:rPr>
        <w:t>Bayview Financial Holdings, L.P. (together with its affiliates, “Bayview Financial”), a privately-held specialty financial company, is BLG’s majority investor. In addition to their common investment in BLG, the Company and Bayview Financial conduct other business activities with each other. The Company has obtained loan servicing rights for mortgage loans from BLG and Bayview Financial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86" w:name="page187"/>
    <w:bookmarkEnd w:id="186"/>
    <w:p>
      <w:pPr>
        <w:ind w:right="60"/>
        <w:spacing w:after="0" w:line="266" w:lineRule="auto"/>
        <w:rPr>
          <w:sz w:val="20"/>
          <w:szCs w:val="20"/>
          <w:color w:val="auto"/>
        </w:rPr>
      </w:pPr>
      <w:r>
        <w:rPr>
          <w:rFonts w:ascii="Arial" w:cs="Arial" w:eastAsia="Arial" w:hAnsi="Arial"/>
          <w:sz w:val="19"/>
          <w:szCs w:val="19"/>
          <w:color w:val="auto"/>
        </w:rPr>
        <w:t>having outstanding principal balances of $2.2 billion and $2.5 billion at December 31, 2019 and 2018, respectively. Revenues from those servicing rights were $12 million, $14 million and $17 million during 2019, 2018 and 2017, respectively. The Company sub-services residential mortgage loans for Bayview Financial having outstanding principal balances of $62.8 billion and $56.8 billion at December 31, 2019 and 2018, respectively. Revenues earned for sub-servicing loans for Bayview Financial were $125 million, $114 million and $103 million in 2019, 2018 and 2017, respectively. In addition, the Company held $93 million and $113 million of mortgage-backed securities in its held-to-maturity portfolio at December 31, 2019 and 2018, respectively, that were securitized by Bayview Financial. At December 31, 2019, the Company held $88 million of Bayview Financial’s $702 million syndicated loan facility.</w:t>
      </w:r>
    </w:p>
    <w:p>
      <w:pPr>
        <w:spacing w:after="0" w:line="200" w:lineRule="exact"/>
        <w:rPr>
          <w:sz w:val="20"/>
          <w:szCs w:val="20"/>
          <w:color w:val="auto"/>
        </w:rPr>
      </w:pPr>
    </w:p>
    <w:p>
      <w:pPr>
        <w:spacing w:after="0" w:line="30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7"/>
          <w:szCs w:val="17"/>
          <w:b w:val="1"/>
          <w:bCs w:val="1"/>
          <w:color w:val="auto"/>
        </w:rPr>
        <w:t>Parent company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Balance Sheet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8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5"/>
              <w:spacing w:after="0" w:line="151"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61"/>
              <w:spacing w:after="0" w:line="151"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60" w:type="dxa"/>
            <w:vAlign w:val="bottom"/>
            <w:gridSpan w:val="3"/>
          </w:tcPr>
          <w:p>
            <w:pPr>
              <w:jc w:val="right"/>
              <w:ind w:right="79"/>
              <w:spacing w:after="0" w:line="151" w:lineRule="exact"/>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8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Assets</w:t>
            </w:r>
          </w:p>
        </w:tc>
        <w:tc>
          <w:tcPr>
            <w:tcW w:w="29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0"/>
                <w:szCs w:val="20"/>
                <w:color w:val="auto"/>
              </w:rPr>
            </w:pPr>
            <w:r>
              <w:rPr>
                <w:rFonts w:ascii="Arial" w:cs="Arial" w:eastAsia="Arial" w:hAnsi="Arial"/>
                <w:sz w:val="20"/>
                <w:szCs w:val="20"/>
                <w:color w:val="auto"/>
              </w:rPr>
              <w:t>Cash in subsidiary bank</w:t>
            </w:r>
          </w:p>
        </w:tc>
        <w:tc>
          <w:tcPr>
            <w:tcW w:w="3360" w:type="dxa"/>
            <w:vAlign w:val="bottom"/>
            <w:gridSpan w:val="2"/>
          </w:tcPr>
          <w:p>
            <w:pPr>
              <w:jc w:val="right"/>
              <w:ind w:right="179"/>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83,531</w:t>
            </w:r>
          </w:p>
        </w:tc>
        <w:tc>
          <w:tcPr>
            <w:tcW w:w="280" w:type="dxa"/>
            <w:vAlign w:val="bottom"/>
          </w:tcPr>
          <w:p>
            <w:pPr>
              <w:spacing w:after="0"/>
              <w:rPr>
                <w:sz w:val="21"/>
                <w:szCs w:val="21"/>
                <w:color w:val="auto"/>
              </w:rPr>
            </w:pPr>
          </w:p>
        </w:tc>
        <w:tc>
          <w:tcPr>
            <w:tcW w:w="480" w:type="dxa"/>
            <w:vAlign w:val="bottom"/>
          </w:tcPr>
          <w:p>
            <w:pPr>
              <w:jc w:val="right"/>
              <w:ind w:right="279"/>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40,609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80" w:type="dxa"/>
            <w:vAlign w:val="bottom"/>
            <w:shd w:val="clear" w:color="auto" w:fill="CFF0FC"/>
          </w:tcPr>
          <w:p>
            <w:pPr>
              <w:spacing w:after="0"/>
              <w:rPr>
                <w:sz w:val="20"/>
                <w:szCs w:val="20"/>
                <w:color w:val="auto"/>
              </w:rPr>
            </w:pPr>
            <w:r>
              <w:rPr>
                <w:rFonts w:ascii="Arial" w:cs="Arial" w:eastAsia="Arial" w:hAnsi="Arial"/>
                <w:sz w:val="20"/>
                <w:szCs w:val="20"/>
                <w:color w:val="auto"/>
              </w:rPr>
              <w:t>Due from consolidated bank subsidiaries</w:t>
            </w:r>
          </w:p>
        </w:tc>
        <w:tc>
          <w:tcPr>
            <w:tcW w:w="29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80" w:type="dxa"/>
            <w:vAlign w:val="bottom"/>
          </w:tcPr>
          <w:p>
            <w:pPr>
              <w:ind w:left="240"/>
              <w:spacing w:after="0"/>
              <w:rPr>
                <w:sz w:val="20"/>
                <w:szCs w:val="20"/>
                <w:color w:val="auto"/>
              </w:rPr>
            </w:pPr>
            <w:r>
              <w:rPr>
                <w:rFonts w:ascii="Arial" w:cs="Arial" w:eastAsia="Arial" w:hAnsi="Arial"/>
                <w:sz w:val="20"/>
                <w:szCs w:val="20"/>
                <w:color w:val="auto"/>
              </w:rPr>
              <w:t>Money-market savings</w:t>
            </w:r>
          </w:p>
        </w:tc>
        <w:tc>
          <w:tcPr>
            <w:tcW w:w="2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876,819</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856,881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Current income tax receivable</w:t>
            </w:r>
          </w:p>
        </w:tc>
        <w:tc>
          <w:tcPr>
            <w:tcW w:w="298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1,261</w:t>
            </w:r>
          </w:p>
        </w:tc>
        <w:tc>
          <w:tcPr>
            <w:tcW w:w="280" w:type="dxa"/>
            <w:vAlign w:val="bottom"/>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1,117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480"/>
              <w:spacing w:after="0"/>
              <w:rPr>
                <w:sz w:val="20"/>
                <w:szCs w:val="20"/>
                <w:color w:val="auto"/>
              </w:rPr>
            </w:pPr>
            <w:r>
              <w:rPr>
                <w:rFonts w:ascii="Arial" w:cs="Arial" w:eastAsia="Arial" w:hAnsi="Arial"/>
                <w:sz w:val="20"/>
                <w:szCs w:val="20"/>
                <w:color w:val="auto"/>
              </w:rPr>
              <w:t>Total due from consolidated bank subsidiaries</w:t>
            </w:r>
          </w:p>
        </w:tc>
        <w:tc>
          <w:tcPr>
            <w:tcW w:w="2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878,080</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857,998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80" w:type="dxa"/>
            <w:vAlign w:val="bottom"/>
            <w:shd w:val="clear" w:color="auto" w:fill="CFF0FC"/>
          </w:tcPr>
          <w:p>
            <w:pPr>
              <w:spacing w:after="0"/>
              <w:rPr>
                <w:sz w:val="20"/>
                <w:szCs w:val="20"/>
                <w:color w:val="auto"/>
              </w:rPr>
            </w:pPr>
            <w:r>
              <w:rPr>
                <w:rFonts w:ascii="Arial" w:cs="Arial" w:eastAsia="Arial" w:hAnsi="Arial"/>
                <w:sz w:val="20"/>
                <w:szCs w:val="20"/>
                <w:color w:val="auto"/>
              </w:rPr>
              <w:t>Investments in consolidated subsidiaries</w:t>
            </w:r>
          </w:p>
        </w:tc>
        <w:tc>
          <w:tcPr>
            <w:tcW w:w="29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80" w:type="dxa"/>
            <w:vAlign w:val="bottom"/>
          </w:tcPr>
          <w:p>
            <w:pPr>
              <w:ind w:left="240"/>
              <w:spacing w:after="0"/>
              <w:rPr>
                <w:sz w:val="20"/>
                <w:szCs w:val="20"/>
                <w:color w:val="auto"/>
              </w:rPr>
            </w:pPr>
            <w:r>
              <w:rPr>
                <w:rFonts w:ascii="Arial" w:cs="Arial" w:eastAsia="Arial" w:hAnsi="Arial"/>
                <w:sz w:val="20"/>
                <w:szCs w:val="20"/>
                <w:color w:val="auto"/>
              </w:rPr>
              <w:t>Banks</w:t>
            </w:r>
          </w:p>
        </w:tc>
        <w:tc>
          <w:tcPr>
            <w:tcW w:w="2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15,732,008</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15,491,277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Other</w:t>
            </w:r>
          </w:p>
        </w:tc>
        <w:tc>
          <w:tcPr>
            <w:tcW w:w="29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301,765</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324,360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0"/>
                <w:szCs w:val="20"/>
                <w:color w:val="auto"/>
              </w:rPr>
            </w:pPr>
            <w:r>
              <w:rPr>
                <w:rFonts w:ascii="Arial" w:cs="Arial" w:eastAsia="Arial" w:hAnsi="Arial"/>
                <w:sz w:val="20"/>
                <w:szCs w:val="20"/>
                <w:color w:val="auto"/>
              </w:rPr>
              <w:t>Investments in trust preferred entities (note 19)</w:t>
            </w:r>
          </w:p>
        </w:tc>
        <w:tc>
          <w:tcPr>
            <w:tcW w:w="2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23,022</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23,241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80" w:type="dxa"/>
            <w:vAlign w:val="bottom"/>
            <w:shd w:val="clear" w:color="auto" w:fill="CFF0FC"/>
          </w:tcPr>
          <w:p>
            <w:pPr>
              <w:spacing w:after="0"/>
              <w:rPr>
                <w:sz w:val="20"/>
                <w:szCs w:val="20"/>
                <w:color w:val="auto"/>
              </w:rPr>
            </w:pPr>
            <w:r>
              <w:rPr>
                <w:rFonts w:ascii="Arial" w:cs="Arial" w:eastAsia="Arial" w:hAnsi="Arial"/>
                <w:sz w:val="20"/>
                <w:szCs w:val="20"/>
                <w:color w:val="auto"/>
              </w:rPr>
              <w:t>Other assets</w:t>
            </w:r>
          </w:p>
        </w:tc>
        <w:tc>
          <w:tcPr>
            <w:tcW w:w="298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67,732</w:t>
            </w:r>
          </w:p>
        </w:tc>
        <w:tc>
          <w:tcPr>
            <w:tcW w:w="280" w:type="dxa"/>
            <w:vAlign w:val="bottom"/>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64,187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880" w:type="dxa"/>
            <w:vAlign w:val="bottom"/>
            <w:tcBorders>
              <w:bottom w:val="single" w:sz="8" w:color="CFF0FC"/>
            </w:tcBorders>
          </w:tcPr>
          <w:p>
            <w:pPr>
              <w:ind w:left="480"/>
              <w:spacing w:after="0"/>
              <w:rPr>
                <w:sz w:val="20"/>
                <w:szCs w:val="20"/>
                <w:color w:val="auto"/>
              </w:rPr>
            </w:pPr>
            <w:r>
              <w:rPr>
                <w:rFonts w:ascii="Arial" w:cs="Arial" w:eastAsia="Arial" w:hAnsi="Arial"/>
                <w:sz w:val="20"/>
                <w:szCs w:val="20"/>
                <w:color w:val="auto"/>
              </w:rPr>
              <w:t>Total assets</w:t>
            </w:r>
          </w:p>
        </w:tc>
        <w:tc>
          <w:tcPr>
            <w:tcW w:w="2980" w:type="dxa"/>
            <w:vAlign w:val="bottom"/>
            <w:tcBorders>
              <w:bottom w:val="single" w:sz="8" w:color="CFF0FC"/>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17,086,138</w:t>
            </w:r>
          </w:p>
        </w:tc>
        <w:tc>
          <w:tcPr>
            <w:tcW w:w="280" w:type="dxa"/>
            <w:vAlign w:val="bottom"/>
            <w:tcBorders>
              <w:bottom w:val="single" w:sz="8" w:color="CFF0FC"/>
            </w:tcBorders>
          </w:tcPr>
          <w:p>
            <w:pPr>
              <w:spacing w:after="0"/>
              <w:rPr>
                <w:sz w:val="24"/>
                <w:szCs w:val="24"/>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16,801,672</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Liabilities</w:t>
            </w:r>
          </w:p>
        </w:tc>
        <w:tc>
          <w:tcPr>
            <w:tcW w:w="2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0"/>
                <w:szCs w:val="20"/>
                <w:color w:val="auto"/>
              </w:rPr>
            </w:pPr>
            <w:r>
              <w:rPr>
                <w:rFonts w:ascii="Arial" w:cs="Arial" w:eastAsia="Arial" w:hAnsi="Arial"/>
                <w:sz w:val="20"/>
                <w:szCs w:val="20"/>
                <w:color w:val="auto"/>
              </w:rPr>
              <w:t>Accrued expenses and other liabilities</w:t>
            </w:r>
          </w:p>
        </w:tc>
        <w:tc>
          <w:tcPr>
            <w:tcW w:w="3360" w:type="dxa"/>
            <w:vAlign w:val="bottom"/>
            <w:gridSpan w:val="2"/>
          </w:tcPr>
          <w:p>
            <w:pPr>
              <w:jc w:val="right"/>
              <w:ind w:right="179"/>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74,235</w:t>
            </w:r>
          </w:p>
        </w:tc>
        <w:tc>
          <w:tcPr>
            <w:tcW w:w="280" w:type="dxa"/>
            <w:vAlign w:val="bottom"/>
          </w:tcPr>
          <w:p>
            <w:pPr>
              <w:spacing w:after="0"/>
              <w:rPr>
                <w:sz w:val="21"/>
                <w:szCs w:val="21"/>
                <w:color w:val="auto"/>
              </w:rPr>
            </w:pPr>
          </w:p>
        </w:tc>
        <w:tc>
          <w:tcPr>
            <w:tcW w:w="480" w:type="dxa"/>
            <w:vAlign w:val="bottom"/>
          </w:tcPr>
          <w:p>
            <w:pPr>
              <w:jc w:val="right"/>
              <w:ind w:right="279"/>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63,719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80" w:type="dxa"/>
            <w:vAlign w:val="bottom"/>
            <w:shd w:val="clear" w:color="auto" w:fill="CFF0FC"/>
          </w:tcPr>
          <w:p>
            <w:pPr>
              <w:spacing w:after="0"/>
              <w:rPr>
                <w:sz w:val="20"/>
                <w:szCs w:val="20"/>
                <w:color w:val="auto"/>
              </w:rPr>
            </w:pPr>
            <w:r>
              <w:rPr>
                <w:rFonts w:ascii="Arial" w:cs="Arial" w:eastAsia="Arial" w:hAnsi="Arial"/>
                <w:sz w:val="20"/>
                <w:szCs w:val="20"/>
                <w:color w:val="auto"/>
              </w:rPr>
              <w:t>Long-term borrowings</w:t>
            </w:r>
          </w:p>
        </w:tc>
        <w:tc>
          <w:tcPr>
            <w:tcW w:w="298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1,295,254</w:t>
            </w:r>
          </w:p>
        </w:tc>
        <w:tc>
          <w:tcPr>
            <w:tcW w:w="280" w:type="dxa"/>
            <w:vAlign w:val="bottom"/>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1,277,762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480"/>
              <w:spacing w:after="0"/>
              <w:rPr>
                <w:sz w:val="20"/>
                <w:szCs w:val="20"/>
                <w:color w:val="auto"/>
              </w:rPr>
            </w:pPr>
            <w:r>
              <w:rPr>
                <w:rFonts w:ascii="Arial" w:cs="Arial" w:eastAsia="Arial" w:hAnsi="Arial"/>
                <w:sz w:val="20"/>
                <w:szCs w:val="20"/>
                <w:color w:val="auto"/>
              </w:rPr>
              <w:t>Total liabilities</w:t>
            </w:r>
          </w:p>
        </w:tc>
        <w:tc>
          <w:tcPr>
            <w:tcW w:w="2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1,369,489</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1,341,481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Shareholders’ equity</w:t>
            </w:r>
          </w:p>
        </w:tc>
        <w:tc>
          <w:tcPr>
            <w:tcW w:w="298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15,716,649</w:t>
            </w:r>
          </w:p>
        </w:tc>
        <w:tc>
          <w:tcPr>
            <w:tcW w:w="280" w:type="dxa"/>
            <w:vAlign w:val="bottom"/>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15,460,191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480"/>
              <w:spacing w:after="0"/>
              <w:rPr>
                <w:sz w:val="20"/>
                <w:szCs w:val="20"/>
                <w:color w:val="auto"/>
              </w:rPr>
            </w:pPr>
            <w:r>
              <w:rPr>
                <w:rFonts w:ascii="Arial" w:cs="Arial" w:eastAsia="Arial" w:hAnsi="Arial"/>
                <w:sz w:val="20"/>
                <w:szCs w:val="20"/>
                <w:color w:val="auto"/>
              </w:rPr>
              <w:t>Total liabilities and shareholders’ equity</w:t>
            </w:r>
          </w:p>
        </w:tc>
        <w:tc>
          <w:tcPr>
            <w:tcW w:w="298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17,086,138</w:t>
            </w:r>
          </w:p>
        </w:tc>
        <w:tc>
          <w:tcPr>
            <w:tcW w:w="280" w:type="dxa"/>
            <w:vAlign w:val="bottom"/>
          </w:tcPr>
          <w:p>
            <w:pPr>
              <w:spacing w:after="0"/>
              <w:rPr>
                <w:sz w:val="21"/>
                <w:szCs w:val="21"/>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16,801,672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980" w:type="dxa"/>
            <w:vAlign w:val="bottom"/>
            <w:vMerge w:val="restart"/>
          </w:tcPr>
          <w:p>
            <w:pPr>
              <w:jc w:val="right"/>
              <w:ind w:right="1924"/>
              <w:spacing w:after="0"/>
              <w:rPr>
                <w:sz w:val="20"/>
                <w:szCs w:val="20"/>
                <w:color w:val="auto"/>
              </w:rPr>
            </w:pPr>
            <w:r>
              <w:rPr>
                <w:rFonts w:ascii="Arial" w:cs="Arial" w:eastAsia="Arial" w:hAnsi="Arial"/>
                <w:sz w:val="18"/>
                <w:szCs w:val="18"/>
                <w:color w:val="auto"/>
              </w:rPr>
              <w:t>187</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488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88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87" w:name="page188"/>
    <w:bookmarkEnd w:id="187"/>
    <w:p>
      <w:pPr>
        <w:spacing w:after="0"/>
        <w:rPr>
          <w:sz w:val="20"/>
          <w:szCs w:val="20"/>
          <w:color w:val="auto"/>
        </w:rPr>
      </w:pPr>
      <w:r>
        <w:rPr>
          <w:rFonts w:ascii="Arial" w:cs="Arial" w:eastAsia="Arial" w:hAnsi="Arial"/>
          <w:sz w:val="20"/>
          <w:szCs w:val="20"/>
          <w:b w:val="1"/>
          <w:bCs w:val="1"/>
          <w:color w:val="auto"/>
        </w:rPr>
        <w:t>Condensed Statement of Income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Year Ended December 31</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0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3"/>
              <w:spacing w:after="0" w:line="151"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81"/>
              <w:spacing w:after="0" w:line="151"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1"/>
              <w:spacing w:after="0" w:line="151"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0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0" w:type="dxa"/>
            <w:vAlign w:val="bottom"/>
            <w:gridSpan w:val="8"/>
          </w:tcPr>
          <w:p>
            <w:pPr>
              <w:jc w:val="center"/>
              <w:ind w:left="703"/>
              <w:spacing w:after="0" w:line="151" w:lineRule="exact"/>
              <w:rPr>
                <w:sz w:val="20"/>
                <w:szCs w:val="20"/>
                <w:color w:val="auto"/>
              </w:rPr>
            </w:pPr>
            <w:r>
              <w:rPr>
                <w:rFonts w:ascii="Arial" w:cs="Arial" w:eastAsia="Arial" w:hAnsi="Arial"/>
                <w:sz w:val="14"/>
                <w:szCs w:val="14"/>
                <w:b w:val="1"/>
                <w:bCs w:val="1"/>
                <w:color w:val="auto"/>
                <w:w w:val="89"/>
              </w:rPr>
              <w:t>(In thousands, except per share)</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Income</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0"/>
                <w:szCs w:val="20"/>
                <w:color w:val="auto"/>
              </w:rPr>
            </w:pPr>
            <w:r>
              <w:rPr>
                <w:rFonts w:ascii="Arial" w:cs="Arial" w:eastAsia="Arial" w:hAnsi="Arial"/>
                <w:sz w:val="20"/>
                <w:szCs w:val="20"/>
                <w:color w:val="auto"/>
              </w:rPr>
              <w:t>Dividends from consolidated bank subsidiaries</w:t>
            </w:r>
          </w:p>
        </w:tc>
        <w:tc>
          <w:tcPr>
            <w:tcW w:w="2000" w:type="dxa"/>
            <w:vAlign w:val="bottom"/>
            <w:gridSpan w:val="2"/>
          </w:tcPr>
          <w:p>
            <w:pPr>
              <w:jc w:val="right"/>
              <w:ind w:right="59"/>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2,025,000</w:t>
            </w:r>
          </w:p>
        </w:tc>
        <w:tc>
          <w:tcPr>
            <w:tcW w:w="100" w:type="dxa"/>
            <w:vAlign w:val="bottom"/>
          </w:tcPr>
          <w:p>
            <w:pPr>
              <w:spacing w:after="0"/>
              <w:rPr>
                <w:sz w:val="21"/>
                <w:szCs w:val="21"/>
                <w:color w:val="auto"/>
              </w:rPr>
            </w:pPr>
          </w:p>
        </w:tc>
        <w:tc>
          <w:tcPr>
            <w:tcW w:w="420" w:type="dxa"/>
            <w:vAlign w:val="bottom"/>
            <w:gridSpan w:val="2"/>
          </w:tcPr>
          <w:p>
            <w:pPr>
              <w:jc w:val="right"/>
              <w:ind w:right="79"/>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1,250,000</w:t>
            </w:r>
          </w:p>
        </w:tc>
        <w:tc>
          <w:tcPr>
            <w:tcW w:w="160" w:type="dxa"/>
            <w:vAlign w:val="bottom"/>
          </w:tcPr>
          <w:p>
            <w:pPr>
              <w:spacing w:after="0"/>
              <w:rPr>
                <w:sz w:val="21"/>
                <w:szCs w:val="21"/>
                <w:color w:val="auto"/>
              </w:rPr>
            </w:pPr>
          </w:p>
        </w:tc>
        <w:tc>
          <w:tcPr>
            <w:tcW w:w="360" w:type="dxa"/>
            <w:vAlign w:val="bottom"/>
            <w:gridSpan w:val="2"/>
          </w:tcPr>
          <w:p>
            <w:pPr>
              <w:jc w:val="right"/>
              <w:ind w:right="79"/>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1,540,000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FF0FC"/>
          </w:tcPr>
          <w:p>
            <w:pPr>
              <w:spacing w:after="0"/>
              <w:rPr>
                <w:sz w:val="20"/>
                <w:szCs w:val="20"/>
                <w:color w:val="auto"/>
              </w:rPr>
            </w:pPr>
            <w:r>
              <w:rPr>
                <w:rFonts w:ascii="Arial" w:cs="Arial" w:eastAsia="Arial" w:hAnsi="Arial"/>
                <w:sz w:val="20"/>
                <w:szCs w:val="20"/>
                <w:color w:val="auto"/>
              </w:rPr>
              <w:t>Equity in earnings of Bayview Lending Group LLC</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36,740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23,500</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income</w:t>
            </w:r>
          </w:p>
        </w:tc>
        <w:tc>
          <w:tcPr>
            <w:tcW w:w="17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7,216</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2,417</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9,493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Total income</w:t>
            </w:r>
          </w:p>
        </w:tc>
        <w:tc>
          <w:tcPr>
            <w:tcW w:w="174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2,068,956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1,275,917</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1,549,845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20"/>
                <w:szCs w:val="20"/>
                <w:b w:val="1"/>
                <w:bCs w:val="1"/>
                <w:color w:val="auto"/>
              </w:rPr>
              <w:t>Expense</w:t>
            </w: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FF0FC"/>
          </w:tcPr>
          <w:p>
            <w:pPr>
              <w:spacing w:after="0"/>
              <w:rPr>
                <w:sz w:val="20"/>
                <w:szCs w:val="20"/>
                <w:color w:val="auto"/>
              </w:rPr>
            </w:pPr>
            <w:r>
              <w:rPr>
                <w:rFonts w:ascii="Arial" w:cs="Arial" w:eastAsia="Arial" w:hAnsi="Arial"/>
                <w:sz w:val="20"/>
                <w:szCs w:val="20"/>
                <w:color w:val="auto"/>
              </w:rPr>
              <w:t>Interest on long-term borrowings</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51,938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36,354</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21,591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expense</w:t>
            </w:r>
          </w:p>
        </w:tc>
        <w:tc>
          <w:tcPr>
            <w:tcW w:w="17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25,236</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23,894</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19,636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Total expense</w:t>
            </w:r>
          </w:p>
        </w:tc>
        <w:tc>
          <w:tcPr>
            <w:tcW w:w="174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77,174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60,248</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41,227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20"/>
                <w:szCs w:val="20"/>
                <w:color w:val="auto"/>
              </w:rPr>
              <w:t>Income before income taxes and equity in undistributed</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160"/>
              <w:spacing w:after="0"/>
              <w:rPr>
                <w:sz w:val="20"/>
                <w:szCs w:val="20"/>
                <w:color w:val="auto"/>
              </w:rPr>
            </w:pPr>
            <w:r>
              <w:rPr>
                <w:rFonts w:ascii="Arial" w:cs="Arial" w:eastAsia="Arial" w:hAnsi="Arial"/>
                <w:sz w:val="20"/>
                <w:szCs w:val="20"/>
                <w:color w:val="auto"/>
              </w:rPr>
              <w:t>income of subsidiaries</w:t>
            </w: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1,991,782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1,215,669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1,508,618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FF0FC"/>
          </w:tcPr>
          <w:p>
            <w:pPr>
              <w:spacing w:after="0"/>
              <w:rPr>
                <w:sz w:val="20"/>
                <w:szCs w:val="20"/>
                <w:color w:val="auto"/>
              </w:rPr>
            </w:pPr>
            <w:r>
              <w:rPr>
                <w:rFonts w:ascii="Arial" w:cs="Arial" w:eastAsia="Arial" w:hAnsi="Arial"/>
                <w:sz w:val="20"/>
                <w:szCs w:val="20"/>
                <w:color w:val="auto"/>
              </w:rPr>
              <w:t>Income tax credits</w:t>
            </w:r>
          </w:p>
        </w:tc>
        <w:tc>
          <w:tcPr>
            <w:tcW w:w="174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8,313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8,446</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26,453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20"/>
                <w:szCs w:val="20"/>
                <w:i w:val="1"/>
                <w:iCs w:val="1"/>
                <w:color w:val="auto"/>
              </w:rPr>
              <w:t>Income before equity in undistributed income of</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FF0FC"/>
            </w:tcBorders>
          </w:tcPr>
          <w:p>
            <w:pPr>
              <w:ind w:left="160"/>
              <w:spacing w:after="0"/>
              <w:rPr>
                <w:sz w:val="20"/>
                <w:szCs w:val="20"/>
                <w:color w:val="auto"/>
              </w:rPr>
            </w:pPr>
            <w:r>
              <w:rPr>
                <w:rFonts w:ascii="Arial" w:cs="Arial" w:eastAsia="Arial" w:hAnsi="Arial"/>
                <w:sz w:val="20"/>
                <w:szCs w:val="20"/>
                <w:i w:val="1"/>
                <w:iCs w:val="1"/>
                <w:color w:val="auto"/>
              </w:rPr>
              <w:t>subsidiaries</w:t>
            </w:r>
          </w:p>
        </w:tc>
        <w:tc>
          <w:tcPr>
            <w:tcW w:w="17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2,000,095</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1,224,115</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1,535,071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Equity in undistributed income of subsidiaries</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0"/>
                <w:szCs w:val="20"/>
                <w:color w:val="auto"/>
              </w:rPr>
            </w:pPr>
            <w:r>
              <w:rPr>
                <w:rFonts w:ascii="Arial" w:cs="Arial" w:eastAsia="Arial" w:hAnsi="Arial"/>
                <w:sz w:val="20"/>
                <w:szCs w:val="20"/>
                <w:color w:val="auto"/>
              </w:rPr>
              <w:t>Net income of subsidiaries</w:t>
            </w: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1,954,054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1,943,965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1,413,235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FF0FC"/>
          </w:tcPr>
          <w:p>
            <w:pPr>
              <w:spacing w:after="0"/>
              <w:rPr>
                <w:sz w:val="20"/>
                <w:szCs w:val="20"/>
                <w:color w:val="auto"/>
              </w:rPr>
            </w:pPr>
            <w:r>
              <w:rPr>
                <w:rFonts w:ascii="Arial" w:cs="Arial" w:eastAsia="Arial" w:hAnsi="Arial"/>
                <w:sz w:val="20"/>
                <w:szCs w:val="20"/>
                <w:color w:val="auto"/>
              </w:rPr>
              <w:t>Less: dividends received</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(2,025,000)</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(1,250,000)</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(1,540,000)</w:t>
            </w:r>
          </w:p>
        </w:tc>
        <w:tc>
          <w:tcPr>
            <w:tcW w:w="0" w:type="dxa"/>
            <w:vAlign w:val="bottom"/>
          </w:tcPr>
          <w:p>
            <w:pPr>
              <w:spacing w:after="0"/>
              <w:rPr>
                <w:sz w:val="1"/>
                <w:szCs w:val="1"/>
                <w:color w:val="auto"/>
              </w:rPr>
            </w:pPr>
          </w:p>
        </w:tc>
      </w:tr>
      <w:tr>
        <w:trPr>
          <w:trHeight w:val="243"/>
        </w:trPr>
        <w:tc>
          <w:tcPr>
            <w:tcW w:w="50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Equity in undistributed income of subsidiaries</w:t>
            </w:r>
          </w:p>
        </w:tc>
        <w:tc>
          <w:tcPr>
            <w:tcW w:w="17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(70,946)</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693,965</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(126,765)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i w:val="1"/>
                <w:iCs w:val="1"/>
                <w:color w:val="auto"/>
              </w:rPr>
              <w:t>Net income</w:t>
            </w:r>
          </w:p>
        </w:tc>
        <w:tc>
          <w:tcPr>
            <w:tcW w:w="17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1,929,149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1,918,080</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1,408,306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20"/>
                <w:szCs w:val="20"/>
                <w:b w:val="1"/>
                <w:bCs w:val="1"/>
                <w:color w:val="auto"/>
              </w:rPr>
              <w:t>Net income per common share</w:t>
            </w:r>
          </w:p>
        </w:tc>
        <w:tc>
          <w:tcPr>
            <w:tcW w:w="1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Basic</w:t>
            </w:r>
          </w:p>
        </w:tc>
        <w:tc>
          <w:tcPr>
            <w:tcW w:w="2000" w:type="dxa"/>
            <w:vAlign w:val="bottom"/>
            <w:gridSpan w:val="2"/>
            <w:shd w:val="clear" w:color="auto" w:fill="CFF0FC"/>
          </w:tcPr>
          <w:p>
            <w:pPr>
              <w:jc w:val="right"/>
              <w:ind w:right="59"/>
              <w:spacing w:after="0"/>
              <w:rPr>
                <w:sz w:val="20"/>
                <w:szCs w:val="20"/>
                <w:color w:val="auto"/>
              </w:rPr>
            </w:pPr>
            <w:r>
              <w:rPr>
                <w:rFonts w:ascii="Arial" w:cs="Arial" w:eastAsia="Arial" w:hAnsi="Arial"/>
                <w:sz w:val="20"/>
                <w:szCs w:val="20"/>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13.76</w:t>
            </w:r>
          </w:p>
        </w:tc>
        <w:tc>
          <w:tcPr>
            <w:tcW w:w="10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79"/>
              <w:spacing w:after="0"/>
              <w:rPr>
                <w:sz w:val="20"/>
                <w:szCs w:val="20"/>
                <w:color w:val="auto"/>
              </w:rPr>
            </w:pPr>
            <w:r>
              <w:rPr>
                <w:rFonts w:ascii="Arial" w:cs="Arial" w:eastAsia="Arial" w:hAnsi="Arial"/>
                <w:sz w:val="20"/>
                <w:szCs w:val="20"/>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12.75</w:t>
            </w:r>
          </w:p>
        </w:tc>
        <w:tc>
          <w:tcPr>
            <w:tcW w:w="16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79"/>
              <w:spacing w:after="0"/>
              <w:rPr>
                <w:sz w:val="20"/>
                <w:szCs w:val="20"/>
                <w:color w:val="auto"/>
              </w:rPr>
            </w:pPr>
            <w:r>
              <w:rPr>
                <w:rFonts w:ascii="Arial" w:cs="Arial" w:eastAsia="Arial" w:hAnsi="Arial"/>
                <w:sz w:val="20"/>
                <w:szCs w:val="20"/>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40" w:type="dxa"/>
            <w:vAlign w:val="bottom"/>
          </w:tcPr>
          <w:p>
            <w:pPr>
              <w:ind w:left="240"/>
              <w:spacing w:after="0"/>
              <w:rPr>
                <w:sz w:val="20"/>
                <w:szCs w:val="20"/>
                <w:color w:val="auto"/>
              </w:rPr>
            </w:pPr>
            <w:r>
              <w:rPr>
                <w:rFonts w:ascii="Arial" w:cs="Arial" w:eastAsia="Arial" w:hAnsi="Arial"/>
                <w:sz w:val="20"/>
                <w:szCs w:val="20"/>
                <w:color w:val="auto"/>
              </w:rPr>
              <w:t>Diluted</w:t>
            </w:r>
          </w:p>
        </w:tc>
        <w:tc>
          <w:tcPr>
            <w:tcW w:w="1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13.75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12.74</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8.70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2"/>
        </w:trPr>
        <w:tc>
          <w:tcPr>
            <w:tcW w:w="5040" w:type="dxa"/>
            <w:vAlign w:val="bottom"/>
          </w:tcPr>
          <w:p>
            <w:pPr>
              <w:spacing w:after="0"/>
              <w:rPr>
                <w:sz w:val="24"/>
                <w:szCs w:val="24"/>
                <w:color w:val="auto"/>
              </w:rPr>
            </w:pPr>
          </w:p>
        </w:tc>
        <w:tc>
          <w:tcPr>
            <w:tcW w:w="1740" w:type="dxa"/>
            <w:vAlign w:val="bottom"/>
          </w:tcPr>
          <w:p>
            <w:pPr>
              <w:jc w:val="right"/>
              <w:ind w:right="844"/>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0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88" w:name="page189"/>
    <w:bookmarkEnd w:id="188"/>
    <w:p>
      <w:pPr>
        <w:spacing w:after="0"/>
        <w:rPr>
          <w:sz w:val="20"/>
          <w:szCs w:val="20"/>
          <w:color w:val="auto"/>
        </w:rPr>
      </w:pPr>
      <w:r>
        <w:rPr>
          <w:rFonts w:ascii="Arial" w:cs="Arial" w:eastAsia="Arial" w:hAnsi="Arial"/>
          <w:sz w:val="20"/>
          <w:szCs w:val="20"/>
          <w:b w:val="1"/>
          <w:bCs w:val="1"/>
          <w:color w:val="auto"/>
        </w:rPr>
        <w:t>Condensed Statement of Cash Flows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0"/>
              </w:rPr>
              <w:t>Year Ended December 31</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5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1"/>
              <w:spacing w:after="0" w:line="151"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62"/>
              <w:spacing w:after="0" w:line="151"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81"/>
              <w:spacing w:after="0" w:line="151"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1"/>
        </w:trPr>
        <w:tc>
          <w:tcPr>
            <w:tcW w:w="5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38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Cash flows from operating activities</w:t>
            </w:r>
          </w:p>
        </w:tc>
        <w:tc>
          <w:tcPr>
            <w:tcW w:w="2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20"/>
                <w:szCs w:val="20"/>
                <w:color w:val="auto"/>
              </w:rPr>
              <w:t>Net income</w:t>
            </w:r>
          </w:p>
        </w:tc>
        <w:tc>
          <w:tcPr>
            <w:tcW w:w="228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1,929,149</w:t>
            </w:r>
          </w:p>
        </w:tc>
        <w:tc>
          <w:tcPr>
            <w:tcW w:w="8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1,918,080</w:t>
            </w:r>
          </w:p>
        </w:tc>
        <w:tc>
          <w:tcPr>
            <w:tcW w:w="24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1,408,306</w:t>
            </w:r>
          </w:p>
        </w:tc>
        <w:tc>
          <w:tcPr>
            <w:tcW w:w="100" w:type="dxa"/>
            <w:vAlign w:val="bottom"/>
          </w:tcPr>
          <w:p>
            <w:pPr>
              <w:spacing w:after="0"/>
              <w:rPr>
                <w:sz w:val="21"/>
                <w:szCs w:val="21"/>
                <w:color w:val="auto"/>
              </w:rPr>
            </w:pPr>
          </w:p>
        </w:tc>
      </w:tr>
      <w:tr>
        <w:trPr>
          <w:trHeight w:val="236"/>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Adjustments to reconcile net income to net cash provided</w:t>
            </w:r>
          </w:p>
        </w:tc>
        <w:tc>
          <w:tcPr>
            <w:tcW w:w="2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0"/>
        </w:trPr>
        <w:tc>
          <w:tcPr>
            <w:tcW w:w="51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by operating activities</w:t>
            </w:r>
          </w:p>
        </w:tc>
        <w:tc>
          <w:tcPr>
            <w:tcW w:w="2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100" w:type="dxa"/>
            <w:vAlign w:val="bottom"/>
          </w:tcPr>
          <w:p>
            <w:pPr>
              <w:ind w:left="240"/>
              <w:spacing w:after="0"/>
              <w:rPr>
                <w:sz w:val="20"/>
                <w:szCs w:val="20"/>
                <w:color w:val="auto"/>
              </w:rPr>
            </w:pPr>
            <w:r>
              <w:rPr>
                <w:rFonts w:ascii="Arial" w:cs="Arial" w:eastAsia="Arial" w:hAnsi="Arial"/>
                <w:sz w:val="20"/>
                <w:szCs w:val="20"/>
                <w:color w:val="auto"/>
              </w:rPr>
              <w:t>Equity in undistributed income of subsidiaries</w:t>
            </w:r>
          </w:p>
        </w:tc>
        <w:tc>
          <w:tcPr>
            <w:tcW w:w="2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70,946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20"/>
                <w:szCs w:val="20"/>
                <w:color w:val="auto"/>
              </w:rPr>
              <w:t>(693,965)</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126,765</w:t>
            </w:r>
          </w:p>
        </w:tc>
        <w:tc>
          <w:tcPr>
            <w:tcW w:w="100" w:type="dxa"/>
            <w:vAlign w:val="bottom"/>
          </w:tcPr>
          <w:p>
            <w:pPr>
              <w:spacing w:after="0"/>
              <w:rPr>
                <w:sz w:val="21"/>
                <w:szCs w:val="21"/>
                <w:color w:val="auto"/>
              </w:rPr>
            </w:pPr>
          </w:p>
        </w:tc>
      </w:tr>
      <w:tr>
        <w:trPr>
          <w:trHeight w:val="250"/>
        </w:trPr>
        <w:tc>
          <w:tcPr>
            <w:tcW w:w="51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Provision for deferred income taxes</w:t>
            </w:r>
          </w:p>
        </w:tc>
        <w:tc>
          <w:tcPr>
            <w:tcW w:w="2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5,263</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4,949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4,543</w:t>
            </w:r>
          </w:p>
        </w:tc>
        <w:tc>
          <w:tcPr>
            <w:tcW w:w="100" w:type="dxa"/>
            <w:vAlign w:val="bottom"/>
            <w:shd w:val="clear" w:color="auto" w:fill="CFF0FC"/>
          </w:tcPr>
          <w:p>
            <w:pPr>
              <w:spacing w:after="0"/>
              <w:rPr>
                <w:sz w:val="21"/>
                <w:szCs w:val="21"/>
                <w:color w:val="auto"/>
              </w:rPr>
            </w:pPr>
          </w:p>
        </w:tc>
      </w:tr>
      <w:tr>
        <w:trPr>
          <w:trHeight w:val="250"/>
        </w:trPr>
        <w:tc>
          <w:tcPr>
            <w:tcW w:w="5100" w:type="dxa"/>
            <w:vAlign w:val="bottom"/>
          </w:tcPr>
          <w:p>
            <w:pPr>
              <w:ind w:left="240"/>
              <w:spacing w:after="0"/>
              <w:rPr>
                <w:sz w:val="20"/>
                <w:szCs w:val="20"/>
                <w:color w:val="auto"/>
              </w:rPr>
            </w:pPr>
            <w:r>
              <w:rPr>
                <w:rFonts w:ascii="Arial" w:cs="Arial" w:eastAsia="Arial" w:hAnsi="Arial"/>
                <w:sz w:val="20"/>
                <w:szCs w:val="20"/>
                <w:color w:val="auto"/>
              </w:rPr>
              <w:t>Net change in accrued income and expense</w:t>
            </w:r>
          </w:p>
        </w:tc>
        <w:tc>
          <w:tcPr>
            <w:tcW w:w="2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20"/>
                <w:szCs w:val="20"/>
                <w:color w:val="auto"/>
              </w:rPr>
              <w:t>(34,525)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20"/>
                <w:szCs w:val="20"/>
                <w:color w:val="auto"/>
              </w:rPr>
              <w:t>(8,242)</w:t>
            </w:r>
          </w:p>
        </w:tc>
        <w:tc>
          <w:tcPr>
            <w:tcW w:w="2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20"/>
                <w:szCs w:val="20"/>
                <w:color w:val="auto"/>
              </w:rPr>
              <w:t>(170)</w:t>
            </w:r>
          </w:p>
        </w:tc>
      </w:tr>
      <w:tr>
        <w:trPr>
          <w:trHeight w:val="250"/>
        </w:trPr>
        <w:tc>
          <w:tcPr>
            <w:tcW w:w="51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Gain on sale of assets</w:t>
            </w:r>
          </w:p>
        </w:tc>
        <w:tc>
          <w:tcPr>
            <w:tcW w:w="2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(2,995)</w:t>
            </w:r>
          </w:p>
        </w:tc>
      </w:tr>
      <w:tr>
        <w:trPr>
          <w:trHeight w:val="243"/>
        </w:trPr>
        <w:tc>
          <w:tcPr>
            <w:tcW w:w="510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Net cash provided by operating activities</w:t>
            </w:r>
          </w:p>
        </w:tc>
        <w:tc>
          <w:tcPr>
            <w:tcW w:w="206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1,970,833</w:t>
            </w:r>
          </w:p>
        </w:tc>
        <w:tc>
          <w:tcPr>
            <w:tcW w:w="8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1,220,822</w:t>
            </w:r>
          </w:p>
        </w:tc>
        <w:tc>
          <w:tcPr>
            <w:tcW w:w="2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1,536,449</w:t>
            </w:r>
          </w:p>
        </w:tc>
        <w:tc>
          <w:tcPr>
            <w:tcW w:w="100" w:type="dxa"/>
            <w:vAlign w:val="bottom"/>
            <w:tcBorders>
              <w:bottom w:val="single" w:sz="8" w:color="CFF0FC"/>
            </w:tcBorders>
          </w:tcPr>
          <w:p>
            <w:pPr>
              <w:spacing w:after="0"/>
              <w:rPr>
                <w:sz w:val="21"/>
                <w:szCs w:val="21"/>
                <w:color w:val="auto"/>
              </w:rPr>
            </w:pPr>
          </w:p>
        </w:tc>
      </w:tr>
      <w:tr>
        <w:trPr>
          <w:trHeight w:val="243"/>
        </w:trPr>
        <w:tc>
          <w:tcPr>
            <w:tcW w:w="51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Cash flows from investing activities</w:t>
            </w:r>
          </w:p>
        </w:tc>
        <w:tc>
          <w:tcPr>
            <w:tcW w:w="2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100" w:type="dxa"/>
            <w:vAlign w:val="bottom"/>
          </w:tcPr>
          <w:p>
            <w:pPr>
              <w:spacing w:after="0"/>
              <w:rPr>
                <w:sz w:val="20"/>
                <w:szCs w:val="20"/>
                <w:color w:val="auto"/>
              </w:rPr>
            </w:pPr>
            <w:r>
              <w:rPr>
                <w:rFonts w:ascii="Arial" w:cs="Arial" w:eastAsia="Arial" w:hAnsi="Arial"/>
                <w:sz w:val="20"/>
                <w:szCs w:val="20"/>
                <w:color w:val="auto"/>
              </w:rPr>
              <w:t>Proceeds from sales or maturities of</w:t>
            </w: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100" w:type="dxa"/>
            <w:vAlign w:val="bottom"/>
          </w:tcPr>
          <w:p>
            <w:pPr>
              <w:ind w:left="160"/>
              <w:spacing w:after="0"/>
              <w:rPr>
                <w:sz w:val="20"/>
                <w:szCs w:val="20"/>
                <w:color w:val="auto"/>
              </w:rPr>
            </w:pPr>
            <w:r>
              <w:rPr>
                <w:rFonts w:ascii="Arial" w:cs="Arial" w:eastAsia="Arial" w:hAnsi="Arial"/>
                <w:sz w:val="20"/>
                <w:szCs w:val="20"/>
                <w:color w:val="auto"/>
              </w:rPr>
              <w:t>investment securities</w:t>
            </w:r>
          </w:p>
        </w:tc>
        <w:tc>
          <w:tcPr>
            <w:tcW w:w="2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Other, net</w:t>
            </w:r>
          </w:p>
        </w:tc>
        <w:tc>
          <w:tcPr>
            <w:tcW w:w="20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51,235</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29,933</w:t>
            </w:r>
          </w:p>
        </w:tc>
        <w:tc>
          <w:tcPr>
            <w:tcW w:w="2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12,407</w:t>
            </w:r>
          </w:p>
        </w:tc>
        <w:tc>
          <w:tcPr>
            <w:tcW w:w="100" w:type="dxa"/>
            <w:vAlign w:val="bottom"/>
            <w:shd w:val="clear" w:color="auto" w:fill="CFF0FC"/>
          </w:tcPr>
          <w:p>
            <w:pPr>
              <w:spacing w:after="0"/>
              <w:rPr>
                <w:sz w:val="21"/>
                <w:szCs w:val="21"/>
                <w:color w:val="auto"/>
              </w:rPr>
            </w:pPr>
          </w:p>
        </w:tc>
      </w:tr>
      <w:tr>
        <w:trPr>
          <w:trHeight w:val="243"/>
        </w:trPr>
        <w:tc>
          <w:tcPr>
            <w:tcW w:w="510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Net cash provided by investing activities</w:t>
            </w:r>
          </w:p>
        </w:tc>
        <w:tc>
          <w:tcPr>
            <w:tcW w:w="20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51,335</w:t>
            </w:r>
          </w:p>
        </w:tc>
        <w:tc>
          <w:tcPr>
            <w:tcW w:w="8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29,933</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12,407</w:t>
            </w:r>
          </w:p>
        </w:tc>
        <w:tc>
          <w:tcPr>
            <w:tcW w:w="100" w:type="dxa"/>
            <w:vAlign w:val="bottom"/>
            <w:tcBorders>
              <w:bottom w:val="single" w:sz="8" w:color="CFF0FC"/>
            </w:tcBorders>
          </w:tcPr>
          <w:p>
            <w:pPr>
              <w:spacing w:after="0"/>
              <w:rPr>
                <w:sz w:val="21"/>
                <w:szCs w:val="21"/>
                <w:color w:val="auto"/>
              </w:rPr>
            </w:pPr>
          </w:p>
        </w:tc>
      </w:tr>
      <w:tr>
        <w:trPr>
          <w:trHeight w:val="243"/>
        </w:trPr>
        <w:tc>
          <w:tcPr>
            <w:tcW w:w="51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Cash flows from financing activities</w:t>
            </w:r>
          </w:p>
        </w:tc>
        <w:tc>
          <w:tcPr>
            <w:tcW w:w="2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20"/>
                <w:szCs w:val="20"/>
                <w:color w:val="auto"/>
              </w:rPr>
              <w:t>Purchases of treasury stock</w:t>
            </w:r>
          </w:p>
        </w:tc>
        <w:tc>
          <w:tcPr>
            <w:tcW w:w="2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20"/>
                <w:szCs w:val="20"/>
                <w:color w:val="auto"/>
              </w:rPr>
              <w:t>(1,349,785)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20"/>
                <w:szCs w:val="20"/>
                <w:color w:val="auto"/>
              </w:rPr>
              <w:t>(2,194,396)</w:t>
            </w:r>
          </w:p>
        </w:tc>
        <w:tc>
          <w:tcPr>
            <w:tcW w:w="2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20"/>
                <w:szCs w:val="20"/>
                <w:color w:val="auto"/>
              </w:rPr>
              <w:t>(1,205,905)</w:t>
            </w: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Dividends paid — common</w:t>
            </w:r>
          </w:p>
        </w:tc>
        <w:tc>
          <w:tcPr>
            <w:tcW w:w="2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(552,138)</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(510,382)</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(457,402)</w:t>
            </w:r>
          </w:p>
        </w:tc>
      </w:tr>
      <w:tr>
        <w:trPr>
          <w:trHeight w:val="250"/>
        </w:trPr>
        <w:tc>
          <w:tcPr>
            <w:tcW w:w="5100" w:type="dxa"/>
            <w:vAlign w:val="bottom"/>
          </w:tcPr>
          <w:p>
            <w:pPr>
              <w:spacing w:after="0"/>
              <w:rPr>
                <w:sz w:val="20"/>
                <w:szCs w:val="20"/>
                <w:color w:val="auto"/>
              </w:rPr>
            </w:pPr>
            <w:r>
              <w:rPr>
                <w:rFonts w:ascii="Arial" w:cs="Arial" w:eastAsia="Arial" w:hAnsi="Arial"/>
                <w:sz w:val="20"/>
                <w:szCs w:val="20"/>
                <w:color w:val="auto"/>
              </w:rPr>
              <w:t>Dividends paid — preferred</w:t>
            </w:r>
          </w:p>
        </w:tc>
        <w:tc>
          <w:tcPr>
            <w:tcW w:w="2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20"/>
                <w:szCs w:val="20"/>
                <w:color w:val="auto"/>
              </w:rPr>
              <w:t>(67,454)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20"/>
                <w:szCs w:val="20"/>
                <w:color w:val="auto"/>
              </w:rPr>
              <w:t>(72,521)</w:t>
            </w:r>
          </w:p>
        </w:tc>
        <w:tc>
          <w:tcPr>
            <w:tcW w:w="2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20"/>
                <w:szCs w:val="20"/>
                <w:color w:val="auto"/>
              </w:rPr>
              <w:t>(72,734)</w:t>
            </w: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Proceeds from long-term borrowings</w:t>
            </w:r>
          </w:p>
        </w:tc>
        <w:tc>
          <w:tcPr>
            <w:tcW w:w="2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748,595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36"/>
        </w:trPr>
        <w:tc>
          <w:tcPr>
            <w:tcW w:w="5100" w:type="dxa"/>
            <w:vAlign w:val="bottom"/>
          </w:tcPr>
          <w:p>
            <w:pPr>
              <w:spacing w:after="0"/>
              <w:rPr>
                <w:sz w:val="20"/>
                <w:szCs w:val="20"/>
                <w:color w:val="auto"/>
              </w:rPr>
            </w:pPr>
            <w:r>
              <w:rPr>
                <w:rFonts w:ascii="Arial" w:cs="Arial" w:eastAsia="Arial" w:hAnsi="Arial"/>
                <w:sz w:val="20"/>
                <w:szCs w:val="20"/>
                <w:color w:val="auto"/>
              </w:rPr>
              <w:t>Redemption of Series A and Series C</w:t>
            </w: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100" w:type="dxa"/>
            <w:vAlign w:val="bottom"/>
          </w:tcPr>
          <w:p>
            <w:pPr>
              <w:ind w:left="160"/>
              <w:spacing w:after="0"/>
              <w:rPr>
                <w:sz w:val="20"/>
                <w:szCs w:val="20"/>
                <w:color w:val="auto"/>
              </w:rPr>
            </w:pPr>
            <w:r>
              <w:rPr>
                <w:rFonts w:ascii="Arial" w:cs="Arial" w:eastAsia="Arial" w:hAnsi="Arial"/>
                <w:sz w:val="20"/>
                <w:szCs w:val="20"/>
                <w:color w:val="auto"/>
              </w:rPr>
              <w:t>preferred stock</w:t>
            </w:r>
          </w:p>
        </w:tc>
        <w:tc>
          <w:tcPr>
            <w:tcW w:w="2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20"/>
                <w:szCs w:val="20"/>
                <w:color w:val="auto"/>
              </w:rPr>
              <w:t>(381,500)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Proceeds from issuance of Series G preferred stock</w:t>
            </w:r>
          </w:p>
        </w:tc>
        <w:tc>
          <w:tcPr>
            <w:tcW w:w="2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396,000</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50"/>
        </w:trPr>
        <w:tc>
          <w:tcPr>
            <w:tcW w:w="5100" w:type="dxa"/>
            <w:vAlign w:val="bottom"/>
          </w:tcPr>
          <w:p>
            <w:pPr>
              <w:spacing w:after="0"/>
              <w:rPr>
                <w:sz w:val="20"/>
                <w:szCs w:val="20"/>
                <w:color w:val="auto"/>
              </w:rPr>
            </w:pPr>
            <w:r>
              <w:rPr>
                <w:rFonts w:ascii="Arial" w:cs="Arial" w:eastAsia="Arial" w:hAnsi="Arial"/>
                <w:sz w:val="20"/>
                <w:szCs w:val="20"/>
                <w:color w:val="auto"/>
              </w:rPr>
              <w:t>Other, net</w:t>
            </w:r>
          </w:p>
        </w:tc>
        <w:tc>
          <w:tcPr>
            <w:tcW w:w="2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20"/>
                <w:szCs w:val="20"/>
                <w:color w:val="auto"/>
              </w:rPr>
              <w:t>(4,431)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45,913</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34,524</w:t>
            </w:r>
          </w:p>
        </w:tc>
        <w:tc>
          <w:tcPr>
            <w:tcW w:w="100" w:type="dxa"/>
            <w:vAlign w:val="bottom"/>
          </w:tcPr>
          <w:p>
            <w:pPr>
              <w:spacing w:after="0"/>
              <w:rPr>
                <w:sz w:val="21"/>
                <w:szCs w:val="21"/>
                <w:color w:val="auto"/>
              </w:rPr>
            </w:pPr>
          </w:p>
        </w:tc>
      </w:tr>
      <w:tr>
        <w:trPr>
          <w:trHeight w:val="243"/>
        </w:trPr>
        <w:tc>
          <w:tcPr>
            <w:tcW w:w="51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20"/>
                <w:szCs w:val="20"/>
                <w:color w:val="auto"/>
              </w:rPr>
              <w:t>Net cash used by financing activities</w:t>
            </w:r>
          </w:p>
        </w:tc>
        <w:tc>
          <w:tcPr>
            <w:tcW w:w="2060" w:type="dxa"/>
            <w:vAlign w:val="bottom"/>
            <w:tcBorders>
              <w:top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5"/>
              </w:rPr>
              <w:t>(1,959,308)</w:t>
            </w:r>
          </w:p>
        </w:tc>
        <w:tc>
          <w:tcPr>
            <w:tcW w:w="80" w:type="dxa"/>
            <w:vAlign w:val="bottom"/>
            <w:tcBorders>
              <w:top w:val="single" w:sz="8" w:color="CFF0FC"/>
            </w:tcBorders>
            <w:shd w:val="clear" w:color="auto" w:fill="CFF0FC"/>
          </w:tcPr>
          <w:p>
            <w:pPr>
              <w:spacing w:after="0"/>
              <w:rPr>
                <w:sz w:val="21"/>
                <w:szCs w:val="21"/>
                <w:color w:val="auto"/>
              </w:rPr>
            </w:pPr>
          </w:p>
        </w:tc>
        <w:tc>
          <w:tcPr>
            <w:tcW w:w="16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(1,982,791)</w:t>
            </w:r>
          </w:p>
        </w:tc>
        <w:tc>
          <w:tcPr>
            <w:tcW w:w="240" w:type="dxa"/>
            <w:vAlign w:val="bottom"/>
            <w:tcBorders>
              <w:top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7"/>
              </w:rPr>
              <w:t>(1,701,517)</w:t>
            </w:r>
          </w:p>
        </w:tc>
        <w:tc>
          <w:tcPr>
            <w:tcW w:w="100" w:type="dxa"/>
            <w:vAlign w:val="bottom"/>
            <w:tcBorders>
              <w:top w:val="single" w:sz="8" w:color="CFF0FC"/>
            </w:tcBorders>
            <w:shd w:val="clear" w:color="auto" w:fill="CFF0FC"/>
          </w:tcPr>
          <w:p>
            <w:pPr>
              <w:spacing w:after="0"/>
              <w:rPr>
                <w:sz w:val="21"/>
                <w:szCs w:val="2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20"/>
                <w:szCs w:val="20"/>
                <w:color w:val="auto"/>
              </w:rPr>
              <w:t>Net increase (decrease) in cash and cash equivalents</w:t>
            </w:r>
          </w:p>
        </w:tc>
        <w:tc>
          <w:tcPr>
            <w:tcW w:w="2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62,860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(732,036)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(152,661)</w:t>
            </w:r>
          </w:p>
        </w:tc>
        <w:tc>
          <w:tcPr>
            <w:tcW w:w="100" w:type="dxa"/>
            <w:vAlign w:val="bottom"/>
          </w:tcPr>
          <w:p>
            <w:pPr>
              <w:spacing w:after="0"/>
              <w:rPr>
                <w:sz w:val="21"/>
                <w:szCs w:val="21"/>
                <w:color w:val="auto"/>
              </w:rPr>
            </w:pP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Cash and cash equivalents at beginning of year</w:t>
            </w:r>
          </w:p>
        </w:tc>
        <w:tc>
          <w:tcPr>
            <w:tcW w:w="20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897,490</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1,629,526</w:t>
            </w:r>
          </w:p>
        </w:tc>
        <w:tc>
          <w:tcPr>
            <w:tcW w:w="2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1,782,187</w:t>
            </w:r>
          </w:p>
        </w:tc>
        <w:tc>
          <w:tcPr>
            <w:tcW w:w="100" w:type="dxa"/>
            <w:vAlign w:val="bottom"/>
            <w:shd w:val="clear" w:color="auto" w:fill="CFF0FC"/>
          </w:tcPr>
          <w:p>
            <w:pPr>
              <w:spacing w:after="0"/>
              <w:rPr>
                <w:sz w:val="21"/>
                <w:szCs w:val="21"/>
                <w:color w:val="auto"/>
              </w:rPr>
            </w:pPr>
          </w:p>
        </w:tc>
      </w:tr>
      <w:tr>
        <w:trPr>
          <w:trHeight w:val="283"/>
        </w:trPr>
        <w:tc>
          <w:tcPr>
            <w:tcW w:w="51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Cash and cash equivalents at end of year</w:t>
            </w:r>
          </w:p>
        </w:tc>
        <w:tc>
          <w:tcPr>
            <w:tcW w:w="206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960,350</w:t>
            </w:r>
          </w:p>
        </w:tc>
        <w:tc>
          <w:tcPr>
            <w:tcW w:w="8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897,490</w:t>
            </w:r>
          </w:p>
        </w:tc>
        <w:tc>
          <w:tcPr>
            <w:tcW w:w="2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1,629,526</w:t>
            </w:r>
          </w:p>
        </w:tc>
        <w:tc>
          <w:tcPr>
            <w:tcW w:w="100" w:type="dxa"/>
            <w:vAlign w:val="bottom"/>
            <w:tcBorders>
              <w:bottom w:val="single" w:sz="8" w:color="CFF0FC"/>
            </w:tcBorders>
          </w:tcPr>
          <w:p>
            <w:pPr>
              <w:spacing w:after="0"/>
              <w:rPr>
                <w:sz w:val="24"/>
                <w:szCs w:val="24"/>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Supplemental disclosure of cash flow information</w:t>
            </w:r>
          </w:p>
        </w:tc>
        <w:tc>
          <w:tcPr>
            <w:tcW w:w="2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20"/>
                <w:szCs w:val="20"/>
                <w:color w:val="auto"/>
              </w:rPr>
              <w:t>Interest received during the year</w:t>
            </w:r>
          </w:p>
        </w:tc>
        <w:tc>
          <w:tcPr>
            <w:tcW w:w="228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1,752</w:t>
            </w:r>
          </w:p>
        </w:tc>
        <w:tc>
          <w:tcPr>
            <w:tcW w:w="8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2,219</w:t>
            </w:r>
          </w:p>
        </w:tc>
        <w:tc>
          <w:tcPr>
            <w:tcW w:w="24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2,313</w:t>
            </w:r>
          </w:p>
        </w:tc>
        <w:tc>
          <w:tcPr>
            <w:tcW w:w="100" w:type="dxa"/>
            <w:vAlign w:val="bottom"/>
          </w:tcPr>
          <w:p>
            <w:pPr>
              <w:spacing w:after="0"/>
              <w:rPr>
                <w:sz w:val="21"/>
                <w:szCs w:val="21"/>
                <w:color w:val="auto"/>
              </w:rPr>
            </w:pP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Interest paid during the year</w:t>
            </w:r>
          </w:p>
        </w:tc>
        <w:tc>
          <w:tcPr>
            <w:tcW w:w="2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49,451</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17,482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18,498</w:t>
            </w:r>
          </w:p>
        </w:tc>
        <w:tc>
          <w:tcPr>
            <w:tcW w:w="100" w:type="dxa"/>
            <w:vAlign w:val="bottom"/>
            <w:shd w:val="clear" w:color="auto" w:fill="CFF0FC"/>
          </w:tcPr>
          <w:p>
            <w:pPr>
              <w:spacing w:after="0"/>
              <w:rPr>
                <w:sz w:val="21"/>
                <w:szCs w:val="21"/>
                <w:color w:val="auto"/>
              </w:rPr>
            </w:pPr>
          </w:p>
        </w:tc>
      </w:tr>
      <w:tr>
        <w:trPr>
          <w:trHeight w:val="257"/>
        </w:trPr>
        <w:tc>
          <w:tcPr>
            <w:tcW w:w="5100" w:type="dxa"/>
            <w:vAlign w:val="bottom"/>
          </w:tcPr>
          <w:p>
            <w:pPr>
              <w:spacing w:after="0"/>
              <w:rPr>
                <w:sz w:val="20"/>
                <w:szCs w:val="20"/>
                <w:color w:val="auto"/>
              </w:rPr>
            </w:pPr>
            <w:r>
              <w:rPr>
                <w:rFonts w:ascii="Arial" w:cs="Arial" w:eastAsia="Arial" w:hAnsi="Arial"/>
                <w:sz w:val="20"/>
                <w:szCs w:val="20"/>
                <w:color w:val="auto"/>
              </w:rPr>
              <w:t>Income taxes received during the year</w:t>
            </w:r>
          </w:p>
        </w:tc>
        <w:tc>
          <w:tcPr>
            <w:tcW w:w="2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6,251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6,362</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21,740</w:t>
            </w:r>
          </w:p>
        </w:tc>
        <w:tc>
          <w:tcPr>
            <w:tcW w:w="100" w:type="dxa"/>
            <w:vAlign w:val="bottom"/>
          </w:tcPr>
          <w:p>
            <w:pPr>
              <w:spacing w:after="0"/>
              <w:rPr>
                <w:sz w:val="22"/>
                <w:szCs w:val="22"/>
                <w:color w:val="auto"/>
              </w:rPr>
            </w:pPr>
          </w:p>
        </w:tc>
      </w:tr>
      <w:tr>
        <w:trPr>
          <w:trHeight w:val="806"/>
        </w:trPr>
        <w:tc>
          <w:tcPr>
            <w:tcW w:w="5100" w:type="dxa"/>
            <w:vAlign w:val="bottom"/>
          </w:tcPr>
          <w:p>
            <w:pPr>
              <w:spacing w:after="0"/>
              <w:rPr>
                <w:sz w:val="24"/>
                <w:szCs w:val="24"/>
                <w:color w:val="auto"/>
              </w:rPr>
            </w:pPr>
          </w:p>
        </w:tc>
        <w:tc>
          <w:tcPr>
            <w:tcW w:w="2060" w:type="dxa"/>
            <w:vAlign w:val="bottom"/>
          </w:tcPr>
          <w:p>
            <w:pPr>
              <w:jc w:val="right"/>
              <w:ind w:right="1224"/>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2"/>
        </w:trPr>
        <w:tc>
          <w:tcPr>
            <w:tcW w:w="510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89" w:name="page190"/>
    <w:bookmarkEnd w:id="189"/>
    <w:p>
      <w:pPr>
        <w:spacing w:after="0"/>
        <w:tabs>
          <w:tab w:leader="none" w:pos="440" w:val="left"/>
        </w:tabs>
        <w:rPr>
          <w:sz w:val="20"/>
          <w:szCs w:val="20"/>
          <w:color w:val="auto"/>
        </w:rPr>
      </w:pPr>
      <w:r>
        <w:rPr>
          <w:rFonts w:ascii="Arial" w:cs="Arial" w:eastAsia="Arial" w:hAnsi="Arial"/>
          <w:sz w:val="20"/>
          <w:szCs w:val="20"/>
          <w:b w:val="1"/>
          <w:bCs w:val="1"/>
          <w:color w:val="auto"/>
        </w:rPr>
        <w:t>26.</w:t>
      </w:r>
      <w:r>
        <w:rPr>
          <w:sz w:val="20"/>
          <w:szCs w:val="20"/>
          <w:color w:val="auto"/>
        </w:rPr>
        <w:tab/>
      </w:r>
      <w:r>
        <w:rPr>
          <w:rFonts w:ascii="Arial" w:cs="Arial" w:eastAsia="Arial" w:hAnsi="Arial"/>
          <w:sz w:val="17"/>
          <w:szCs w:val="17"/>
          <w:b w:val="1"/>
          <w:bCs w:val="1"/>
          <w:color w:val="auto"/>
        </w:rPr>
        <w:t>Recent accounting developments</w:t>
      </w:r>
    </w:p>
    <w:p>
      <w:pPr>
        <w:spacing w:after="0" w:line="29" w:lineRule="exact"/>
        <w:rPr>
          <w:sz w:val="20"/>
          <w:szCs w:val="20"/>
          <w:color w:val="auto"/>
        </w:rPr>
      </w:pPr>
    </w:p>
    <w:p>
      <w:pPr>
        <w:ind w:right="220"/>
        <w:spacing w:after="0" w:line="256" w:lineRule="auto"/>
        <w:rPr>
          <w:sz w:val="20"/>
          <w:szCs w:val="20"/>
          <w:color w:val="auto"/>
        </w:rPr>
      </w:pPr>
      <w:r>
        <w:rPr>
          <w:rFonts w:ascii="Arial" w:cs="Arial" w:eastAsia="Arial" w:hAnsi="Arial"/>
          <w:sz w:val="20"/>
          <w:szCs w:val="20"/>
          <w:color w:val="auto"/>
        </w:rPr>
        <w:t>The following table provides a description of accounting standards that were adopted by the Company in 2019 as well as standards that are not effective that could have an impact to M&amp;T’s consolidated financial statements upon adoption.</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35"/>
        </w:trPr>
        <w:tc>
          <w:tcPr>
            <w:tcW w:w="166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Standard</w:t>
            </w:r>
          </w:p>
        </w:tc>
        <w:tc>
          <w:tcPr>
            <w:tcW w:w="3980" w:type="dxa"/>
            <w:vAlign w:val="bottom"/>
            <w:tcBorders>
              <w:top w:val="single" w:sz="8" w:color="auto"/>
              <w:right w:val="single" w:sz="8" w:color="auto"/>
            </w:tcBorders>
            <w:vMerge w:val="restart"/>
          </w:tcPr>
          <w:p>
            <w:pPr>
              <w:ind w:left="1620"/>
              <w:spacing w:after="0"/>
              <w:rPr>
                <w:sz w:val="20"/>
                <w:szCs w:val="20"/>
                <w:color w:val="auto"/>
              </w:rPr>
            </w:pPr>
            <w:r>
              <w:rPr>
                <w:rFonts w:ascii="Arial" w:cs="Arial" w:eastAsia="Arial" w:hAnsi="Arial"/>
                <w:sz w:val="14"/>
                <w:szCs w:val="14"/>
                <w:b w:val="1"/>
                <w:bCs w:val="1"/>
                <w:color w:val="auto"/>
              </w:rPr>
              <w:t>Description</w:t>
            </w:r>
          </w:p>
        </w:tc>
        <w:tc>
          <w:tcPr>
            <w:tcW w:w="1520" w:type="dxa"/>
            <w:vAlign w:val="bottom"/>
            <w:tcBorders>
              <w:top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Required date</w:t>
            </w:r>
          </w:p>
        </w:tc>
        <w:tc>
          <w:tcPr>
            <w:tcW w:w="4260" w:type="dxa"/>
            <w:vAlign w:val="bottom"/>
            <w:tcBorders>
              <w:top w:val="single" w:sz="8" w:color="auto"/>
              <w:right w:val="single" w:sz="8" w:color="auto"/>
            </w:tcBorders>
            <w:vMerge w:val="restart"/>
          </w:tcPr>
          <w:p>
            <w:pPr>
              <w:ind w:left="82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67"/>
        </w:trPr>
        <w:tc>
          <w:tcPr>
            <w:tcW w:w="16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98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adoption</w:t>
            </w:r>
          </w:p>
        </w:tc>
        <w:tc>
          <w:tcPr>
            <w:tcW w:w="42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64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Adopted in 2019</w:t>
            </w:r>
          </w:p>
        </w:tc>
        <w:tc>
          <w:tcPr>
            <w:tcW w:w="1520" w:type="dxa"/>
            <w:vAlign w:val="bottom"/>
            <w:tcBorders>
              <w:bottom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66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Leases</w:t>
            </w:r>
          </w:p>
        </w:tc>
        <w:tc>
          <w:tcPr>
            <w:tcW w:w="398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w w:val="95"/>
              </w:rPr>
              <w:t>The new guidance requires lessees to record a right-of-use asset</w:t>
            </w:r>
          </w:p>
        </w:tc>
        <w:tc>
          <w:tcPr>
            <w:tcW w:w="152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7"/>
              </w:rPr>
              <w:t>January 1, 2019</w:t>
            </w:r>
          </w:p>
        </w:tc>
        <w:tc>
          <w:tcPr>
            <w:tcW w:w="426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w w:val="97"/>
              </w:rPr>
              <w:t>The Company adopted the guidance on January 1, 2019 and applied</w:t>
            </w:r>
          </w:p>
        </w:tc>
        <w:tc>
          <w:tcPr>
            <w:tcW w:w="0" w:type="dxa"/>
            <w:vAlign w:val="bottom"/>
          </w:tcPr>
          <w:p>
            <w:pPr>
              <w:spacing w:after="0"/>
              <w:rPr>
                <w:sz w:val="1"/>
                <w:szCs w:val="1"/>
                <w:color w:val="auto"/>
              </w:rPr>
            </w:pPr>
          </w:p>
        </w:tc>
      </w:tr>
      <w:tr>
        <w:trPr>
          <w:trHeight w:val="145"/>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and a lease liability for all leases with a term greater than 12</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4"/>
              </w:rPr>
              <w:t>the guidance retrospectively at the beginning of the period of adoption.</w:t>
            </w:r>
          </w:p>
        </w:tc>
        <w:tc>
          <w:tcPr>
            <w:tcW w:w="0" w:type="dxa"/>
            <w:vAlign w:val="bottom"/>
          </w:tcPr>
          <w:p>
            <w:pPr>
              <w:spacing w:after="0"/>
              <w:rPr>
                <w:sz w:val="1"/>
                <w:szCs w:val="1"/>
                <w:color w:val="auto"/>
              </w:rPr>
            </w:pPr>
          </w:p>
        </w:tc>
      </w:tr>
      <w:tr>
        <w:trPr>
          <w:trHeight w:val="145"/>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6"/>
              </w:rPr>
              <w:t>months. While the guidance requires all leases to be recognized</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The Company occupies certain banking offices and uses certain</w:t>
            </w:r>
          </w:p>
        </w:tc>
        <w:tc>
          <w:tcPr>
            <w:tcW w:w="0" w:type="dxa"/>
            <w:vAlign w:val="bottom"/>
          </w:tcPr>
          <w:p>
            <w:pPr>
              <w:spacing w:after="0"/>
              <w:rPr>
                <w:sz w:val="1"/>
                <w:szCs w:val="1"/>
                <w:color w:val="auto"/>
              </w:rPr>
            </w:pPr>
          </w:p>
        </w:tc>
      </w:tr>
      <w:tr>
        <w:trPr>
          <w:trHeight w:val="145"/>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in the balance sheet, there continues to be a differentiation</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9"/>
              </w:rPr>
              <w:t>equipment under noncancelable operating lease agreements which</w:t>
            </w:r>
          </w:p>
        </w:tc>
        <w:tc>
          <w:tcPr>
            <w:tcW w:w="0" w:type="dxa"/>
            <w:vAlign w:val="bottom"/>
          </w:tcPr>
          <w:p>
            <w:pPr>
              <w:spacing w:after="0"/>
              <w:rPr>
                <w:sz w:val="1"/>
                <w:szCs w:val="1"/>
                <w:color w:val="auto"/>
              </w:rPr>
            </w:pPr>
          </w:p>
        </w:tc>
      </w:tr>
      <w:tr>
        <w:trPr>
          <w:trHeight w:val="145"/>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between finance leases and operating leases for purposes of</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prior to the adoption of the guidance were not reflected in its</w:t>
            </w:r>
          </w:p>
        </w:tc>
        <w:tc>
          <w:tcPr>
            <w:tcW w:w="0" w:type="dxa"/>
            <w:vAlign w:val="bottom"/>
          </w:tcPr>
          <w:p>
            <w:pPr>
              <w:spacing w:after="0"/>
              <w:rPr>
                <w:sz w:val="1"/>
                <w:szCs w:val="1"/>
                <w:color w:val="auto"/>
              </w:rPr>
            </w:pPr>
          </w:p>
        </w:tc>
      </w:tr>
      <w:tr>
        <w:trPr>
          <w:trHeight w:val="145"/>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income statement recognition and cash flow statement</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3"/>
              </w:rPr>
              <w:t>consolidated balance sheet. Upon adoption, the Company recognized a</w:t>
            </w:r>
          </w:p>
        </w:tc>
        <w:tc>
          <w:tcPr>
            <w:tcW w:w="0" w:type="dxa"/>
            <w:vAlign w:val="bottom"/>
          </w:tcPr>
          <w:p>
            <w:pPr>
              <w:spacing w:after="0"/>
              <w:rPr>
                <w:sz w:val="1"/>
                <w:szCs w:val="1"/>
                <w:color w:val="auto"/>
              </w:rPr>
            </w:pPr>
          </w:p>
        </w:tc>
      </w:tr>
      <w:tr>
        <w:trPr>
          <w:trHeight w:val="145"/>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4"/>
              </w:rPr>
              <w:t>presentation. For finance leases, interest on the lease liability and</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right-of-use asset of $394 million and increased liabilities by $399</w:t>
            </w:r>
          </w:p>
        </w:tc>
        <w:tc>
          <w:tcPr>
            <w:tcW w:w="0" w:type="dxa"/>
            <w:vAlign w:val="bottom"/>
          </w:tcPr>
          <w:p>
            <w:pPr>
              <w:spacing w:after="0"/>
              <w:rPr>
                <w:sz w:val="1"/>
                <w:szCs w:val="1"/>
                <w:color w:val="auto"/>
              </w:rPr>
            </w:pPr>
          </w:p>
        </w:tc>
      </w:tr>
      <w:tr>
        <w:trPr>
          <w:trHeight w:val="145"/>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6"/>
              </w:rPr>
              <w:t>amortization of the right-of-use asset is recognized separately in</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million as a result of recognizing lease liabilities in its consolidated</w:t>
            </w:r>
          </w:p>
        </w:tc>
        <w:tc>
          <w:tcPr>
            <w:tcW w:w="0" w:type="dxa"/>
            <w:vAlign w:val="bottom"/>
          </w:tcPr>
          <w:p>
            <w:pPr>
              <w:spacing w:after="0"/>
              <w:rPr>
                <w:sz w:val="1"/>
                <w:szCs w:val="1"/>
                <w:color w:val="auto"/>
              </w:rPr>
            </w:pPr>
          </w:p>
        </w:tc>
      </w:tr>
      <w:tr>
        <w:trPr>
          <w:trHeight w:val="145"/>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5"/>
              </w:rPr>
              <w:t>the statement of income. Repayments of principal on those lease</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3"/>
              </w:rPr>
              <w:t>balance sheet. The new guidance did not have a material impact on the</w:t>
            </w:r>
          </w:p>
        </w:tc>
        <w:tc>
          <w:tcPr>
            <w:tcW w:w="0" w:type="dxa"/>
            <w:vAlign w:val="bottom"/>
          </w:tcPr>
          <w:p>
            <w:pPr>
              <w:spacing w:after="0"/>
              <w:rPr>
                <w:sz w:val="1"/>
                <w:szCs w:val="1"/>
                <w:color w:val="auto"/>
              </w:rPr>
            </w:pPr>
          </w:p>
        </w:tc>
      </w:tr>
      <w:tr>
        <w:trPr>
          <w:trHeight w:val="145"/>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9"/>
              </w:rPr>
              <w:t>liabilities are classified within financing activities and payments</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Company’s consolidated statement of income.</w:t>
            </w:r>
          </w:p>
        </w:tc>
        <w:tc>
          <w:tcPr>
            <w:tcW w:w="0" w:type="dxa"/>
            <w:vAlign w:val="bottom"/>
          </w:tcPr>
          <w:p>
            <w:pPr>
              <w:spacing w:after="0"/>
              <w:rPr>
                <w:sz w:val="1"/>
                <w:szCs w:val="1"/>
                <w:color w:val="auto"/>
              </w:rPr>
            </w:pPr>
          </w:p>
        </w:tc>
      </w:tr>
      <w:tr>
        <w:trPr>
          <w:trHeight w:val="145"/>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of interest on the lease liability are classified within operating</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7"/>
              </w:rPr>
              <w:t>activities in the statement of cash flows. For operating leases, a</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9"/>
              </w:rPr>
              <w:t>single lease cost is recognized in the statement of income and</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allocated over the lease term, generally on a straight-line</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5"/>
              </w:rPr>
              <w:t>basis. All cash payments are presented within operating activities</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5"/>
              </w:rPr>
              <w:t>in the statement of cash flows. The accounting applied by lessors</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is largely unchanged, however, the guidance eliminates the</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5"/>
              </w:rPr>
              <w:t>accounting model for leveraged leases for leases that commence</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66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98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after the effective date of the guidance.</w:t>
            </w:r>
          </w:p>
        </w:tc>
        <w:tc>
          <w:tcPr>
            <w:tcW w:w="1520" w:type="dxa"/>
            <w:vAlign w:val="bottom"/>
            <w:tcBorders>
              <w:bottom w:val="single" w:sz="8" w:color="auto"/>
              <w:right w:val="single" w:sz="8" w:color="auto"/>
            </w:tcBorders>
            <w:shd w:val="clear" w:color="auto" w:fill="CFF0FC"/>
          </w:tcPr>
          <w:p>
            <w:pPr>
              <w:spacing w:after="0"/>
              <w:rPr>
                <w:sz w:val="14"/>
                <w:szCs w:val="14"/>
                <w:color w:val="auto"/>
              </w:rPr>
            </w:pPr>
          </w:p>
        </w:tc>
        <w:tc>
          <w:tcPr>
            <w:tcW w:w="426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Premium Amortization</w:t>
            </w:r>
          </w:p>
        </w:tc>
        <w:tc>
          <w:tcPr>
            <w:tcW w:w="39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9"/>
              </w:rPr>
              <w:t>The amended guidance requires the premium on callable debt</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January 1, 2019</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2"/>
              </w:rPr>
              <w:t>The Company adopted the amended guidance effective January 1, 2019</w:t>
            </w:r>
          </w:p>
        </w:tc>
        <w:tc>
          <w:tcPr>
            <w:tcW w:w="0" w:type="dxa"/>
            <w:vAlign w:val="bottom"/>
          </w:tcPr>
          <w:p>
            <w:pPr>
              <w:spacing w:after="0"/>
              <w:rPr>
                <w:sz w:val="1"/>
                <w:szCs w:val="1"/>
                <w:color w:val="auto"/>
              </w:rPr>
            </w:pPr>
          </w:p>
        </w:tc>
      </w:tr>
      <w:tr>
        <w:trPr>
          <w:trHeight w:val="145"/>
        </w:trPr>
        <w:tc>
          <w:tcPr>
            <w:tcW w:w="166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on Purchased Callable</w:t>
            </w:r>
          </w:p>
        </w:tc>
        <w:tc>
          <w:tcPr>
            <w:tcW w:w="398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securities to be amortized to the earliest call date. The</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and applied the modified retrospective approach for reporting</w:t>
            </w:r>
          </w:p>
        </w:tc>
        <w:tc>
          <w:tcPr>
            <w:tcW w:w="0" w:type="dxa"/>
            <w:vAlign w:val="bottom"/>
          </w:tcPr>
          <w:p>
            <w:pPr>
              <w:spacing w:after="0"/>
              <w:rPr>
                <w:sz w:val="1"/>
                <w:szCs w:val="1"/>
                <w:color w:val="auto"/>
              </w:rPr>
            </w:pPr>
          </w:p>
        </w:tc>
      </w:tr>
      <w:tr>
        <w:trPr>
          <w:trHeight w:val="145"/>
        </w:trPr>
        <w:tc>
          <w:tcPr>
            <w:tcW w:w="166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Debt Securities</w:t>
            </w:r>
          </w:p>
        </w:tc>
        <w:tc>
          <w:tcPr>
            <w:tcW w:w="398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w w:val="97"/>
              </w:rPr>
              <w:t>amendments do not require an accounting change for securities</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purposes. The adoption did not have a material effect on the</w:t>
            </w:r>
          </w:p>
        </w:tc>
        <w:tc>
          <w:tcPr>
            <w:tcW w:w="0" w:type="dxa"/>
            <w:vAlign w:val="bottom"/>
          </w:tcPr>
          <w:p>
            <w:pPr>
              <w:spacing w:after="0"/>
              <w:rPr>
                <w:sz w:val="1"/>
                <w:szCs w:val="1"/>
                <w:color w:val="auto"/>
              </w:rPr>
            </w:pPr>
          </w:p>
        </w:tc>
      </w:tr>
      <w:tr>
        <w:trPr>
          <w:trHeight w:val="145"/>
        </w:trPr>
        <w:tc>
          <w:tcPr>
            <w:tcW w:w="166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held at a discount; the discount continues to be amortized to</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Company’s consolidated financial position nor on its results of</w:t>
            </w:r>
          </w:p>
        </w:tc>
        <w:tc>
          <w:tcPr>
            <w:tcW w:w="0" w:type="dxa"/>
            <w:vAlign w:val="bottom"/>
          </w:tcPr>
          <w:p>
            <w:pPr>
              <w:spacing w:after="0"/>
              <w:rPr>
                <w:sz w:val="1"/>
                <w:szCs w:val="1"/>
                <w:color w:val="auto"/>
              </w:rPr>
            </w:pPr>
          </w:p>
        </w:tc>
      </w:tr>
      <w:tr>
        <w:trPr>
          <w:trHeight w:val="163"/>
        </w:trPr>
        <w:tc>
          <w:tcPr>
            <w:tcW w:w="1660" w:type="dxa"/>
            <w:vAlign w:val="bottom"/>
            <w:tcBorders>
              <w:left w:val="single" w:sz="8" w:color="auto"/>
              <w:bottom w:val="single" w:sz="8" w:color="auto"/>
              <w:right w:val="single" w:sz="8" w:color="auto"/>
            </w:tcBorders>
          </w:tcPr>
          <w:p>
            <w:pPr>
              <w:spacing w:after="0"/>
              <w:rPr>
                <w:sz w:val="14"/>
                <w:szCs w:val="14"/>
                <w:color w:val="auto"/>
              </w:rPr>
            </w:pPr>
          </w:p>
        </w:tc>
        <w:tc>
          <w:tcPr>
            <w:tcW w:w="3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maturity.</w:t>
            </w:r>
          </w:p>
        </w:tc>
        <w:tc>
          <w:tcPr>
            <w:tcW w:w="1520" w:type="dxa"/>
            <w:vAlign w:val="bottom"/>
            <w:tcBorders>
              <w:bottom w:val="single" w:sz="8" w:color="auto"/>
              <w:right w:val="single" w:sz="8" w:color="auto"/>
            </w:tcBorders>
          </w:tcPr>
          <w:p>
            <w:pPr>
              <w:spacing w:after="0"/>
              <w:rPr>
                <w:sz w:val="14"/>
                <w:szCs w:val="14"/>
                <w:color w:val="auto"/>
              </w:rPr>
            </w:pPr>
          </w:p>
        </w:tc>
        <w:tc>
          <w:tcPr>
            <w:tcW w:w="4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operations.</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330835</wp:posOffset>
            </wp:positionV>
            <wp:extent cx="7275830"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90" w:name="page191"/>
    <w:bookmarkEnd w:id="190"/>
    <w:tbl>
      <w:tblPr>
        <w:tblLayout w:type="fixed"/>
        <w:tblInd w:w="10" w:type="dxa"/>
        <w:tblCellMar>
          <w:top w:w="0" w:type="dxa"/>
          <w:left w:w="0" w:type="dxa"/>
          <w:bottom w:w="0" w:type="dxa"/>
          <w:right w:w="0" w:type="dxa"/>
        </w:tblCellMar>
      </w:tblPr>
      <w:tr>
        <w:trPr>
          <w:trHeight w:val="135"/>
        </w:trPr>
        <w:tc>
          <w:tcPr>
            <w:tcW w:w="164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Standard</w:t>
            </w:r>
          </w:p>
        </w:tc>
        <w:tc>
          <w:tcPr>
            <w:tcW w:w="3980" w:type="dxa"/>
            <w:vAlign w:val="bottom"/>
            <w:tcBorders>
              <w:top w:val="single" w:sz="8" w:color="auto"/>
              <w:right w:val="single" w:sz="8" w:color="auto"/>
            </w:tcBorders>
            <w:vMerge w:val="restart"/>
          </w:tcPr>
          <w:p>
            <w:pPr>
              <w:ind w:left="1620"/>
              <w:spacing w:after="0"/>
              <w:rPr>
                <w:sz w:val="20"/>
                <w:szCs w:val="20"/>
                <w:color w:val="auto"/>
              </w:rPr>
            </w:pPr>
            <w:r>
              <w:rPr>
                <w:rFonts w:ascii="Arial" w:cs="Arial" w:eastAsia="Arial" w:hAnsi="Arial"/>
                <w:sz w:val="14"/>
                <w:szCs w:val="14"/>
                <w:b w:val="1"/>
                <w:bCs w:val="1"/>
                <w:color w:val="auto"/>
              </w:rPr>
              <w:t>Description</w:t>
            </w:r>
          </w:p>
        </w:tc>
        <w:tc>
          <w:tcPr>
            <w:tcW w:w="1520" w:type="dxa"/>
            <w:vAlign w:val="bottom"/>
            <w:tcBorders>
              <w:top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Required date</w:t>
            </w:r>
          </w:p>
        </w:tc>
        <w:tc>
          <w:tcPr>
            <w:tcW w:w="4280" w:type="dxa"/>
            <w:vAlign w:val="bottom"/>
            <w:tcBorders>
              <w:top w:val="single" w:sz="8" w:color="auto"/>
              <w:right w:val="single" w:sz="8" w:color="auto"/>
            </w:tcBorders>
            <w:vMerge w:val="restart"/>
          </w:tcPr>
          <w:p>
            <w:pPr>
              <w:ind w:left="82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67"/>
        </w:trPr>
        <w:tc>
          <w:tcPr>
            <w:tcW w:w="164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98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adoption</w:t>
            </w:r>
          </w:p>
        </w:tc>
        <w:tc>
          <w:tcPr>
            <w:tcW w:w="428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Not Yet Adopted as of December 31, 2019</w:t>
            </w:r>
          </w:p>
        </w:tc>
        <w:tc>
          <w:tcPr>
            <w:tcW w:w="1520" w:type="dxa"/>
            <w:vAlign w:val="bottom"/>
            <w:tcBorders>
              <w:bottom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64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Measurement of Credit</w:t>
            </w:r>
          </w:p>
        </w:tc>
        <w:tc>
          <w:tcPr>
            <w:tcW w:w="398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The amended guidance replaces the incurred loss model for</w:t>
            </w:r>
          </w:p>
        </w:tc>
        <w:tc>
          <w:tcPr>
            <w:tcW w:w="152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7"/>
              </w:rPr>
              <w:t>January 1, 2020</w:t>
            </w:r>
          </w:p>
        </w:tc>
        <w:tc>
          <w:tcPr>
            <w:tcW w:w="428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The Company has completed its development, validation, and</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ind w:left="140"/>
              <w:spacing w:after="0" w:line="145" w:lineRule="exact"/>
              <w:rPr>
                <w:sz w:val="20"/>
                <w:szCs w:val="20"/>
                <w:color w:val="auto"/>
              </w:rPr>
            </w:pPr>
            <w:r>
              <w:rPr>
                <w:rFonts w:ascii="Arial" w:cs="Arial" w:eastAsia="Arial" w:hAnsi="Arial"/>
                <w:sz w:val="14"/>
                <w:szCs w:val="14"/>
                <w:color w:val="auto"/>
              </w:rPr>
              <w:t>Losses on Financial</w:t>
            </w: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determining the allowance for credit losses. The guidance</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implementation of models and processes used to estimate current</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ind w:left="140"/>
              <w:spacing w:after="0" w:line="145" w:lineRule="exact"/>
              <w:rPr>
                <w:sz w:val="20"/>
                <w:szCs w:val="20"/>
                <w:color w:val="auto"/>
              </w:rPr>
            </w:pPr>
            <w:r>
              <w:rPr>
                <w:rFonts w:ascii="Arial" w:cs="Arial" w:eastAsia="Arial" w:hAnsi="Arial"/>
                <w:sz w:val="14"/>
                <w:szCs w:val="14"/>
                <w:color w:val="auto"/>
              </w:rPr>
              <w:t>Instruments</w:t>
            </w: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requires financial assets measured at amortized cost to be</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6"/>
              </w:rPr>
              <w:t>expected credit losses as required by the credit losses guidance. The</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presented at the net amount expected to be collected. The</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6"/>
              </w:rPr>
              <w:t>Company’s approach for estimating current expected credit losses for</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allowance for credit losses will represent a valuation account</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5"/>
              </w:rPr>
              <w:t>loans includes utilizing macro-economic assumptions to project losses</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that is deducted from the amortized cost basis of the financial</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over a two-year reasonable and supportable forecast</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4"/>
              </w:rPr>
              <w:t>assets to present their net carrying value at the amount expected</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period. Subsequent to the forecast period, the Company reverts to</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to be collected. The income statement will reflect the</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2"/>
              </w:rPr>
              <w:t>longer term historical loss experience to estimate expected credit losses</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measurement of credit losses for newly recognized financial</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over the remaining contractual life.</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7"/>
              </w:rPr>
              <w:t>assets as well as expected increases or decreases of expected</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credit losses that have taken place during the period. When</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Based on portfolio composition, current economic conditions, and</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determining the allowance, expected credit losses over the</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reasonable and supportable forecasts of future conditions, the</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contractual term of the financial asset(s) (taking into account</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6"/>
              </w:rPr>
              <w:t>Company recognized an increase to the allowance for credit losses of</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prepayments) will be estimated considering relevant</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$132 million upon adoption of the standard on January 1, 2020 as</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information about past events, current conditions, and</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compared with the allowance for credit losses recognized on its</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reasonable and supportable forecasts that affect the</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consolidated balance sheet at December 31, 2019.</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collectibility of the reported amount. The amended guidance</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also requires recording an allowance for credit losses for</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5"/>
              </w:rPr>
              <w:t>The effect on the allowance for credit losses is primarily attributable to</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purchased financial assets with a more-than-insignificant</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increases in reserves for residential mortgage loans and consumer</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amount of credit deterioration since origination. The initial</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7"/>
              </w:rPr>
              <w:t>loans, which generally have longer estimated lives as compared with</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5"/>
              </w:rPr>
              <w:t>allowance for these assets will be added to the purchase price at</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9"/>
              </w:rPr>
              <w:t>commercial and commercial real estate loans. The adoption did not</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acquisition rather than being reported as an</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w w:val="99"/>
              </w:rPr>
              <w:t>have a material effect on the allowance for credit losses on held-to-</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5"/>
              </w:rPr>
              <w:t>expense. Subsequent changes in the allowance will be recorded</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maturity debt securities as most of this portfolio consists of U.S.</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through the income statement as an expense adjustment. In</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100"/>
              <w:spacing w:after="0" w:line="145" w:lineRule="exact"/>
              <w:rPr>
                <w:sz w:val="20"/>
                <w:szCs w:val="20"/>
                <w:color w:val="auto"/>
              </w:rPr>
            </w:pPr>
            <w:r>
              <w:rPr>
                <w:rFonts w:ascii="Arial" w:cs="Arial" w:eastAsia="Arial" w:hAnsi="Arial"/>
                <w:sz w:val="14"/>
                <w:szCs w:val="14"/>
                <w:color w:val="auto"/>
              </w:rPr>
              <w:t>Treasury and federal agency securities.</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9"/>
              </w:rPr>
              <w:t>addition, the amended guidance requires credit losses relating</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to available-for-sale debt securities to be recorded through an</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9"/>
              </w:rPr>
              <w:t>allowance for credit losses. The calculation of credit losses for</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available-for-sale securities will be similar to how it is</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64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98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determined under existing guidance.</w:t>
            </w:r>
          </w:p>
        </w:tc>
        <w:tc>
          <w:tcPr>
            <w:tcW w:w="1520" w:type="dxa"/>
            <w:vAlign w:val="bottom"/>
            <w:tcBorders>
              <w:bottom w:val="single" w:sz="8" w:color="auto"/>
              <w:right w:val="single" w:sz="8" w:color="auto"/>
            </w:tcBorders>
            <w:shd w:val="clear" w:color="auto" w:fill="CFF0FC"/>
          </w:tcPr>
          <w:p>
            <w:pPr>
              <w:spacing w:after="0"/>
              <w:rPr>
                <w:sz w:val="14"/>
                <w:szCs w:val="14"/>
                <w:color w:val="auto"/>
              </w:rPr>
            </w:pPr>
          </w:p>
        </w:tc>
        <w:tc>
          <w:tcPr>
            <w:tcW w:w="428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Simplifying the Test for</w:t>
            </w:r>
          </w:p>
        </w:tc>
        <w:tc>
          <w:tcPr>
            <w:tcW w:w="39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The amended guidance eliminates step 2 from the goodwill</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January 1, 2020</w:t>
            </w:r>
          </w:p>
        </w:tc>
        <w:tc>
          <w:tcPr>
            <w:tcW w:w="42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2"/>
              </w:rPr>
              <w:t>The Company adopted the amended guidance effective January 1, 2020</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Goodwill Impairment</w:t>
            </w:r>
          </w:p>
        </w:tc>
        <w:tc>
          <w:tcPr>
            <w:tcW w:w="398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impairment test.</w:t>
            </w:r>
          </w:p>
        </w:tc>
        <w:tc>
          <w:tcPr>
            <w:tcW w:w="1520" w:type="dxa"/>
            <w:vAlign w:val="bottom"/>
            <w:tcBorders>
              <w:right w:val="single" w:sz="8" w:color="auto"/>
            </w:tcBorders>
          </w:tcPr>
          <w:p>
            <w:pPr>
              <w:spacing w:after="0"/>
              <w:rPr>
                <w:sz w:val="12"/>
                <w:szCs w:val="12"/>
                <w:color w:val="auto"/>
              </w:rPr>
            </w:pPr>
          </w:p>
        </w:tc>
        <w:tc>
          <w:tcPr>
            <w:tcW w:w="428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w w:val="93"/>
              </w:rPr>
              <w:t>using a prospective transition method and will incorporate the guidance</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428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w w:val="94"/>
              </w:rPr>
              <w:t>as necessary when circumstances arise for the guidance to be utilized.</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428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w w:val="93"/>
              </w:rPr>
              <w:t>The Company does not expect the guidance will have a material impact</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428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w w:val="99"/>
              </w:rPr>
              <w:t>on its consolidated financial statements, unless at some point in the</w:t>
            </w:r>
          </w:p>
        </w:tc>
        <w:tc>
          <w:tcPr>
            <w:tcW w:w="0" w:type="dxa"/>
            <w:vAlign w:val="bottom"/>
          </w:tcPr>
          <w:p>
            <w:pPr>
              <w:spacing w:after="0"/>
              <w:rPr>
                <w:sz w:val="1"/>
                <w:szCs w:val="1"/>
                <w:color w:val="auto"/>
              </w:rPr>
            </w:pPr>
          </w:p>
        </w:tc>
      </w:tr>
      <w:tr>
        <w:trPr>
          <w:trHeight w:val="145"/>
        </w:trPr>
        <w:tc>
          <w:tcPr>
            <w:tcW w:w="164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428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future one of its reporting units were to fail step 1 of the goodwill</w:t>
            </w:r>
          </w:p>
        </w:tc>
        <w:tc>
          <w:tcPr>
            <w:tcW w:w="0" w:type="dxa"/>
            <w:vAlign w:val="bottom"/>
          </w:tcPr>
          <w:p>
            <w:pPr>
              <w:spacing w:after="0"/>
              <w:rPr>
                <w:sz w:val="1"/>
                <w:szCs w:val="1"/>
                <w:color w:val="auto"/>
              </w:rPr>
            </w:pPr>
          </w:p>
        </w:tc>
      </w:tr>
      <w:tr>
        <w:trPr>
          <w:trHeight w:val="163"/>
        </w:trPr>
        <w:tc>
          <w:tcPr>
            <w:tcW w:w="1640" w:type="dxa"/>
            <w:vAlign w:val="bottom"/>
            <w:tcBorders>
              <w:left w:val="single" w:sz="8" w:color="auto"/>
              <w:bottom w:val="single" w:sz="8" w:color="auto"/>
              <w:right w:val="single" w:sz="8" w:color="auto"/>
            </w:tcBorders>
          </w:tcPr>
          <w:p>
            <w:pPr>
              <w:spacing w:after="0"/>
              <w:rPr>
                <w:sz w:val="14"/>
                <w:szCs w:val="14"/>
                <w:color w:val="auto"/>
              </w:rPr>
            </w:pPr>
          </w:p>
        </w:tc>
        <w:tc>
          <w:tcPr>
            <w:tcW w:w="3980" w:type="dxa"/>
            <w:vAlign w:val="bottom"/>
            <w:tcBorders>
              <w:bottom w:val="single" w:sz="8" w:color="auto"/>
              <w:right w:val="single" w:sz="8" w:color="auto"/>
            </w:tcBorders>
          </w:tcPr>
          <w:p>
            <w:pPr>
              <w:spacing w:after="0"/>
              <w:rPr>
                <w:sz w:val="14"/>
                <w:szCs w:val="14"/>
                <w:color w:val="auto"/>
              </w:rPr>
            </w:pPr>
          </w:p>
        </w:tc>
        <w:tc>
          <w:tcPr>
            <w:tcW w:w="1520" w:type="dxa"/>
            <w:vAlign w:val="bottom"/>
            <w:tcBorders>
              <w:bottom w:val="single" w:sz="8" w:color="auto"/>
              <w:right w:val="single" w:sz="8" w:color="auto"/>
            </w:tcBorders>
          </w:tcPr>
          <w:p>
            <w:pPr>
              <w:spacing w:after="0"/>
              <w:rPr>
                <w:sz w:val="14"/>
                <w:szCs w:val="14"/>
                <w:color w:val="auto"/>
              </w:rPr>
            </w:pPr>
          </w:p>
        </w:tc>
        <w:tc>
          <w:tcPr>
            <w:tcW w:w="4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impairment test.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91" w:name="page192"/>
    <w:bookmarkEnd w:id="191"/>
    <w:tbl>
      <w:tblPr>
        <w:tblLayout w:type="fixed"/>
        <w:tblInd w:w="10" w:type="dxa"/>
        <w:tblCellMar>
          <w:top w:w="0" w:type="dxa"/>
          <w:left w:w="0" w:type="dxa"/>
          <w:bottom w:w="0" w:type="dxa"/>
          <w:right w:w="0" w:type="dxa"/>
        </w:tblCellMar>
      </w:tblPr>
      <w:tr>
        <w:trPr>
          <w:trHeight w:val="135"/>
        </w:trPr>
        <w:tc>
          <w:tcPr>
            <w:tcW w:w="1680" w:type="dxa"/>
            <w:vAlign w:val="bottom"/>
            <w:tcBorders>
              <w:top w:val="single" w:sz="8" w:color="auto"/>
              <w:left w:val="single" w:sz="8" w:color="auto"/>
              <w:right w:val="single" w:sz="8" w:color="auto"/>
            </w:tcBorders>
            <w:vMerge w:val="restart"/>
          </w:tcPr>
          <w:p>
            <w:pPr>
              <w:ind w:left="560"/>
              <w:spacing w:after="0"/>
              <w:rPr>
                <w:sz w:val="20"/>
                <w:szCs w:val="20"/>
                <w:color w:val="auto"/>
              </w:rPr>
            </w:pPr>
            <w:r>
              <w:rPr>
                <w:rFonts w:ascii="Arial" w:cs="Arial" w:eastAsia="Arial" w:hAnsi="Arial"/>
                <w:sz w:val="14"/>
                <w:szCs w:val="14"/>
                <w:b w:val="1"/>
                <w:bCs w:val="1"/>
                <w:color w:val="auto"/>
              </w:rPr>
              <w:t>Standard</w:t>
            </w:r>
          </w:p>
        </w:tc>
        <w:tc>
          <w:tcPr>
            <w:tcW w:w="3960" w:type="dxa"/>
            <w:vAlign w:val="bottom"/>
            <w:tcBorders>
              <w:top w:val="single" w:sz="8" w:color="auto"/>
              <w:right w:val="single" w:sz="8" w:color="auto"/>
            </w:tcBorders>
            <w:vMerge w:val="restart"/>
          </w:tcPr>
          <w:p>
            <w:pPr>
              <w:ind w:left="1540"/>
              <w:spacing w:after="0"/>
              <w:rPr>
                <w:sz w:val="20"/>
                <w:szCs w:val="20"/>
                <w:color w:val="auto"/>
              </w:rPr>
            </w:pPr>
            <w:r>
              <w:rPr>
                <w:rFonts w:ascii="Arial" w:cs="Arial" w:eastAsia="Arial" w:hAnsi="Arial"/>
                <w:sz w:val="14"/>
                <w:szCs w:val="14"/>
                <w:b w:val="1"/>
                <w:bCs w:val="1"/>
                <w:color w:val="auto"/>
              </w:rPr>
              <w:t>Description</w:t>
            </w:r>
          </w:p>
        </w:tc>
        <w:tc>
          <w:tcPr>
            <w:tcW w:w="1520" w:type="dxa"/>
            <w:vAlign w:val="bottom"/>
            <w:tcBorders>
              <w:top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Required date</w:t>
            </w:r>
          </w:p>
        </w:tc>
        <w:tc>
          <w:tcPr>
            <w:tcW w:w="4260" w:type="dxa"/>
            <w:vAlign w:val="bottom"/>
            <w:tcBorders>
              <w:top w:val="single" w:sz="8" w:color="auto"/>
              <w:right w:val="single" w:sz="8" w:color="auto"/>
            </w:tcBorders>
            <w:vMerge w:val="restart"/>
          </w:tcPr>
          <w:p>
            <w:pPr>
              <w:ind w:left="82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96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adoption</w:t>
            </w:r>
          </w:p>
        </w:tc>
        <w:tc>
          <w:tcPr>
            <w:tcW w:w="42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64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Not Yet Adopted as of December 31, 2019</w:t>
            </w:r>
          </w:p>
        </w:tc>
        <w:tc>
          <w:tcPr>
            <w:tcW w:w="1520" w:type="dxa"/>
            <w:vAlign w:val="bottom"/>
            <w:tcBorders>
              <w:bottom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68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Changes to the</w:t>
            </w:r>
          </w:p>
        </w:tc>
        <w:tc>
          <w:tcPr>
            <w:tcW w:w="396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The amended guidance modifies the disclosure requirements</w:t>
            </w:r>
          </w:p>
        </w:tc>
        <w:tc>
          <w:tcPr>
            <w:tcW w:w="152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7"/>
              </w:rPr>
              <w:t>January 1, 2020</w:t>
            </w:r>
          </w:p>
        </w:tc>
        <w:tc>
          <w:tcPr>
            <w:tcW w:w="426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w w:val="92"/>
              </w:rPr>
              <w:t>The Company adopted the amended guidance effective January 1, 2020</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ind w:left="140"/>
              <w:spacing w:after="0" w:line="145" w:lineRule="exact"/>
              <w:rPr>
                <w:sz w:val="20"/>
                <w:szCs w:val="20"/>
                <w:color w:val="auto"/>
              </w:rPr>
            </w:pPr>
            <w:r>
              <w:rPr>
                <w:rFonts w:ascii="Arial" w:cs="Arial" w:eastAsia="Arial" w:hAnsi="Arial"/>
                <w:sz w:val="14"/>
                <w:szCs w:val="14"/>
                <w:color w:val="auto"/>
              </w:rPr>
              <w:t>Disclosure</w:t>
            </w: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on fair value measurements in Topic 820, Fair Value</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7"/>
              </w:rPr>
              <w:t>using a prospective transition method for the amendments relating to</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ind w:left="140"/>
              <w:spacing w:after="0" w:line="145" w:lineRule="exact"/>
              <w:rPr>
                <w:sz w:val="20"/>
                <w:szCs w:val="20"/>
                <w:color w:val="auto"/>
              </w:rPr>
            </w:pPr>
            <w:r>
              <w:rPr>
                <w:rFonts w:ascii="Arial" w:cs="Arial" w:eastAsia="Arial" w:hAnsi="Arial"/>
                <w:sz w:val="14"/>
                <w:szCs w:val="14"/>
                <w:color w:val="auto"/>
              </w:rPr>
              <w:t>Requirements for Fair</w:t>
            </w: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7"/>
              </w:rPr>
              <w:t>Measurements. The amendments are a result of the disclosure</w:t>
            </w:r>
          </w:p>
        </w:tc>
        <w:tc>
          <w:tcPr>
            <w:tcW w:w="1520" w:type="dxa"/>
            <w:vAlign w:val="bottom"/>
            <w:tcBorders>
              <w:right w:val="single" w:sz="8" w:color="auto"/>
            </w:tcBorders>
            <w:shd w:val="clear" w:color="auto" w:fill="CFF0FC"/>
          </w:tcPr>
          <w:p>
            <w:pPr>
              <w:jc w:val="center"/>
              <w:spacing w:after="0" w:line="145" w:lineRule="exact"/>
              <w:rPr>
                <w:sz w:val="20"/>
                <w:szCs w:val="20"/>
                <w:color w:val="auto"/>
              </w:rPr>
            </w:pPr>
            <w:r>
              <w:rPr>
                <w:rFonts w:ascii="Arial" w:cs="Arial" w:eastAsia="Arial" w:hAnsi="Arial"/>
                <w:sz w:val="14"/>
                <w:szCs w:val="14"/>
                <w:color w:val="auto"/>
                <w:w w:val="91"/>
              </w:rPr>
              <w:t>Early adoption</w:t>
            </w: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1"/>
              </w:rPr>
              <w:t>changes in unrealized gains and losses, the range and weighted average</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ind w:left="140"/>
              <w:spacing w:after="0" w:line="145" w:lineRule="exact"/>
              <w:rPr>
                <w:sz w:val="20"/>
                <w:szCs w:val="20"/>
                <w:color w:val="auto"/>
              </w:rPr>
            </w:pPr>
            <w:r>
              <w:rPr>
                <w:rFonts w:ascii="Arial" w:cs="Arial" w:eastAsia="Arial" w:hAnsi="Arial"/>
                <w:sz w:val="14"/>
                <w:szCs w:val="14"/>
                <w:color w:val="auto"/>
              </w:rPr>
              <w:t>Value Measurements</w:t>
            </w: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framework project that focuses on improvements to the</w:t>
            </w:r>
          </w:p>
        </w:tc>
        <w:tc>
          <w:tcPr>
            <w:tcW w:w="1520" w:type="dxa"/>
            <w:vAlign w:val="bottom"/>
            <w:tcBorders>
              <w:right w:val="single" w:sz="8" w:color="auto"/>
            </w:tcBorders>
            <w:shd w:val="clear" w:color="auto" w:fill="CFF0FC"/>
          </w:tcPr>
          <w:p>
            <w:pPr>
              <w:jc w:val="center"/>
              <w:spacing w:after="0" w:line="145" w:lineRule="exact"/>
              <w:rPr>
                <w:sz w:val="20"/>
                <w:szCs w:val="20"/>
                <w:color w:val="auto"/>
              </w:rPr>
            </w:pPr>
            <w:r>
              <w:rPr>
                <w:rFonts w:ascii="Arial" w:cs="Arial" w:eastAsia="Arial" w:hAnsi="Arial"/>
                <w:sz w:val="14"/>
                <w:szCs w:val="14"/>
                <w:color w:val="auto"/>
                <w:w w:val="92"/>
              </w:rPr>
              <w:t>permitted</w:t>
            </w: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8"/>
              </w:rPr>
              <w:t>of significant unobservable inputs used to develop Level 3 fair value</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effectiveness of disclosures in the notes to financial</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measurements, and the narrative description of measurement</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7"/>
              </w:rPr>
              <w:t>statements. The amendments remove, modify, and add certain</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uncertainty. The 2020 first quarter disclosures will reflect this</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disclosure requirements. The disclosure requirements being</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prospective application. All other amendments will be applied</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removed relating to public companies are (1) the amount and</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5"/>
              </w:rPr>
              <w:t>retrospectively. The Company does not expect the guidance to have a</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reason for transfers between Level 1 and Level 2 of the fair</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material impact on its consolidated financial statements.</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value hierarchy, (2) the policy for timing of transfers between</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levels, and (3) the valuation process for Level 3 fair value</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measurements. The disclosure requirements being modified</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relating to public companies are (1) for investments in certain</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entities that calculate net asset value, an entity is required to</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8"/>
              </w:rPr>
              <w:t>disclose the timing of liquidation of an investee’s asset and the</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9"/>
              </w:rPr>
              <w:t>date when restrictions from redemption might lapse only if the</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investee has communicated the timing to the entity or</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announced the timing publicly, and (2) the measurement</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uncertainty disclosure is to communicate information about</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the uncertainty in measurement as a result of the use of</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7"/>
              </w:rPr>
              <w:t>unobservable inputs. The disclosure requirements being added</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9"/>
              </w:rPr>
              <w:t>relating to public companies are (1) to disclose the changes in</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8"/>
              </w:rPr>
              <w:t>unrealized gains and losses for the period for recurring Level 3</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fair value measurements, and (2) to disclose the range and</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weighted average of significant unobservable inputs used to</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68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96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develop Level 3 fair value measurements.</w:t>
            </w:r>
          </w:p>
        </w:tc>
        <w:tc>
          <w:tcPr>
            <w:tcW w:w="1520" w:type="dxa"/>
            <w:vAlign w:val="bottom"/>
            <w:tcBorders>
              <w:bottom w:val="single" w:sz="8" w:color="auto"/>
              <w:right w:val="single" w:sz="8" w:color="auto"/>
            </w:tcBorders>
            <w:shd w:val="clear" w:color="auto" w:fill="CFF0FC"/>
          </w:tcPr>
          <w:p>
            <w:pPr>
              <w:spacing w:after="0"/>
              <w:rPr>
                <w:sz w:val="14"/>
                <w:szCs w:val="14"/>
                <w:color w:val="auto"/>
              </w:rPr>
            </w:pPr>
          </w:p>
        </w:tc>
        <w:tc>
          <w:tcPr>
            <w:tcW w:w="426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Customer’s Accounting</w:t>
            </w:r>
          </w:p>
        </w:tc>
        <w:tc>
          <w:tcPr>
            <w:tcW w:w="39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w w:val="95"/>
              </w:rPr>
              <w:t>The amended guidance requires a hosting arrangement that is a</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January 1, 2020</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2"/>
              </w:rPr>
              <w:t>The Company adopted the amended guidance effective January 1, 2020</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for Implementation</w:t>
            </w: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service contract to follow the guidance in Subtopic 350-40 to</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w w:val="96"/>
              </w:rPr>
              <w:t>using a prospective transition method. The impact of the guidance on</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Costs Incurred in a</w:t>
            </w: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w w:val="99"/>
              </w:rPr>
              <w:t>determine which implementation costs to capitalize and which</w:t>
            </w:r>
          </w:p>
        </w:tc>
        <w:tc>
          <w:tcPr>
            <w:tcW w:w="15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1"/>
              </w:rPr>
              <w:t>Early adoption</w:t>
            </w:r>
          </w:p>
        </w:tc>
        <w:tc>
          <w:tcPr>
            <w:tcW w:w="426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w w:val="94"/>
              </w:rPr>
              <w:t>the Company’s consolidated financial statements will be dependent on</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Cloud Computing</w:t>
            </w: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costs to expense.</w:t>
            </w:r>
          </w:p>
        </w:tc>
        <w:tc>
          <w:tcPr>
            <w:tcW w:w="15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2"/>
              </w:rPr>
              <w:t>permitted</w:t>
            </w:r>
          </w:p>
        </w:tc>
        <w:tc>
          <w:tcPr>
            <w:tcW w:w="426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w w:val="93"/>
              </w:rPr>
              <w:t>the nature and amount of actual expenditures, but is not expected to be</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Arrangement That Is a</w:t>
            </w:r>
          </w:p>
        </w:tc>
        <w:tc>
          <w:tcPr>
            <w:tcW w:w="396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material.</w:t>
            </w:r>
          </w:p>
        </w:tc>
        <w:tc>
          <w:tcPr>
            <w:tcW w:w="0" w:type="dxa"/>
            <w:vAlign w:val="bottom"/>
          </w:tcPr>
          <w:p>
            <w:pPr>
              <w:spacing w:after="0"/>
              <w:rPr>
                <w:sz w:val="1"/>
                <w:szCs w:val="1"/>
                <w:color w:val="auto"/>
              </w:rPr>
            </w:pPr>
          </w:p>
        </w:tc>
      </w:tr>
      <w:tr>
        <w:trPr>
          <w:trHeight w:val="179"/>
        </w:trPr>
        <w:tc>
          <w:tcPr>
            <w:tcW w:w="1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Service Contract</w:t>
            </w:r>
          </w:p>
        </w:tc>
        <w:tc>
          <w:tcPr>
            <w:tcW w:w="396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4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80" w:type="dxa"/>
            <w:vAlign w:val="bottom"/>
            <w:tcBorders>
              <w:left w:val="single" w:sz="8" w:color="auto"/>
              <w:bottom w:val="single" w:sz="8" w:color="auto"/>
              <w:right w:val="single" w:sz="8" w:color="auto"/>
            </w:tcBorders>
          </w:tcPr>
          <w:p>
            <w:pPr>
              <w:spacing w:after="0"/>
              <w:rPr>
                <w:sz w:val="11"/>
                <w:szCs w:val="11"/>
                <w:color w:val="auto"/>
              </w:rPr>
            </w:pPr>
          </w:p>
        </w:tc>
        <w:tc>
          <w:tcPr>
            <w:tcW w:w="396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42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680" w:type="dxa"/>
            <w:vAlign w:val="bottom"/>
            <w:tcBorders>
              <w:left w:val="single" w:sz="8" w:color="auto"/>
              <w:right w:val="single" w:sz="8" w:color="auto"/>
            </w:tcBorders>
            <w:shd w:val="clear" w:color="auto" w:fill="CFF0FC"/>
          </w:tcPr>
          <w:p>
            <w:pPr>
              <w:ind w:left="140"/>
              <w:spacing w:after="0" w:line="119" w:lineRule="exact"/>
              <w:rPr>
                <w:sz w:val="20"/>
                <w:szCs w:val="20"/>
                <w:color w:val="auto"/>
              </w:rPr>
            </w:pPr>
            <w:r>
              <w:rPr>
                <w:rFonts w:ascii="Arial" w:cs="Arial" w:eastAsia="Arial" w:hAnsi="Arial"/>
                <w:sz w:val="13"/>
                <w:szCs w:val="13"/>
                <w:color w:val="auto"/>
              </w:rPr>
              <w:t>Improvements to</w:t>
            </w:r>
          </w:p>
        </w:tc>
        <w:tc>
          <w:tcPr>
            <w:tcW w:w="3960" w:type="dxa"/>
            <w:vAlign w:val="bottom"/>
            <w:tcBorders>
              <w:right w:val="single" w:sz="8" w:color="auto"/>
            </w:tcBorders>
            <w:shd w:val="clear" w:color="auto" w:fill="CFF0FC"/>
          </w:tcPr>
          <w:p>
            <w:pPr>
              <w:ind w:left="120"/>
              <w:spacing w:after="0" w:line="119" w:lineRule="exact"/>
              <w:rPr>
                <w:sz w:val="20"/>
                <w:szCs w:val="20"/>
                <w:color w:val="auto"/>
              </w:rPr>
            </w:pPr>
            <w:r>
              <w:rPr>
                <w:rFonts w:ascii="Arial" w:cs="Arial" w:eastAsia="Arial" w:hAnsi="Arial"/>
                <w:sz w:val="13"/>
                <w:szCs w:val="13"/>
                <w:color w:val="auto"/>
              </w:rPr>
              <w:t>The amended guidance requires that indirect interests held</w:t>
            </w:r>
          </w:p>
        </w:tc>
        <w:tc>
          <w:tcPr>
            <w:tcW w:w="1520" w:type="dxa"/>
            <w:vAlign w:val="bottom"/>
            <w:tcBorders>
              <w:right w:val="single" w:sz="8" w:color="auto"/>
            </w:tcBorders>
            <w:shd w:val="clear" w:color="auto" w:fill="CFF0FC"/>
          </w:tcPr>
          <w:p>
            <w:pPr>
              <w:jc w:val="center"/>
              <w:spacing w:after="0" w:line="119" w:lineRule="exact"/>
              <w:rPr>
                <w:sz w:val="20"/>
                <w:szCs w:val="20"/>
                <w:color w:val="auto"/>
              </w:rPr>
            </w:pPr>
            <w:r>
              <w:rPr>
                <w:rFonts w:ascii="Arial" w:cs="Arial" w:eastAsia="Arial" w:hAnsi="Arial"/>
                <w:sz w:val="13"/>
                <w:szCs w:val="13"/>
                <w:color w:val="auto"/>
                <w:w w:val="94"/>
              </w:rPr>
              <w:t>January 1, 2020</w:t>
            </w:r>
          </w:p>
        </w:tc>
        <w:tc>
          <w:tcPr>
            <w:tcW w:w="4260" w:type="dxa"/>
            <w:vAlign w:val="bottom"/>
            <w:tcBorders>
              <w:right w:val="single" w:sz="8" w:color="auto"/>
            </w:tcBorders>
            <w:shd w:val="clear" w:color="auto" w:fill="CFF0FC"/>
          </w:tcPr>
          <w:p>
            <w:pPr>
              <w:ind w:left="80"/>
              <w:spacing w:after="0" w:line="119" w:lineRule="exact"/>
              <w:rPr>
                <w:sz w:val="20"/>
                <w:szCs w:val="20"/>
                <w:color w:val="auto"/>
              </w:rPr>
            </w:pPr>
            <w:r>
              <w:rPr>
                <w:rFonts w:ascii="Arial" w:cs="Arial" w:eastAsia="Arial" w:hAnsi="Arial"/>
                <w:sz w:val="13"/>
                <w:szCs w:val="13"/>
                <w:color w:val="auto"/>
              </w:rPr>
              <w:t>The guidance did not have a material impact on the Company’s</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ind w:left="140"/>
              <w:spacing w:after="0" w:line="145" w:lineRule="exact"/>
              <w:rPr>
                <w:sz w:val="20"/>
                <w:szCs w:val="20"/>
                <w:color w:val="auto"/>
              </w:rPr>
            </w:pPr>
            <w:r>
              <w:rPr>
                <w:rFonts w:ascii="Arial" w:cs="Arial" w:eastAsia="Arial" w:hAnsi="Arial"/>
                <w:sz w:val="14"/>
                <w:szCs w:val="14"/>
                <w:color w:val="auto"/>
              </w:rPr>
              <w:t>Related Party Guidance</w:t>
            </w: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through related parties in common control arrangements</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consolidated financial statements.</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ind w:left="140"/>
              <w:spacing w:after="0" w:line="145" w:lineRule="exact"/>
              <w:rPr>
                <w:sz w:val="20"/>
                <w:szCs w:val="20"/>
                <w:color w:val="auto"/>
              </w:rPr>
            </w:pPr>
            <w:r>
              <w:rPr>
                <w:rFonts w:ascii="Arial" w:cs="Arial" w:eastAsia="Arial" w:hAnsi="Arial"/>
                <w:sz w:val="14"/>
                <w:szCs w:val="14"/>
                <w:color w:val="auto"/>
              </w:rPr>
              <w:t>for VIEs</w:t>
            </w: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should be considered on a proportional basis for determining</w:t>
            </w:r>
          </w:p>
        </w:tc>
        <w:tc>
          <w:tcPr>
            <w:tcW w:w="1520" w:type="dxa"/>
            <w:vAlign w:val="bottom"/>
            <w:tcBorders>
              <w:right w:val="single" w:sz="8" w:color="auto"/>
            </w:tcBorders>
            <w:shd w:val="clear" w:color="auto" w:fill="CFF0FC"/>
          </w:tcPr>
          <w:p>
            <w:pPr>
              <w:jc w:val="center"/>
              <w:spacing w:after="0" w:line="145" w:lineRule="exact"/>
              <w:rPr>
                <w:sz w:val="20"/>
                <w:szCs w:val="20"/>
                <w:color w:val="auto"/>
              </w:rPr>
            </w:pPr>
            <w:r>
              <w:rPr>
                <w:rFonts w:ascii="Arial" w:cs="Arial" w:eastAsia="Arial" w:hAnsi="Arial"/>
                <w:sz w:val="14"/>
                <w:szCs w:val="14"/>
                <w:color w:val="auto"/>
                <w:w w:val="91"/>
              </w:rPr>
              <w:t>Early adoption</w:t>
            </w: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6"/>
              </w:rPr>
              <w:t>whether fees paid to decision makers and service providers are</w:t>
            </w:r>
          </w:p>
        </w:tc>
        <w:tc>
          <w:tcPr>
            <w:tcW w:w="1520" w:type="dxa"/>
            <w:vAlign w:val="bottom"/>
            <w:tcBorders>
              <w:right w:val="single" w:sz="8" w:color="auto"/>
            </w:tcBorders>
            <w:shd w:val="clear" w:color="auto" w:fill="CFF0FC"/>
          </w:tcPr>
          <w:p>
            <w:pPr>
              <w:jc w:val="center"/>
              <w:spacing w:after="0" w:line="145" w:lineRule="exact"/>
              <w:rPr>
                <w:sz w:val="20"/>
                <w:szCs w:val="20"/>
                <w:color w:val="auto"/>
              </w:rPr>
            </w:pPr>
            <w:r>
              <w:rPr>
                <w:rFonts w:ascii="Arial" w:cs="Arial" w:eastAsia="Arial" w:hAnsi="Arial"/>
                <w:sz w:val="14"/>
                <w:szCs w:val="14"/>
                <w:color w:val="auto"/>
                <w:w w:val="92"/>
              </w:rPr>
              <w:t>permitted</w:t>
            </w: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68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96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variable interests.</w:t>
            </w:r>
          </w:p>
        </w:tc>
        <w:tc>
          <w:tcPr>
            <w:tcW w:w="1520" w:type="dxa"/>
            <w:vAlign w:val="bottom"/>
            <w:tcBorders>
              <w:bottom w:val="single" w:sz="8" w:color="auto"/>
              <w:right w:val="single" w:sz="8" w:color="auto"/>
            </w:tcBorders>
            <w:shd w:val="clear" w:color="auto" w:fill="CFF0FC"/>
          </w:tcPr>
          <w:p>
            <w:pPr>
              <w:spacing w:after="0"/>
              <w:rPr>
                <w:sz w:val="14"/>
                <w:szCs w:val="14"/>
                <w:color w:val="auto"/>
              </w:rPr>
            </w:pPr>
          </w:p>
        </w:tc>
        <w:tc>
          <w:tcPr>
            <w:tcW w:w="426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92" w:name="page193"/>
    <w:bookmarkEnd w:id="192"/>
    <w:tbl>
      <w:tblPr>
        <w:tblLayout w:type="fixed"/>
        <w:tblInd w:w="10" w:type="dxa"/>
        <w:tblCellMar>
          <w:top w:w="0" w:type="dxa"/>
          <w:left w:w="0" w:type="dxa"/>
          <w:bottom w:w="0" w:type="dxa"/>
          <w:right w:w="0" w:type="dxa"/>
        </w:tblCellMar>
      </w:tblPr>
      <w:tr>
        <w:trPr>
          <w:trHeight w:val="135"/>
        </w:trPr>
        <w:tc>
          <w:tcPr>
            <w:tcW w:w="1680" w:type="dxa"/>
            <w:vAlign w:val="bottom"/>
            <w:tcBorders>
              <w:top w:val="single" w:sz="8" w:color="auto"/>
              <w:left w:val="single" w:sz="8" w:color="auto"/>
              <w:right w:val="single" w:sz="8" w:color="auto"/>
            </w:tcBorders>
            <w:vMerge w:val="restart"/>
          </w:tcPr>
          <w:p>
            <w:pPr>
              <w:ind w:left="560"/>
              <w:spacing w:after="0"/>
              <w:rPr>
                <w:sz w:val="20"/>
                <w:szCs w:val="20"/>
                <w:color w:val="auto"/>
              </w:rPr>
            </w:pPr>
            <w:r>
              <w:rPr>
                <w:rFonts w:ascii="Arial" w:cs="Arial" w:eastAsia="Arial" w:hAnsi="Arial"/>
                <w:sz w:val="14"/>
                <w:szCs w:val="14"/>
                <w:b w:val="1"/>
                <w:bCs w:val="1"/>
                <w:color w:val="auto"/>
              </w:rPr>
              <w:t>Standard</w:t>
            </w:r>
          </w:p>
        </w:tc>
        <w:tc>
          <w:tcPr>
            <w:tcW w:w="3960" w:type="dxa"/>
            <w:vAlign w:val="bottom"/>
            <w:tcBorders>
              <w:top w:val="single" w:sz="8" w:color="auto"/>
              <w:right w:val="single" w:sz="8" w:color="auto"/>
            </w:tcBorders>
            <w:vMerge w:val="restart"/>
          </w:tcPr>
          <w:p>
            <w:pPr>
              <w:ind w:left="1540"/>
              <w:spacing w:after="0"/>
              <w:rPr>
                <w:sz w:val="20"/>
                <w:szCs w:val="20"/>
                <w:color w:val="auto"/>
              </w:rPr>
            </w:pPr>
            <w:r>
              <w:rPr>
                <w:rFonts w:ascii="Arial" w:cs="Arial" w:eastAsia="Arial" w:hAnsi="Arial"/>
                <w:sz w:val="14"/>
                <w:szCs w:val="14"/>
                <w:b w:val="1"/>
                <w:bCs w:val="1"/>
                <w:color w:val="auto"/>
              </w:rPr>
              <w:t>Description</w:t>
            </w:r>
          </w:p>
        </w:tc>
        <w:tc>
          <w:tcPr>
            <w:tcW w:w="1520" w:type="dxa"/>
            <w:vAlign w:val="bottom"/>
            <w:tcBorders>
              <w:top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Required date</w:t>
            </w:r>
          </w:p>
        </w:tc>
        <w:tc>
          <w:tcPr>
            <w:tcW w:w="4260" w:type="dxa"/>
            <w:vAlign w:val="bottom"/>
            <w:tcBorders>
              <w:top w:val="single" w:sz="8" w:color="auto"/>
              <w:right w:val="single" w:sz="8" w:color="auto"/>
            </w:tcBorders>
            <w:vMerge w:val="restart"/>
          </w:tcPr>
          <w:p>
            <w:pPr>
              <w:ind w:left="92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96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adoption</w:t>
            </w:r>
          </w:p>
        </w:tc>
        <w:tc>
          <w:tcPr>
            <w:tcW w:w="42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64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Not Yet Adopted as of December 31, 2019</w:t>
            </w:r>
          </w:p>
        </w:tc>
        <w:tc>
          <w:tcPr>
            <w:tcW w:w="1520" w:type="dxa"/>
            <w:vAlign w:val="bottom"/>
            <w:tcBorders>
              <w:bottom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68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Changes to the</w:t>
            </w:r>
          </w:p>
        </w:tc>
        <w:tc>
          <w:tcPr>
            <w:tcW w:w="396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The amended guidance modifies the disclosure requirements</w:t>
            </w:r>
          </w:p>
        </w:tc>
        <w:tc>
          <w:tcPr>
            <w:tcW w:w="152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7"/>
              </w:rPr>
              <w:t>January 1, 2021</w:t>
            </w:r>
          </w:p>
        </w:tc>
        <w:tc>
          <w:tcPr>
            <w:tcW w:w="4260" w:type="dxa"/>
            <w:vAlign w:val="bottom"/>
            <w:tcBorders>
              <w:right w:val="single" w:sz="8" w:color="auto"/>
            </w:tcBorders>
            <w:shd w:val="clear" w:color="auto" w:fill="CFF0FC"/>
          </w:tcPr>
          <w:p>
            <w:pPr>
              <w:ind w:left="260"/>
              <w:spacing w:after="0"/>
              <w:rPr>
                <w:sz w:val="20"/>
                <w:szCs w:val="20"/>
                <w:color w:val="auto"/>
              </w:rPr>
            </w:pPr>
            <w:r>
              <w:rPr>
                <w:rFonts w:ascii="Arial" w:cs="Arial" w:eastAsia="Arial" w:hAnsi="Arial"/>
                <w:sz w:val="14"/>
                <w:szCs w:val="14"/>
                <w:color w:val="auto"/>
                <w:w w:val="96"/>
              </w:rPr>
              <w:t>The amendments should be applied retrospectively. The Company</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ind w:left="140"/>
              <w:spacing w:after="0" w:line="145" w:lineRule="exact"/>
              <w:rPr>
                <w:sz w:val="20"/>
                <w:szCs w:val="20"/>
                <w:color w:val="auto"/>
              </w:rPr>
            </w:pPr>
            <w:r>
              <w:rPr>
                <w:rFonts w:ascii="Arial" w:cs="Arial" w:eastAsia="Arial" w:hAnsi="Arial"/>
                <w:sz w:val="14"/>
                <w:szCs w:val="14"/>
                <w:color w:val="auto"/>
              </w:rPr>
              <w:t>Disclosure</w:t>
            </w: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for employers that sponsor defined benefit pension or other</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260"/>
              <w:spacing w:after="0" w:line="145" w:lineRule="exact"/>
              <w:rPr>
                <w:sz w:val="20"/>
                <w:szCs w:val="20"/>
                <w:color w:val="auto"/>
              </w:rPr>
            </w:pPr>
            <w:r>
              <w:rPr>
                <w:rFonts w:ascii="Arial" w:cs="Arial" w:eastAsia="Arial" w:hAnsi="Arial"/>
                <w:sz w:val="14"/>
                <w:szCs w:val="14"/>
                <w:color w:val="auto"/>
              </w:rPr>
              <w:t>does not expect the guidance to have a material impact on its</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ind w:left="140"/>
              <w:spacing w:after="0" w:line="145" w:lineRule="exact"/>
              <w:rPr>
                <w:sz w:val="20"/>
                <w:szCs w:val="20"/>
                <w:color w:val="auto"/>
              </w:rPr>
            </w:pPr>
            <w:r>
              <w:rPr>
                <w:rFonts w:ascii="Arial" w:cs="Arial" w:eastAsia="Arial" w:hAnsi="Arial"/>
                <w:sz w:val="14"/>
                <w:szCs w:val="14"/>
                <w:color w:val="auto"/>
              </w:rPr>
              <w:t>Requirements for</w:t>
            </w: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postretirement plans. The disclosure requirements being</w:t>
            </w:r>
          </w:p>
        </w:tc>
        <w:tc>
          <w:tcPr>
            <w:tcW w:w="1520" w:type="dxa"/>
            <w:vAlign w:val="bottom"/>
            <w:tcBorders>
              <w:right w:val="single" w:sz="8" w:color="auto"/>
            </w:tcBorders>
            <w:shd w:val="clear" w:color="auto" w:fill="CFF0FC"/>
          </w:tcPr>
          <w:p>
            <w:pPr>
              <w:jc w:val="center"/>
              <w:spacing w:after="0" w:line="145" w:lineRule="exact"/>
              <w:rPr>
                <w:sz w:val="20"/>
                <w:szCs w:val="20"/>
                <w:color w:val="auto"/>
              </w:rPr>
            </w:pPr>
            <w:r>
              <w:rPr>
                <w:rFonts w:ascii="Arial" w:cs="Arial" w:eastAsia="Arial" w:hAnsi="Arial"/>
                <w:sz w:val="14"/>
                <w:szCs w:val="14"/>
                <w:color w:val="auto"/>
                <w:w w:val="91"/>
              </w:rPr>
              <w:t>Early adoption</w:t>
            </w:r>
          </w:p>
        </w:tc>
        <w:tc>
          <w:tcPr>
            <w:tcW w:w="4260" w:type="dxa"/>
            <w:vAlign w:val="bottom"/>
            <w:tcBorders>
              <w:right w:val="single" w:sz="8" w:color="auto"/>
            </w:tcBorders>
            <w:shd w:val="clear" w:color="auto" w:fill="CFF0FC"/>
          </w:tcPr>
          <w:p>
            <w:pPr>
              <w:ind w:left="260"/>
              <w:spacing w:after="0" w:line="145" w:lineRule="exact"/>
              <w:rPr>
                <w:sz w:val="20"/>
                <w:szCs w:val="20"/>
                <w:color w:val="auto"/>
              </w:rPr>
            </w:pPr>
            <w:r>
              <w:rPr>
                <w:rFonts w:ascii="Arial" w:cs="Arial" w:eastAsia="Arial" w:hAnsi="Arial"/>
                <w:sz w:val="14"/>
                <w:szCs w:val="14"/>
                <w:color w:val="auto"/>
              </w:rPr>
              <w:t>consolidated financial statements.</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ind w:left="140"/>
              <w:spacing w:after="0" w:line="145" w:lineRule="exact"/>
              <w:rPr>
                <w:sz w:val="20"/>
                <w:szCs w:val="20"/>
                <w:color w:val="auto"/>
              </w:rPr>
            </w:pPr>
            <w:r>
              <w:rPr>
                <w:rFonts w:ascii="Arial" w:cs="Arial" w:eastAsia="Arial" w:hAnsi="Arial"/>
                <w:sz w:val="14"/>
                <w:szCs w:val="14"/>
                <w:color w:val="auto"/>
              </w:rPr>
              <w:t>Defined Benefit Plans</w:t>
            </w: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removed relating to public companies are (1) the amounts in</w:t>
            </w:r>
          </w:p>
        </w:tc>
        <w:tc>
          <w:tcPr>
            <w:tcW w:w="1520" w:type="dxa"/>
            <w:vAlign w:val="bottom"/>
            <w:tcBorders>
              <w:right w:val="single" w:sz="8" w:color="auto"/>
            </w:tcBorders>
            <w:shd w:val="clear" w:color="auto" w:fill="CFF0FC"/>
          </w:tcPr>
          <w:p>
            <w:pPr>
              <w:jc w:val="center"/>
              <w:spacing w:after="0" w:line="145" w:lineRule="exact"/>
              <w:rPr>
                <w:sz w:val="20"/>
                <w:szCs w:val="20"/>
                <w:color w:val="auto"/>
              </w:rPr>
            </w:pPr>
            <w:r>
              <w:rPr>
                <w:rFonts w:ascii="Arial" w:cs="Arial" w:eastAsia="Arial" w:hAnsi="Arial"/>
                <w:sz w:val="14"/>
                <w:szCs w:val="14"/>
                <w:color w:val="auto"/>
                <w:w w:val="92"/>
              </w:rPr>
              <w:t>permitted</w:t>
            </w: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accumulated other comprehensive income expected to be</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7"/>
              </w:rPr>
              <w:t>recognized as components of net periodic benefit cost over the</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next fiscal year, (2) the amount and timing of plan assets</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expected to be returned to the employer, (3) the 2001</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disclosure requirement relating to Japanese Welfare Pension</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8"/>
              </w:rPr>
              <w:t>Insurance Law, (4) related party disclosures about the amount</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of future annual benefits covered by insurance, and (5) the</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effects of a one-percentage-point change in assumed health</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care cost trends on the benefit cost and obligation. The</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disclosure requirements being added relating to public</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6"/>
              </w:rPr>
              <w:t>companies are (1) the weighted-average interest crediting rates</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9"/>
              </w:rPr>
              <w:t>for cash balance plans , and (2) an explanation of the reasons</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for significant gains and losses related to changes in the</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68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96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benefit obligation for the period.</w:t>
            </w:r>
          </w:p>
        </w:tc>
        <w:tc>
          <w:tcPr>
            <w:tcW w:w="1520" w:type="dxa"/>
            <w:vAlign w:val="bottom"/>
            <w:tcBorders>
              <w:bottom w:val="single" w:sz="8" w:color="auto"/>
              <w:right w:val="single" w:sz="8" w:color="auto"/>
            </w:tcBorders>
            <w:shd w:val="clear" w:color="auto" w:fill="CFF0FC"/>
          </w:tcPr>
          <w:p>
            <w:pPr>
              <w:spacing w:after="0"/>
              <w:rPr>
                <w:sz w:val="14"/>
                <w:szCs w:val="14"/>
                <w:color w:val="auto"/>
              </w:rPr>
            </w:pPr>
          </w:p>
        </w:tc>
        <w:tc>
          <w:tcPr>
            <w:tcW w:w="426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80" w:type="dxa"/>
            <w:vAlign w:val="bottom"/>
            <w:tcBorders>
              <w:left w:val="single" w:sz="8" w:color="auto"/>
              <w:right w:val="single" w:sz="8" w:color="auto"/>
            </w:tcBorders>
          </w:tcPr>
          <w:p>
            <w:pPr>
              <w:spacing w:after="0"/>
              <w:rPr>
                <w:sz w:val="10"/>
                <w:szCs w:val="10"/>
                <w:color w:val="auto"/>
              </w:rPr>
            </w:pPr>
          </w:p>
        </w:tc>
        <w:tc>
          <w:tcPr>
            <w:tcW w:w="3960" w:type="dxa"/>
            <w:vAlign w:val="bottom"/>
            <w:tcBorders>
              <w:right w:val="single" w:sz="8" w:color="auto"/>
            </w:tcBorders>
          </w:tcPr>
          <w:p>
            <w:pPr>
              <w:ind w:left="120"/>
              <w:spacing w:after="0" w:line="119" w:lineRule="exact"/>
              <w:rPr>
                <w:sz w:val="20"/>
                <w:szCs w:val="20"/>
                <w:color w:val="auto"/>
              </w:rPr>
            </w:pPr>
            <w:r>
              <w:rPr>
                <w:rFonts w:ascii="Arial" w:cs="Arial" w:eastAsia="Arial" w:hAnsi="Arial"/>
                <w:sz w:val="13"/>
                <w:szCs w:val="13"/>
                <w:color w:val="auto"/>
              </w:rPr>
              <w:t>The amendments clarify the following guidance:</w:t>
            </w:r>
          </w:p>
        </w:tc>
        <w:tc>
          <w:tcPr>
            <w:tcW w:w="1520" w:type="dxa"/>
            <w:vAlign w:val="bottom"/>
            <w:tcBorders>
              <w:right w:val="single" w:sz="8" w:color="auto"/>
            </w:tcBorders>
          </w:tcPr>
          <w:p>
            <w:pPr>
              <w:spacing w:after="0"/>
              <w:rPr>
                <w:sz w:val="10"/>
                <w:szCs w:val="10"/>
                <w:color w:val="auto"/>
              </w:rPr>
            </w:pPr>
          </w:p>
        </w:tc>
        <w:tc>
          <w:tcPr>
            <w:tcW w:w="4260" w:type="dxa"/>
            <w:vAlign w:val="bottom"/>
            <w:tcBorders>
              <w:right w:val="single" w:sz="8" w:color="auto"/>
            </w:tcBorders>
          </w:tcPr>
          <w:p>
            <w:pPr>
              <w:ind w:left="260"/>
              <w:spacing w:after="0" w:line="119" w:lineRule="exact"/>
              <w:rPr>
                <w:sz w:val="20"/>
                <w:szCs w:val="20"/>
                <w:color w:val="auto"/>
              </w:rPr>
            </w:pPr>
            <w:r>
              <w:rPr>
                <w:rFonts w:ascii="Arial" w:cs="Arial" w:eastAsia="Arial" w:hAnsi="Arial"/>
                <w:sz w:val="13"/>
                <w:szCs w:val="13"/>
                <w:color w:val="auto"/>
              </w:rPr>
              <w:t>The amendments should be applied on a prospective basis. The</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Clarifying the</w:t>
            </w: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w w:val="99"/>
              </w:rPr>
              <w:t>1. That an entity should consider observable transactions that</w:t>
            </w:r>
          </w:p>
        </w:tc>
        <w:tc>
          <w:tcPr>
            <w:tcW w:w="15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87"/>
              </w:rPr>
              <w:t>January 1, 2021</w:t>
            </w:r>
          </w:p>
        </w:tc>
        <w:tc>
          <w:tcPr>
            <w:tcW w:w="4260" w:type="dxa"/>
            <w:vAlign w:val="bottom"/>
            <w:tcBorders>
              <w:right w:val="single" w:sz="8" w:color="auto"/>
            </w:tcBorders>
          </w:tcPr>
          <w:p>
            <w:pPr>
              <w:ind w:left="260"/>
              <w:spacing w:after="0" w:line="145" w:lineRule="exact"/>
              <w:rPr>
                <w:sz w:val="20"/>
                <w:szCs w:val="20"/>
                <w:color w:val="auto"/>
              </w:rPr>
            </w:pPr>
            <w:r>
              <w:rPr>
                <w:rFonts w:ascii="Arial" w:cs="Arial" w:eastAsia="Arial" w:hAnsi="Arial"/>
                <w:sz w:val="14"/>
                <w:szCs w:val="14"/>
                <w:color w:val="auto"/>
                <w:w w:val="95"/>
              </w:rPr>
              <w:t>Company does not expect the guidance will have a material impact</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Interactions Between</w:t>
            </w: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require it to either apply or discontinue the equity method of</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ind w:left="260"/>
              <w:spacing w:after="0" w:line="145" w:lineRule="exact"/>
              <w:rPr>
                <w:sz w:val="20"/>
                <w:szCs w:val="20"/>
                <w:color w:val="auto"/>
              </w:rPr>
            </w:pPr>
            <w:r>
              <w:rPr>
                <w:rFonts w:ascii="Arial" w:cs="Arial" w:eastAsia="Arial" w:hAnsi="Arial"/>
                <w:sz w:val="14"/>
                <w:szCs w:val="14"/>
                <w:color w:val="auto"/>
              </w:rPr>
              <w:t>on its consolidated financial statements.</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Equity Securities,</w:t>
            </w: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accounting for the purposes of applying the measurement</w:t>
            </w:r>
          </w:p>
        </w:tc>
        <w:tc>
          <w:tcPr>
            <w:tcW w:w="15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1"/>
              </w:rPr>
              <w:t>Early adoption</w:t>
            </w: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Equity Method and</w:t>
            </w: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alternative in the equity securities investments guidance</w:t>
            </w:r>
          </w:p>
        </w:tc>
        <w:tc>
          <w:tcPr>
            <w:tcW w:w="15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2"/>
              </w:rPr>
              <w:t>permitted</w:t>
            </w: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Joint Ventures, and</w:t>
            </w: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immediately before applying or upon discontinuing the equity</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Derivatives and</w:t>
            </w: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method of accounting.</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Hedging</w:t>
            </w: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2. For the purpose of applying the derivatives and hedging</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guidance an entity should not consider whether, upon the</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settlement of a forward contract or exercise of a purchased</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option, individually or with existing investments, the</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w w:val="99"/>
              </w:rPr>
              <w:t>underlying securities would be accounted for under the equity</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method of accounting or the fair value option in accordance</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with the financial instruments guidance. An entity also would</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evaluate the remaining characteristics in the derivatives and</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hedging guidance to determine the accounting for those</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680" w:type="dxa"/>
            <w:vAlign w:val="bottom"/>
            <w:tcBorders>
              <w:left w:val="single" w:sz="8" w:color="auto"/>
              <w:bottom w:val="single" w:sz="8" w:color="auto"/>
              <w:right w:val="single" w:sz="8" w:color="auto"/>
            </w:tcBorders>
          </w:tcPr>
          <w:p>
            <w:pPr>
              <w:spacing w:after="0"/>
              <w:rPr>
                <w:sz w:val="14"/>
                <w:szCs w:val="14"/>
                <w:color w:val="auto"/>
              </w:rPr>
            </w:pPr>
          </w:p>
        </w:tc>
        <w:tc>
          <w:tcPr>
            <w:tcW w:w="3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forward contracts and purchased options.</w:t>
            </w:r>
          </w:p>
        </w:tc>
        <w:tc>
          <w:tcPr>
            <w:tcW w:w="1520" w:type="dxa"/>
            <w:vAlign w:val="bottom"/>
            <w:tcBorders>
              <w:bottom w:val="single" w:sz="8" w:color="auto"/>
              <w:right w:val="single" w:sz="8" w:color="auto"/>
            </w:tcBorders>
          </w:tcPr>
          <w:p>
            <w:pPr>
              <w:spacing w:after="0"/>
              <w:rPr>
                <w:sz w:val="14"/>
                <w:szCs w:val="14"/>
                <w:color w:val="auto"/>
              </w:rPr>
            </w:pPr>
          </w:p>
        </w:tc>
        <w:tc>
          <w:tcPr>
            <w:tcW w:w="4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93" w:name="page194"/>
    <w:bookmarkEnd w:id="193"/>
    <w:tbl>
      <w:tblPr>
        <w:tblLayout w:type="fixed"/>
        <w:tblInd w:w="10" w:type="dxa"/>
        <w:tblCellMar>
          <w:top w:w="0" w:type="dxa"/>
          <w:left w:w="0" w:type="dxa"/>
          <w:bottom w:w="0" w:type="dxa"/>
          <w:right w:w="0" w:type="dxa"/>
        </w:tblCellMar>
      </w:tblPr>
      <w:tr>
        <w:trPr>
          <w:trHeight w:val="135"/>
        </w:trPr>
        <w:tc>
          <w:tcPr>
            <w:tcW w:w="1680" w:type="dxa"/>
            <w:vAlign w:val="bottom"/>
            <w:tcBorders>
              <w:top w:val="single" w:sz="8" w:color="auto"/>
              <w:left w:val="single" w:sz="8" w:color="auto"/>
              <w:right w:val="single" w:sz="8" w:color="auto"/>
            </w:tcBorders>
            <w:vMerge w:val="restart"/>
          </w:tcPr>
          <w:p>
            <w:pPr>
              <w:ind w:left="560"/>
              <w:spacing w:after="0"/>
              <w:rPr>
                <w:sz w:val="20"/>
                <w:szCs w:val="20"/>
                <w:color w:val="auto"/>
              </w:rPr>
            </w:pPr>
            <w:r>
              <w:rPr>
                <w:rFonts w:ascii="Arial" w:cs="Arial" w:eastAsia="Arial" w:hAnsi="Arial"/>
                <w:sz w:val="14"/>
                <w:szCs w:val="14"/>
                <w:b w:val="1"/>
                <w:bCs w:val="1"/>
                <w:color w:val="auto"/>
              </w:rPr>
              <w:t>Standard</w:t>
            </w:r>
          </w:p>
        </w:tc>
        <w:tc>
          <w:tcPr>
            <w:tcW w:w="3960" w:type="dxa"/>
            <w:vAlign w:val="bottom"/>
            <w:tcBorders>
              <w:top w:val="single" w:sz="8" w:color="auto"/>
              <w:right w:val="single" w:sz="8" w:color="auto"/>
            </w:tcBorders>
            <w:vMerge w:val="restart"/>
          </w:tcPr>
          <w:p>
            <w:pPr>
              <w:ind w:left="1540"/>
              <w:spacing w:after="0"/>
              <w:rPr>
                <w:sz w:val="20"/>
                <w:szCs w:val="20"/>
                <w:color w:val="auto"/>
              </w:rPr>
            </w:pPr>
            <w:r>
              <w:rPr>
                <w:rFonts w:ascii="Arial" w:cs="Arial" w:eastAsia="Arial" w:hAnsi="Arial"/>
                <w:sz w:val="14"/>
                <w:szCs w:val="14"/>
                <w:b w:val="1"/>
                <w:bCs w:val="1"/>
                <w:color w:val="auto"/>
              </w:rPr>
              <w:t>Description</w:t>
            </w:r>
          </w:p>
        </w:tc>
        <w:tc>
          <w:tcPr>
            <w:tcW w:w="1520" w:type="dxa"/>
            <w:vAlign w:val="bottom"/>
            <w:tcBorders>
              <w:top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Required date</w:t>
            </w:r>
          </w:p>
        </w:tc>
        <w:tc>
          <w:tcPr>
            <w:tcW w:w="4260" w:type="dxa"/>
            <w:vAlign w:val="bottom"/>
            <w:tcBorders>
              <w:top w:val="single" w:sz="8" w:color="auto"/>
              <w:right w:val="single" w:sz="8" w:color="auto"/>
            </w:tcBorders>
            <w:vMerge w:val="restart"/>
          </w:tcPr>
          <w:p>
            <w:pPr>
              <w:ind w:left="92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96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adoption</w:t>
            </w:r>
          </w:p>
        </w:tc>
        <w:tc>
          <w:tcPr>
            <w:tcW w:w="42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64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Not Yet Adopted as of December 31, 2019</w:t>
            </w:r>
          </w:p>
        </w:tc>
        <w:tc>
          <w:tcPr>
            <w:tcW w:w="1520" w:type="dxa"/>
            <w:vAlign w:val="bottom"/>
            <w:tcBorders>
              <w:bottom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680" w:type="dxa"/>
            <w:vAlign w:val="bottom"/>
            <w:tcBorders>
              <w:left w:val="single" w:sz="8" w:color="auto"/>
              <w:right w:val="single" w:sz="8" w:color="auto"/>
            </w:tcBorders>
            <w:shd w:val="clear" w:color="auto" w:fill="CFF0FC"/>
          </w:tcPr>
          <w:p>
            <w:pPr>
              <w:ind w:left="140"/>
              <w:spacing w:after="0" w:line="119" w:lineRule="exact"/>
              <w:rPr>
                <w:sz w:val="20"/>
                <w:szCs w:val="20"/>
                <w:color w:val="auto"/>
              </w:rPr>
            </w:pPr>
            <w:r>
              <w:rPr>
                <w:rFonts w:ascii="Arial" w:cs="Arial" w:eastAsia="Arial" w:hAnsi="Arial"/>
                <w:sz w:val="13"/>
                <w:szCs w:val="13"/>
                <w:color w:val="auto"/>
              </w:rPr>
              <w:t>Simplifying the</w:t>
            </w:r>
          </w:p>
        </w:tc>
        <w:tc>
          <w:tcPr>
            <w:tcW w:w="3960" w:type="dxa"/>
            <w:vAlign w:val="bottom"/>
            <w:tcBorders>
              <w:right w:val="single" w:sz="8" w:color="auto"/>
            </w:tcBorders>
            <w:shd w:val="clear" w:color="auto" w:fill="CFF0FC"/>
          </w:tcPr>
          <w:p>
            <w:pPr>
              <w:spacing w:after="0"/>
              <w:rPr>
                <w:sz w:val="10"/>
                <w:szCs w:val="10"/>
                <w:color w:val="auto"/>
              </w:rPr>
            </w:pPr>
          </w:p>
        </w:tc>
        <w:tc>
          <w:tcPr>
            <w:tcW w:w="1520" w:type="dxa"/>
            <w:vAlign w:val="bottom"/>
            <w:tcBorders>
              <w:right w:val="single" w:sz="8" w:color="auto"/>
            </w:tcBorders>
            <w:shd w:val="clear" w:color="auto" w:fill="CFF0FC"/>
          </w:tcPr>
          <w:p>
            <w:pPr>
              <w:jc w:val="center"/>
              <w:spacing w:after="0" w:line="119" w:lineRule="exact"/>
              <w:rPr>
                <w:sz w:val="20"/>
                <w:szCs w:val="20"/>
                <w:color w:val="auto"/>
              </w:rPr>
            </w:pPr>
            <w:r>
              <w:rPr>
                <w:rFonts w:ascii="Arial" w:cs="Arial" w:eastAsia="Arial" w:hAnsi="Arial"/>
                <w:sz w:val="13"/>
                <w:szCs w:val="13"/>
                <w:color w:val="auto"/>
                <w:w w:val="94"/>
              </w:rPr>
              <w:t>January 1, 2021</w:t>
            </w:r>
          </w:p>
        </w:tc>
        <w:tc>
          <w:tcPr>
            <w:tcW w:w="4260" w:type="dxa"/>
            <w:vAlign w:val="bottom"/>
            <w:tcBorders>
              <w:right w:val="single" w:sz="8" w:color="auto"/>
            </w:tcBorders>
            <w:shd w:val="clear" w:color="auto" w:fill="CFF0FC"/>
          </w:tcPr>
          <w:p>
            <w:pPr>
              <w:ind w:left="260"/>
              <w:spacing w:after="0" w:line="119" w:lineRule="exact"/>
              <w:rPr>
                <w:sz w:val="20"/>
                <w:szCs w:val="20"/>
                <w:color w:val="auto"/>
              </w:rPr>
            </w:pPr>
            <w:r>
              <w:rPr>
                <w:rFonts w:ascii="Arial" w:cs="Arial" w:eastAsia="Arial" w:hAnsi="Arial"/>
                <w:sz w:val="13"/>
                <w:szCs w:val="13"/>
                <w:color w:val="auto"/>
              </w:rPr>
              <w:t>The amendments related to separate financial statements of legal</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ind w:left="140"/>
              <w:spacing w:after="0" w:line="145" w:lineRule="exact"/>
              <w:rPr>
                <w:sz w:val="20"/>
                <w:szCs w:val="20"/>
                <w:color w:val="auto"/>
              </w:rPr>
            </w:pPr>
            <w:r>
              <w:rPr>
                <w:rFonts w:ascii="Arial" w:cs="Arial" w:eastAsia="Arial" w:hAnsi="Arial"/>
                <w:sz w:val="14"/>
                <w:szCs w:val="14"/>
                <w:color w:val="auto"/>
              </w:rPr>
              <w:t>Accounting for Income</w:t>
            </w: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The amendments remove the following exceptions for</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260"/>
              <w:spacing w:after="0" w:line="145" w:lineRule="exact"/>
              <w:rPr>
                <w:sz w:val="20"/>
                <w:szCs w:val="20"/>
                <w:color w:val="auto"/>
              </w:rPr>
            </w:pPr>
            <w:r>
              <w:rPr>
                <w:rFonts w:ascii="Arial" w:cs="Arial" w:eastAsia="Arial" w:hAnsi="Arial"/>
                <w:sz w:val="14"/>
                <w:szCs w:val="14"/>
                <w:color w:val="auto"/>
              </w:rPr>
              <w:t>entities that are not subject to tax should be applied on a</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ind w:left="140"/>
              <w:spacing w:after="0" w:line="145" w:lineRule="exact"/>
              <w:rPr>
                <w:sz w:val="20"/>
                <w:szCs w:val="20"/>
                <w:color w:val="auto"/>
              </w:rPr>
            </w:pPr>
            <w:r>
              <w:rPr>
                <w:rFonts w:ascii="Arial" w:cs="Arial" w:eastAsia="Arial" w:hAnsi="Arial"/>
                <w:sz w:val="14"/>
                <w:szCs w:val="14"/>
                <w:color w:val="auto"/>
              </w:rPr>
              <w:t>Taxes</w:t>
            </w: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accounting for income taxes:</w:t>
            </w:r>
          </w:p>
        </w:tc>
        <w:tc>
          <w:tcPr>
            <w:tcW w:w="1520" w:type="dxa"/>
            <w:vAlign w:val="bottom"/>
            <w:tcBorders>
              <w:right w:val="single" w:sz="8" w:color="auto"/>
            </w:tcBorders>
            <w:shd w:val="clear" w:color="auto" w:fill="CFF0FC"/>
          </w:tcPr>
          <w:p>
            <w:pPr>
              <w:jc w:val="center"/>
              <w:spacing w:after="0" w:line="145" w:lineRule="exact"/>
              <w:rPr>
                <w:sz w:val="20"/>
                <w:szCs w:val="20"/>
                <w:color w:val="auto"/>
              </w:rPr>
            </w:pPr>
            <w:r>
              <w:rPr>
                <w:rFonts w:ascii="Arial" w:cs="Arial" w:eastAsia="Arial" w:hAnsi="Arial"/>
                <w:sz w:val="14"/>
                <w:szCs w:val="14"/>
                <w:color w:val="auto"/>
                <w:w w:val="91"/>
              </w:rPr>
              <w:t>Early adoption</w:t>
            </w:r>
          </w:p>
        </w:tc>
        <w:tc>
          <w:tcPr>
            <w:tcW w:w="4260" w:type="dxa"/>
            <w:vAlign w:val="bottom"/>
            <w:tcBorders>
              <w:right w:val="single" w:sz="8" w:color="auto"/>
            </w:tcBorders>
            <w:shd w:val="clear" w:color="auto" w:fill="CFF0FC"/>
          </w:tcPr>
          <w:p>
            <w:pPr>
              <w:ind w:left="260"/>
              <w:spacing w:after="0" w:line="145" w:lineRule="exact"/>
              <w:rPr>
                <w:sz w:val="20"/>
                <w:szCs w:val="20"/>
                <w:color w:val="auto"/>
              </w:rPr>
            </w:pPr>
            <w:r>
              <w:rPr>
                <w:rFonts w:ascii="Arial" w:cs="Arial" w:eastAsia="Arial" w:hAnsi="Arial"/>
                <w:sz w:val="14"/>
                <w:szCs w:val="14"/>
                <w:color w:val="auto"/>
              </w:rPr>
              <w:t>retrospective basis for all periods presented. The amendments</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1. Exception to the incremental approach for intraperiod tax</w:t>
            </w:r>
          </w:p>
        </w:tc>
        <w:tc>
          <w:tcPr>
            <w:tcW w:w="1520" w:type="dxa"/>
            <w:vAlign w:val="bottom"/>
            <w:tcBorders>
              <w:right w:val="single" w:sz="8" w:color="auto"/>
            </w:tcBorders>
            <w:shd w:val="clear" w:color="auto" w:fill="CFF0FC"/>
          </w:tcPr>
          <w:p>
            <w:pPr>
              <w:jc w:val="center"/>
              <w:spacing w:after="0" w:line="145" w:lineRule="exact"/>
              <w:rPr>
                <w:sz w:val="20"/>
                <w:szCs w:val="20"/>
                <w:color w:val="auto"/>
              </w:rPr>
            </w:pPr>
            <w:r>
              <w:rPr>
                <w:rFonts w:ascii="Arial" w:cs="Arial" w:eastAsia="Arial" w:hAnsi="Arial"/>
                <w:sz w:val="14"/>
                <w:szCs w:val="14"/>
                <w:color w:val="auto"/>
                <w:w w:val="92"/>
              </w:rPr>
              <w:t>permitted</w:t>
            </w:r>
          </w:p>
        </w:tc>
        <w:tc>
          <w:tcPr>
            <w:tcW w:w="4260" w:type="dxa"/>
            <w:vAlign w:val="bottom"/>
            <w:tcBorders>
              <w:right w:val="single" w:sz="8" w:color="auto"/>
            </w:tcBorders>
            <w:shd w:val="clear" w:color="auto" w:fill="CFF0FC"/>
          </w:tcPr>
          <w:p>
            <w:pPr>
              <w:ind w:left="260"/>
              <w:spacing w:after="0" w:line="145" w:lineRule="exact"/>
              <w:rPr>
                <w:sz w:val="20"/>
                <w:szCs w:val="20"/>
                <w:color w:val="auto"/>
              </w:rPr>
            </w:pPr>
            <w:r>
              <w:rPr>
                <w:rFonts w:ascii="Arial" w:cs="Arial" w:eastAsia="Arial" w:hAnsi="Arial"/>
                <w:sz w:val="14"/>
                <w:szCs w:val="14"/>
                <w:color w:val="auto"/>
              </w:rPr>
              <w:t>related to changes in ownership of foreign equity method</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9"/>
              </w:rPr>
              <w:t>allocation when there is a loss from continuing operations and</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260"/>
              <w:spacing w:after="0" w:line="145" w:lineRule="exact"/>
              <w:rPr>
                <w:sz w:val="20"/>
                <w:szCs w:val="20"/>
                <w:color w:val="auto"/>
              </w:rPr>
            </w:pPr>
            <w:r>
              <w:rPr>
                <w:rFonts w:ascii="Arial" w:cs="Arial" w:eastAsia="Arial" w:hAnsi="Arial"/>
                <w:sz w:val="14"/>
                <w:szCs w:val="14"/>
                <w:color w:val="auto"/>
                <w:w w:val="94"/>
              </w:rPr>
              <w:t>investments or foreign subsidiaries should be applied on a modified</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income or a gain from other items (for example, discontinued</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260"/>
              <w:spacing w:after="0" w:line="145" w:lineRule="exact"/>
              <w:rPr>
                <w:sz w:val="20"/>
                <w:szCs w:val="20"/>
                <w:color w:val="auto"/>
              </w:rPr>
            </w:pPr>
            <w:r>
              <w:rPr>
                <w:rFonts w:ascii="Arial" w:cs="Arial" w:eastAsia="Arial" w:hAnsi="Arial"/>
                <w:sz w:val="14"/>
                <w:szCs w:val="14"/>
                <w:color w:val="auto"/>
              </w:rPr>
              <w:t>retrospective basis through a cumulative-effect adjustment to</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operations or other comprehensive income)</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260"/>
              <w:spacing w:after="0" w:line="145" w:lineRule="exact"/>
              <w:rPr>
                <w:sz w:val="20"/>
                <w:szCs w:val="20"/>
                <w:color w:val="auto"/>
              </w:rPr>
            </w:pPr>
            <w:r>
              <w:rPr>
                <w:rFonts w:ascii="Arial" w:cs="Arial" w:eastAsia="Arial" w:hAnsi="Arial"/>
                <w:sz w:val="14"/>
                <w:szCs w:val="14"/>
                <w:color w:val="auto"/>
                <w:w w:val="95"/>
              </w:rPr>
              <w:t>retained earnings as of the beginning of the fiscal year of adoption.</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2. Exception to the requirement to recognize a deferred tax</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260"/>
              <w:spacing w:after="0" w:line="145" w:lineRule="exact"/>
              <w:rPr>
                <w:sz w:val="20"/>
                <w:szCs w:val="20"/>
                <w:color w:val="auto"/>
              </w:rPr>
            </w:pPr>
            <w:r>
              <w:rPr>
                <w:rFonts w:ascii="Arial" w:cs="Arial" w:eastAsia="Arial" w:hAnsi="Arial"/>
                <w:sz w:val="14"/>
                <w:szCs w:val="14"/>
                <w:color w:val="auto"/>
                <w:w w:val="95"/>
              </w:rPr>
              <w:t>The amendments related to franchise taxes that are partially based</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liability for equity method investments when a foreign</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260"/>
              <w:spacing w:after="0" w:line="145" w:lineRule="exact"/>
              <w:rPr>
                <w:sz w:val="20"/>
                <w:szCs w:val="20"/>
                <w:color w:val="auto"/>
              </w:rPr>
            </w:pPr>
            <w:r>
              <w:rPr>
                <w:rFonts w:ascii="Arial" w:cs="Arial" w:eastAsia="Arial" w:hAnsi="Arial"/>
                <w:sz w:val="14"/>
                <w:szCs w:val="14"/>
                <w:color w:val="auto"/>
                <w:w w:val="97"/>
              </w:rPr>
              <w:t>on income should be applied on either a retrospective basis for all</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subsidiary becomes an equity method investment</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260"/>
              <w:spacing w:after="0" w:line="145" w:lineRule="exact"/>
              <w:rPr>
                <w:sz w:val="20"/>
                <w:szCs w:val="20"/>
                <w:color w:val="auto"/>
              </w:rPr>
            </w:pPr>
            <w:r>
              <w:rPr>
                <w:rFonts w:ascii="Arial" w:cs="Arial" w:eastAsia="Arial" w:hAnsi="Arial"/>
                <w:sz w:val="14"/>
                <w:szCs w:val="14"/>
                <w:color w:val="auto"/>
              </w:rPr>
              <w:t>periods presented or a modified retrospective basis through a</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3. Exception to the ability not to recognize a deferred tax</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260"/>
              <w:spacing w:after="0" w:line="145" w:lineRule="exact"/>
              <w:rPr>
                <w:sz w:val="20"/>
                <w:szCs w:val="20"/>
                <w:color w:val="auto"/>
              </w:rPr>
            </w:pPr>
            <w:r>
              <w:rPr>
                <w:rFonts w:ascii="Arial" w:cs="Arial" w:eastAsia="Arial" w:hAnsi="Arial"/>
                <w:sz w:val="14"/>
                <w:szCs w:val="14"/>
                <w:color w:val="auto"/>
              </w:rPr>
              <w:t>cumulative-effect adjustment to retained earnings as of the</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liability for a foreign subsidiary when a foreign equity method</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260"/>
              <w:spacing w:after="0" w:line="145" w:lineRule="exact"/>
              <w:rPr>
                <w:sz w:val="20"/>
                <w:szCs w:val="20"/>
                <w:color w:val="auto"/>
              </w:rPr>
            </w:pPr>
            <w:r>
              <w:rPr>
                <w:rFonts w:ascii="Arial" w:cs="Arial" w:eastAsia="Arial" w:hAnsi="Arial"/>
                <w:sz w:val="14"/>
                <w:szCs w:val="14"/>
                <w:color w:val="auto"/>
              </w:rPr>
              <w:t>beginning of the fiscal year of adoption. All other amendments</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investment becomes a subsidiary</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260"/>
              <w:spacing w:after="0" w:line="145" w:lineRule="exact"/>
              <w:rPr>
                <w:sz w:val="20"/>
                <w:szCs w:val="20"/>
                <w:color w:val="auto"/>
              </w:rPr>
            </w:pPr>
            <w:r>
              <w:rPr>
                <w:rFonts w:ascii="Arial" w:cs="Arial" w:eastAsia="Arial" w:hAnsi="Arial"/>
                <w:sz w:val="14"/>
                <w:szCs w:val="14"/>
                <w:color w:val="auto"/>
              </w:rPr>
              <w:t>should be applied on a prospective basis.</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4. Exception to the general methodology for calculating</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260"/>
              <w:spacing w:after="0" w:line="145" w:lineRule="exact"/>
              <w:rPr>
                <w:sz w:val="20"/>
                <w:szCs w:val="20"/>
                <w:color w:val="auto"/>
              </w:rPr>
            </w:pPr>
            <w:r>
              <w:rPr>
                <w:rFonts w:ascii="Arial" w:cs="Arial" w:eastAsia="Arial" w:hAnsi="Arial"/>
                <w:sz w:val="14"/>
                <w:szCs w:val="14"/>
                <w:color w:val="auto"/>
              </w:rPr>
              <w:t>Early adoption of the amendments in an interim period would</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income taxes in an interim period when a year-to-date loss</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260"/>
              <w:spacing w:after="0" w:line="145" w:lineRule="exact"/>
              <w:rPr>
                <w:sz w:val="20"/>
                <w:szCs w:val="20"/>
                <w:color w:val="auto"/>
              </w:rPr>
            </w:pPr>
            <w:r>
              <w:rPr>
                <w:rFonts w:ascii="Arial" w:cs="Arial" w:eastAsia="Arial" w:hAnsi="Arial"/>
                <w:sz w:val="14"/>
                <w:szCs w:val="14"/>
                <w:color w:val="auto"/>
                <w:w w:val="99"/>
              </w:rPr>
              <w:t>require recognition of any adjustments as of the beginning of the</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exceeds the anticipated loss for the year.</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260"/>
              <w:spacing w:after="0" w:line="145" w:lineRule="exact"/>
              <w:rPr>
                <w:sz w:val="20"/>
                <w:szCs w:val="20"/>
                <w:color w:val="auto"/>
              </w:rPr>
            </w:pPr>
            <w:r>
              <w:rPr>
                <w:rFonts w:ascii="Arial" w:cs="Arial" w:eastAsia="Arial" w:hAnsi="Arial"/>
                <w:sz w:val="14"/>
                <w:szCs w:val="14"/>
                <w:color w:val="auto"/>
              </w:rPr>
              <w:t>annual period that includes that interim period. Additionally, an</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260"/>
              <w:spacing w:after="0" w:line="145" w:lineRule="exact"/>
              <w:rPr>
                <w:sz w:val="20"/>
                <w:szCs w:val="20"/>
                <w:color w:val="auto"/>
              </w:rPr>
            </w:pPr>
            <w:r>
              <w:rPr>
                <w:rFonts w:ascii="Arial" w:cs="Arial" w:eastAsia="Arial" w:hAnsi="Arial"/>
                <w:sz w:val="14"/>
                <w:szCs w:val="14"/>
                <w:color w:val="auto"/>
              </w:rPr>
              <w:t>early adoption election would require adoption of all the</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The amendments also simplify the accounting for income</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260"/>
              <w:spacing w:after="0" w:line="145" w:lineRule="exact"/>
              <w:rPr>
                <w:sz w:val="20"/>
                <w:szCs w:val="20"/>
                <w:color w:val="auto"/>
              </w:rPr>
            </w:pPr>
            <w:r>
              <w:rPr>
                <w:rFonts w:ascii="Arial" w:cs="Arial" w:eastAsia="Arial" w:hAnsi="Arial"/>
                <w:sz w:val="14"/>
                <w:szCs w:val="14"/>
                <w:color w:val="auto"/>
                <w:w w:val="98"/>
              </w:rPr>
              <w:t>amendments in the same period. The Company is evaluating the</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taxes by doing the following:</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260"/>
              <w:spacing w:after="0" w:line="145" w:lineRule="exact"/>
              <w:rPr>
                <w:sz w:val="20"/>
                <w:szCs w:val="20"/>
                <w:color w:val="auto"/>
              </w:rPr>
            </w:pPr>
            <w:r>
              <w:rPr>
                <w:rFonts w:ascii="Arial" w:cs="Arial" w:eastAsia="Arial" w:hAnsi="Arial"/>
                <w:sz w:val="14"/>
                <w:szCs w:val="14"/>
                <w:color w:val="auto"/>
              </w:rPr>
              <w:t>impact that the guidance will have on its consolidated financial</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8"/>
              </w:rPr>
              <w:t>1. Requiring that an entity recognize a franchise tax (or similar</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260"/>
              <w:spacing w:after="0" w:line="145" w:lineRule="exact"/>
              <w:rPr>
                <w:sz w:val="20"/>
                <w:szCs w:val="20"/>
                <w:color w:val="auto"/>
              </w:rPr>
            </w:pPr>
            <w:r>
              <w:rPr>
                <w:rFonts w:ascii="Arial" w:cs="Arial" w:eastAsia="Arial" w:hAnsi="Arial"/>
                <w:sz w:val="14"/>
                <w:szCs w:val="14"/>
                <w:color w:val="auto"/>
              </w:rPr>
              <w:t>statements.</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tax) that is partially based on income as an income-based tax</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and account for any incremental amount incurred as a non-</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income-based tax.</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2. Requiring that an entity evaluate when a step up in the tax</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basis of goodwill should be considered part of the business</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combination in which the book goodwill was originally</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recognized and when it should be considered a separate</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transaction.</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3. Specifying that an entity is not required to allocate the</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9"/>
              </w:rPr>
              <w:t>consolidated amount of current and deferred tax expense to a</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legal entity that is not subject to tax in its separate financial</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statements. However, an entity may elect to do so (on an</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entity-by-entity basis) for a legal entity that is both not subject</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to tax and disregarded by the taxing authority.</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4. Requiring that an entity reflect the effect of an enacted</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change in tax laws or rates in the annual effective tax rate</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computation in the interim period that includes the enactment</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date.</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5. Making minor Codification improvements for income taxes</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8"/>
              </w:rPr>
              <w:t>related to employee stock ownership plans and investments in</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qualified affordable housing projects accounted for using the</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68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96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equity method.</w:t>
            </w:r>
          </w:p>
        </w:tc>
        <w:tc>
          <w:tcPr>
            <w:tcW w:w="1520" w:type="dxa"/>
            <w:vAlign w:val="bottom"/>
            <w:tcBorders>
              <w:bottom w:val="single" w:sz="8" w:color="auto"/>
              <w:right w:val="single" w:sz="8" w:color="auto"/>
            </w:tcBorders>
            <w:shd w:val="clear" w:color="auto" w:fill="CFF0FC"/>
          </w:tcPr>
          <w:p>
            <w:pPr>
              <w:spacing w:after="0"/>
              <w:rPr>
                <w:sz w:val="14"/>
                <w:szCs w:val="14"/>
                <w:color w:val="auto"/>
              </w:rPr>
            </w:pPr>
          </w:p>
        </w:tc>
        <w:tc>
          <w:tcPr>
            <w:tcW w:w="426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94" w:name="page195"/>
    <w:bookmarkEnd w:id="194"/>
    <w:p>
      <w:pPr>
        <w:spacing w:after="0"/>
        <w:tabs>
          <w:tab w:leader="none" w:pos="116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318"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16" w:lineRule="exact"/>
        <w:rPr>
          <w:sz w:val="20"/>
          <w:szCs w:val="20"/>
          <w:color w:val="auto"/>
        </w:rPr>
      </w:pPr>
    </w:p>
    <w:p>
      <w:pPr>
        <w:ind w:right="60" w:firstLine="603"/>
        <w:spacing w:after="0" w:line="251" w:lineRule="auto"/>
        <w:tabs>
          <w:tab w:leader="none" w:pos="872" w:val="left"/>
        </w:tabs>
        <w:numPr>
          <w:ilvl w:val="0"/>
          <w:numId w:val="58"/>
        </w:numPr>
        <w:rPr>
          <w:rFonts w:ascii="Arial" w:cs="Arial" w:eastAsia="Arial" w:hAnsi="Arial"/>
          <w:sz w:val="20"/>
          <w:szCs w:val="20"/>
          <w:color w:val="auto"/>
        </w:rPr>
      </w:pPr>
      <w:r>
        <w:rPr>
          <w:rFonts w:ascii="Arial" w:cs="Arial" w:eastAsia="Arial" w:hAnsi="Arial"/>
          <w:sz w:val="20"/>
          <w:szCs w:val="20"/>
          <w:color w:val="auto"/>
        </w:rPr>
        <w:t>Evaluation of disclosure controls and procedures. Based upon their evaluation of the effectiveness of M&amp;T’s disclosure controls and procedures (as defined in Exchange Act rules 13a-15(e) and 15d-15(e)), René F. Jones, Chairman of the Board and Chief Executive Officer, and Darren J. King, Executive Vice President and Chief Financial Officer, concluded that M&amp;T’s disclosure controls and procedures were effective as of December 31, 2019.</w:t>
      </w:r>
    </w:p>
    <w:p>
      <w:pPr>
        <w:spacing w:after="0" w:line="1" w:lineRule="exact"/>
        <w:rPr>
          <w:rFonts w:ascii="Arial" w:cs="Arial" w:eastAsia="Arial" w:hAnsi="Arial"/>
          <w:sz w:val="20"/>
          <w:szCs w:val="20"/>
          <w:color w:val="auto"/>
        </w:rPr>
      </w:pPr>
    </w:p>
    <w:p>
      <w:pPr>
        <w:ind w:right="160" w:firstLine="603"/>
        <w:spacing w:after="0" w:line="246" w:lineRule="auto"/>
        <w:tabs>
          <w:tab w:leader="none" w:pos="883" w:val="left"/>
        </w:tabs>
        <w:numPr>
          <w:ilvl w:val="0"/>
          <w:numId w:val="58"/>
        </w:numPr>
        <w:rPr>
          <w:rFonts w:ascii="Arial" w:cs="Arial" w:eastAsia="Arial" w:hAnsi="Arial"/>
          <w:sz w:val="20"/>
          <w:szCs w:val="20"/>
          <w:color w:val="auto"/>
        </w:rPr>
      </w:pPr>
      <w:r>
        <w:rPr>
          <w:rFonts w:ascii="Arial" w:cs="Arial" w:eastAsia="Arial" w:hAnsi="Arial"/>
          <w:sz w:val="20"/>
          <w:szCs w:val="20"/>
          <w:color w:val="auto"/>
        </w:rPr>
        <w:t>Management’s annual report on internal control over financial reporting. Included under the heading “Report on Internal Control Over Financial Reporting” at Item 8 of this Annual Report on Form 10-K.</w:t>
      </w:r>
    </w:p>
    <w:p>
      <w:pPr>
        <w:spacing w:after="0" w:line="1" w:lineRule="exact"/>
        <w:rPr>
          <w:rFonts w:ascii="Arial" w:cs="Arial" w:eastAsia="Arial" w:hAnsi="Arial"/>
          <w:sz w:val="20"/>
          <w:szCs w:val="20"/>
          <w:color w:val="auto"/>
        </w:rPr>
      </w:pPr>
    </w:p>
    <w:p>
      <w:pPr>
        <w:ind w:right="160" w:firstLine="603"/>
        <w:spacing w:after="0" w:line="246" w:lineRule="auto"/>
        <w:tabs>
          <w:tab w:leader="none" w:pos="872" w:val="left"/>
        </w:tabs>
        <w:numPr>
          <w:ilvl w:val="0"/>
          <w:numId w:val="58"/>
        </w:numPr>
        <w:rPr>
          <w:rFonts w:ascii="Arial" w:cs="Arial" w:eastAsia="Arial" w:hAnsi="Arial"/>
          <w:sz w:val="20"/>
          <w:szCs w:val="20"/>
          <w:color w:val="auto"/>
        </w:rPr>
      </w:pPr>
      <w:r>
        <w:rPr>
          <w:rFonts w:ascii="Arial" w:cs="Arial" w:eastAsia="Arial" w:hAnsi="Arial"/>
          <w:sz w:val="20"/>
          <w:szCs w:val="20"/>
          <w:color w:val="auto"/>
        </w:rPr>
        <w:t>Attestation report of the registered public accounting firm. Included under the heading “Report of Independent Registered Public Accounting Firm” at Item 8 of this Annual Report on Form 10-K.</w:t>
      </w:r>
    </w:p>
    <w:p>
      <w:pPr>
        <w:spacing w:after="0" w:line="1" w:lineRule="exact"/>
        <w:rPr>
          <w:rFonts w:ascii="Arial" w:cs="Arial" w:eastAsia="Arial" w:hAnsi="Arial"/>
          <w:sz w:val="20"/>
          <w:szCs w:val="20"/>
          <w:color w:val="auto"/>
        </w:rPr>
      </w:pPr>
    </w:p>
    <w:p>
      <w:pPr>
        <w:ind w:right="340" w:firstLine="603"/>
        <w:spacing w:after="0" w:line="249" w:lineRule="auto"/>
        <w:tabs>
          <w:tab w:leader="none" w:pos="883" w:val="left"/>
        </w:tabs>
        <w:numPr>
          <w:ilvl w:val="0"/>
          <w:numId w:val="58"/>
        </w:numPr>
        <w:rPr>
          <w:rFonts w:ascii="Arial" w:cs="Arial" w:eastAsia="Arial" w:hAnsi="Arial"/>
          <w:sz w:val="20"/>
          <w:szCs w:val="20"/>
          <w:color w:val="auto"/>
        </w:rPr>
      </w:pPr>
      <w:r>
        <w:rPr>
          <w:rFonts w:ascii="Arial" w:cs="Arial" w:eastAsia="Arial" w:hAnsi="Arial"/>
          <w:sz w:val="20"/>
          <w:szCs w:val="20"/>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December 31, 2019 that have materially affected, or are reasonably likely to materially affect, M&amp;T’s internal control over financial reporting.</w:t>
      </w:r>
    </w:p>
    <w:p>
      <w:pPr>
        <w:spacing w:after="0" w:line="283"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18"/>
          <w:szCs w:val="18"/>
          <w:b w:val="1"/>
          <w:bCs w:val="1"/>
          <w:i w:val="1"/>
          <w:iCs w:val="1"/>
          <w:color w:val="auto"/>
        </w:rPr>
        <w:t>Other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318" w:lineRule="exact"/>
        <w:rPr>
          <w:sz w:val="20"/>
          <w:szCs w:val="20"/>
          <w:color w:val="auto"/>
        </w:rPr>
      </w:pPr>
    </w:p>
    <w:p>
      <w:pPr>
        <w:ind w:left="5300"/>
        <w:spacing w:after="0"/>
        <w:rPr>
          <w:sz w:val="20"/>
          <w:szCs w:val="20"/>
          <w:color w:val="auto"/>
        </w:rPr>
      </w:pPr>
      <w:r>
        <w:rPr>
          <w:rFonts w:ascii="Arial" w:cs="Arial" w:eastAsia="Arial" w:hAnsi="Arial"/>
          <w:sz w:val="20"/>
          <w:szCs w:val="20"/>
          <w:b w:val="1"/>
          <w:bCs w:val="1"/>
          <w:color w:val="auto"/>
        </w:rPr>
        <w:t>PART III</w:t>
      </w:r>
    </w:p>
    <w:p>
      <w:pPr>
        <w:spacing w:after="0" w:line="217"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16" w:lineRule="exact"/>
        <w:rPr>
          <w:sz w:val="20"/>
          <w:szCs w:val="20"/>
          <w:color w:val="auto"/>
        </w:rPr>
      </w:pPr>
    </w:p>
    <w:p>
      <w:pPr>
        <w:ind w:right="60"/>
        <w:spacing w:after="0" w:line="249" w:lineRule="auto"/>
        <w:rPr>
          <w:sz w:val="20"/>
          <w:szCs w:val="20"/>
          <w:color w:val="auto"/>
        </w:rPr>
      </w:pPr>
      <w:r>
        <w:rPr>
          <w:rFonts w:ascii="Arial" w:cs="Arial" w:eastAsia="Arial" w:hAnsi="Arial"/>
          <w:sz w:val="20"/>
          <w:szCs w:val="20"/>
          <w:color w:val="auto"/>
        </w:rPr>
        <w:t>The information required to be furnished pursuant to Items 401, 405, 406 and 407(c)(3), (d)(4) and (d)(5) of Regulation S-K will be included in M&amp;T’s Proxy Statement for the 2020 Annual Meeting of Shareholders, to be filed with the SEC pursuant to Regulation 14A on or about March 9, 2020 (the “2020 Proxy Statement”). The information concerning M&amp;T’s directors will appear under the caption “NOMINEES FOR DIRECTOR” in the 2020 Proxy Statement. The information concerning M&amp;T’s Code of Ethics for CEO and Senior Financial Officers will appear under the caption “CORPORATE GOVERNANCE OF M&amp;T BANK CORPORATION” in the 2020 Proxy Statement. The information regarding M&amp;T’s Audit Committee will appear under the caption “CORPORATE GOVERNANCE OF M&amp;T BANK CORPORATION.” Such information is incorporated herein by reference.</w:t>
      </w:r>
    </w:p>
    <w:p>
      <w:pPr>
        <w:spacing w:after="0" w:line="3" w:lineRule="exact"/>
        <w:rPr>
          <w:sz w:val="20"/>
          <w:szCs w:val="20"/>
          <w:color w:val="auto"/>
        </w:rPr>
      </w:pPr>
    </w:p>
    <w:p>
      <w:pPr>
        <w:ind w:firstLine="598"/>
        <w:spacing w:after="0" w:line="256" w:lineRule="auto"/>
        <w:rPr>
          <w:sz w:val="20"/>
          <w:szCs w:val="20"/>
          <w:color w:val="auto"/>
        </w:rPr>
      </w:pPr>
      <w:r>
        <w:rPr>
          <w:rFonts w:ascii="Arial" w:cs="Arial" w:eastAsia="Arial" w:hAnsi="Arial"/>
          <w:sz w:val="20"/>
          <w:szCs w:val="20"/>
          <w:color w:val="auto"/>
        </w:rPr>
        <w:t>The information concerning M&amp;T’s executive officers is presented under the caption “Executive Officers of the Registrant” contained in Part I of this Annual Report on Form 10-K.</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95" w:name="page196"/>
    <w:bookmarkEnd w:id="195"/>
    <w:p>
      <w:pPr>
        <w:spacing w:after="0"/>
        <w:tabs>
          <w:tab w:leader="none" w:pos="116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16" w:lineRule="exact"/>
        <w:rPr>
          <w:sz w:val="20"/>
          <w:szCs w:val="20"/>
          <w:color w:val="auto"/>
        </w:rPr>
      </w:pPr>
    </w:p>
    <w:p>
      <w:pPr>
        <w:ind w:right="220"/>
        <w:spacing w:after="0" w:line="253" w:lineRule="auto"/>
        <w:rPr>
          <w:sz w:val="20"/>
          <w:szCs w:val="20"/>
          <w:color w:val="auto"/>
        </w:rPr>
      </w:pPr>
      <w:r>
        <w:rPr>
          <w:rFonts w:ascii="Arial" w:cs="Arial" w:eastAsia="Arial" w:hAnsi="Arial"/>
          <w:sz w:val="20"/>
          <w:szCs w:val="20"/>
          <w:color w:val="auto"/>
        </w:rPr>
        <w:t>The information required to be furnished pursuant to Items 402 and 407 of Regulation S-K will appear under the captions “COMPENSATION DISCUSSION AND ANALYSIS,” “EXECUTIVE COMPENSATION,” “DIRECTOR COMPENSATION,” “NOMINATION, COMPENSATION AND GOVERNANCE COMMITTEE INTERLOCKS AND INSIDER PARTICIPATION,” and “NOMINATION, COMPENSATION AND GOVERNANCE COMMITTEE REPORT” in the 2020 Proxy Statement. Such information is incorporated herein by reference.</w:t>
      </w:r>
    </w:p>
    <w:p>
      <w:pPr>
        <w:spacing w:after="0" w:line="282"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16" w:lineRule="exact"/>
        <w:rPr>
          <w:sz w:val="20"/>
          <w:szCs w:val="20"/>
          <w:color w:val="auto"/>
        </w:rPr>
      </w:pPr>
    </w:p>
    <w:p>
      <w:pPr>
        <w:ind w:right="460"/>
        <w:spacing w:after="0" w:line="256" w:lineRule="auto"/>
        <w:rPr>
          <w:sz w:val="20"/>
          <w:szCs w:val="20"/>
          <w:color w:val="auto"/>
        </w:rPr>
      </w:pPr>
      <w:r>
        <w:rPr>
          <w:rFonts w:ascii="Arial" w:cs="Arial" w:eastAsia="Arial" w:hAnsi="Arial"/>
          <w:sz w:val="20"/>
          <w:szCs w:val="20"/>
          <w:color w:val="auto"/>
        </w:rPr>
        <w:t>The information required to be furnished pursuant to Item 403 of Regulation S-K will appear under the caption “STOCK OWNERSHIP INFORMATION” in the 2020 Proxy Statement. Such information is incorporated herein by reference.</w:t>
      </w:r>
    </w:p>
    <w:p>
      <w:pPr>
        <w:ind w:right="140" w:firstLine="598"/>
        <w:spacing w:after="0" w:line="251" w:lineRule="auto"/>
        <w:rPr>
          <w:sz w:val="20"/>
          <w:szCs w:val="20"/>
          <w:color w:val="auto"/>
        </w:rPr>
      </w:pPr>
      <w:r>
        <w:rPr>
          <w:rFonts w:ascii="Arial" w:cs="Arial" w:eastAsia="Arial" w:hAnsi="Arial"/>
          <w:sz w:val="20"/>
          <w:szCs w:val="20"/>
          <w:color w:val="auto"/>
        </w:rPr>
        <w:t>The information required to be furnished pursuant to Item 201(d) concerning equity compensation plans is presented under the caption “Market for Registrant’s Common Equity, Related Stockholder Matters and Issuer Purchases of Equity Securities” contained in Part II, Item 5 of this Annual Report on Form 10-K.</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13. </w:t>
      </w:r>
      <w:r>
        <w:rPr>
          <w:rFonts w:ascii="Arial" w:cs="Arial" w:eastAsia="Arial" w:hAnsi="Arial"/>
          <w:sz w:val="20"/>
          <w:szCs w:val="20"/>
          <w:b w:val="1"/>
          <w:bCs w:val="1"/>
          <w:i w:val="1"/>
          <w:iCs w:val="1"/>
          <w:color w:val="auto"/>
        </w:rPr>
        <w:t>Certain Relationships and Related Transactions, and Director Independence.</w:t>
      </w:r>
    </w:p>
    <w:p>
      <w:pPr>
        <w:spacing w:after="0" w:line="116"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auto"/>
        </w:rPr>
        <w:t>The information required to be furnished pursuant to Items 404 and 407 of Regulation S-K will appear under the caption “TRANSACTIONS WITH DIRECTORS AND EXECUTIVE OFFICERS” and “CORPORATE GOVERNANCE OF M&amp;T BANK CORPORATION” in the 2020 Proxy Statement. Such information is incorporated herein by reference.</w:t>
      </w:r>
    </w:p>
    <w:p>
      <w:pPr>
        <w:spacing w:after="0" w:line="271"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116" w:lineRule="exact"/>
        <w:rPr>
          <w:sz w:val="20"/>
          <w:szCs w:val="20"/>
          <w:color w:val="auto"/>
        </w:rPr>
      </w:pPr>
    </w:p>
    <w:p>
      <w:pPr>
        <w:ind w:right="180"/>
        <w:spacing w:after="0" w:line="256" w:lineRule="auto"/>
        <w:rPr>
          <w:sz w:val="20"/>
          <w:szCs w:val="20"/>
          <w:color w:val="auto"/>
        </w:rPr>
      </w:pPr>
      <w:r>
        <w:rPr>
          <w:rFonts w:ascii="Arial" w:cs="Arial" w:eastAsia="Arial" w:hAnsi="Arial"/>
          <w:sz w:val="20"/>
          <w:szCs w:val="20"/>
          <w:color w:val="auto"/>
        </w:rPr>
        <w:t>The information required to be furnished by Item 9 of Schedule 14A will appear under the caption “PROPOSAL TO RATIFY THE APPOINTMENT OF PRICEWATERHOUSECOOPERS LLP AS THE INDEPENDENT REGISTERED PUBLIC ACCOUNTING FIRM OF M&amp;T BANK CORPORATION FOR THE YEAR ENDING DECEMBER 31, 2020” in the 2020 Proxy Statement. Such information is incorporated herein by reference.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IV</w:t>
      </w:r>
    </w:p>
    <w:p>
      <w:pPr>
        <w:spacing w:after="0" w:line="217"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116" w:lineRule="exact"/>
        <w:rPr>
          <w:sz w:val="20"/>
          <w:szCs w:val="20"/>
          <w:color w:val="auto"/>
        </w:rPr>
      </w:pPr>
    </w:p>
    <w:p>
      <w:pPr>
        <w:ind w:right="100" w:firstLine="603"/>
        <w:spacing w:after="0" w:line="253" w:lineRule="auto"/>
        <w:tabs>
          <w:tab w:leader="none" w:pos="872" w:val="left"/>
        </w:tabs>
        <w:numPr>
          <w:ilvl w:val="0"/>
          <w:numId w:val="59"/>
        </w:numPr>
        <w:rPr>
          <w:rFonts w:ascii="Arial" w:cs="Arial" w:eastAsia="Arial" w:hAnsi="Arial"/>
          <w:sz w:val="20"/>
          <w:szCs w:val="20"/>
          <w:color w:val="auto"/>
        </w:rPr>
      </w:pPr>
      <w:r>
        <w:rPr>
          <w:rFonts w:ascii="Arial" w:cs="Arial" w:eastAsia="Arial" w:hAnsi="Arial"/>
          <w:sz w:val="20"/>
          <w:szCs w:val="20"/>
          <w:color w:val="auto"/>
        </w:rPr>
        <w:t>Financial statements and financial statement schedules filed as part of this Annual Report on Form 10-K. See Part II, Item 8. “Financial Statements and Supplementary Data.” Financial statement schedules are not required or are inapplicable, and therefore have been omitted.</w:t>
      </w:r>
    </w:p>
    <w:p>
      <w:pPr>
        <w:ind w:right="780" w:firstLine="603"/>
        <w:spacing w:after="0" w:line="256" w:lineRule="auto"/>
        <w:tabs>
          <w:tab w:leader="none" w:pos="883" w:val="left"/>
        </w:tabs>
        <w:numPr>
          <w:ilvl w:val="0"/>
          <w:numId w:val="59"/>
        </w:numPr>
        <w:rPr>
          <w:rFonts w:ascii="Arial" w:cs="Arial" w:eastAsia="Arial" w:hAnsi="Arial"/>
          <w:sz w:val="20"/>
          <w:szCs w:val="20"/>
          <w:color w:val="auto"/>
        </w:rPr>
      </w:pPr>
      <w:r>
        <w:rPr>
          <w:rFonts w:ascii="Arial" w:cs="Arial" w:eastAsia="Arial" w:hAnsi="Arial"/>
          <w:sz w:val="20"/>
          <w:szCs w:val="20"/>
          <w:color w:val="auto"/>
        </w:rPr>
        <w:t>Exhibits required by Item 601 of Regulation S-K. The exhibits listed have been previously filed, are filed herewith or are incorporated herein by reference to other filings.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jc w:val="right"/>
              <w:ind w:right="919"/>
              <w:spacing w:after="0"/>
              <w:rPr>
                <w:sz w:val="20"/>
                <w:szCs w:val="20"/>
                <w:color w:val="auto"/>
              </w:rPr>
            </w:pPr>
            <w:r>
              <w:rPr>
                <w:rFonts w:ascii="Arial" w:cs="Arial" w:eastAsia="Arial" w:hAnsi="Arial"/>
                <w:sz w:val="20"/>
                <w:szCs w:val="20"/>
                <w:color w:val="auto"/>
              </w:rPr>
              <w:t>3.1</w:t>
            </w:r>
          </w:p>
        </w:tc>
        <w:tc>
          <w:tcPr>
            <w:tcW w:w="10020" w:type="dxa"/>
            <w:vAlign w:val="bottom"/>
            <w:gridSpan w:val="3"/>
          </w:tcPr>
          <w:p>
            <w:pPr>
              <w:spacing w:after="0"/>
              <w:rPr>
                <w:rFonts w:ascii="Arial" w:cs="Arial" w:eastAsia="Arial" w:hAnsi="Arial"/>
                <w:sz w:val="20"/>
                <w:szCs w:val="20"/>
                <w:color w:val="0000EE"/>
                <w:w w:val="95"/>
              </w:rPr>
            </w:pPr>
            <w:hyperlink r:id="rId264">
              <w:r>
                <w:rPr>
                  <w:rFonts w:ascii="Arial" w:cs="Arial" w:eastAsia="Arial" w:hAnsi="Arial"/>
                  <w:sz w:val="20"/>
                  <w:szCs w:val="20"/>
                  <w:color w:val="0000EE"/>
                  <w:w w:val="95"/>
                </w:rPr>
                <w:t>Restated Certificate of Incorporation of M&amp;T Bank Corporation dated November 18, 2010. Incorporated by reference to</w:t>
              </w:r>
            </w:hyperlink>
          </w:p>
        </w:tc>
      </w:tr>
      <w:tr>
        <w:trPr>
          <w:trHeight w:val="217"/>
        </w:trPr>
        <w:tc>
          <w:tcPr>
            <w:tcW w:w="1400" w:type="dxa"/>
            <w:vAlign w:val="bottom"/>
          </w:tcPr>
          <w:p>
            <w:pPr>
              <w:spacing w:after="0"/>
              <w:rPr>
                <w:sz w:val="18"/>
                <w:szCs w:val="18"/>
                <w:color w:val="auto"/>
              </w:rPr>
            </w:pPr>
          </w:p>
        </w:tc>
        <w:tc>
          <w:tcPr>
            <w:tcW w:w="9700" w:type="dxa"/>
            <w:vAlign w:val="bottom"/>
            <w:tcBorders>
              <w:top w:val="single" w:sz="8" w:color="0000EE"/>
            </w:tcBorders>
            <w:gridSpan w:val="2"/>
          </w:tcPr>
          <w:p>
            <w:pPr>
              <w:spacing w:after="0" w:line="216" w:lineRule="exact"/>
              <w:rPr>
                <w:rFonts w:ascii="Arial" w:cs="Arial" w:eastAsia="Arial" w:hAnsi="Arial"/>
                <w:sz w:val="20"/>
                <w:szCs w:val="20"/>
                <w:color w:val="0000EE"/>
              </w:rPr>
            </w:pPr>
            <w:hyperlink r:id="rId264">
              <w:r>
                <w:rPr>
                  <w:rFonts w:ascii="Arial" w:cs="Arial" w:eastAsia="Arial" w:hAnsi="Arial"/>
                  <w:sz w:val="20"/>
                  <w:szCs w:val="20"/>
                  <w:color w:val="0000EE"/>
                </w:rPr>
                <w:t>Exhibit 3.1 to the Form 8-K dated November 19, 2010 (File No. 1-9861).</w:t>
              </w:r>
            </w:hyperlink>
          </w:p>
        </w:tc>
        <w:tc>
          <w:tcPr>
            <w:tcW w:w="320" w:type="dxa"/>
            <w:vAlign w:val="bottom"/>
          </w:tcPr>
          <w:p>
            <w:pPr>
              <w:spacing w:after="0"/>
              <w:rPr>
                <w:sz w:val="18"/>
                <w:szCs w:val="18"/>
                <w:color w:val="auto"/>
              </w:rPr>
            </w:pPr>
          </w:p>
        </w:tc>
      </w:tr>
      <w:tr>
        <w:trPr>
          <w:trHeight w:val="439"/>
        </w:trPr>
        <w:tc>
          <w:tcPr>
            <w:tcW w:w="1400" w:type="dxa"/>
            <w:vAlign w:val="bottom"/>
          </w:tcPr>
          <w:p>
            <w:pPr>
              <w:spacing w:after="0"/>
              <w:rPr>
                <w:sz w:val="24"/>
                <w:szCs w:val="24"/>
                <w:color w:val="auto"/>
              </w:rPr>
            </w:pPr>
          </w:p>
        </w:tc>
        <w:tc>
          <w:tcPr>
            <w:tcW w:w="5900" w:type="dxa"/>
            <w:vAlign w:val="bottom"/>
            <w:tcBorders>
              <w:top w:val="single" w:sz="8" w:color="0000EE"/>
            </w:tcBorders>
          </w:tcPr>
          <w:p>
            <w:pPr>
              <w:jc w:val="right"/>
              <w:ind w:right="1364"/>
              <w:spacing w:after="0"/>
              <w:rPr>
                <w:sz w:val="20"/>
                <w:szCs w:val="20"/>
                <w:color w:val="auto"/>
              </w:rPr>
            </w:pPr>
            <w:r>
              <w:rPr>
                <w:rFonts w:ascii="Arial" w:cs="Arial" w:eastAsia="Arial" w:hAnsi="Arial"/>
                <w:sz w:val="18"/>
                <w:szCs w:val="18"/>
                <w:color w:val="auto"/>
              </w:rPr>
              <w:t>196</w:t>
            </w:r>
          </w:p>
        </w:tc>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2"/>
        </w:trPr>
        <w:tc>
          <w:tcPr>
            <w:tcW w:w="1400" w:type="dxa"/>
            <w:vAlign w:val="bottom"/>
            <w:tcBorders>
              <w:bottom w:val="single" w:sz="8" w:color="9A9A9A"/>
            </w:tcBorders>
          </w:tcPr>
          <w:p>
            <w:pPr>
              <w:spacing w:after="0"/>
              <w:rPr>
                <w:sz w:val="9"/>
                <w:szCs w:val="9"/>
                <w:color w:val="auto"/>
              </w:rPr>
            </w:pPr>
          </w:p>
        </w:tc>
        <w:tc>
          <w:tcPr>
            <w:tcW w:w="5900" w:type="dxa"/>
            <w:vAlign w:val="bottom"/>
            <w:tcBorders>
              <w:bottom w:val="single" w:sz="8" w:color="9A9A9A"/>
            </w:tcBorders>
          </w:tcPr>
          <w:p>
            <w:pPr>
              <w:spacing w:after="0"/>
              <w:rPr>
                <w:sz w:val="9"/>
                <w:szCs w:val="9"/>
                <w:color w:val="auto"/>
              </w:rPr>
            </w:pPr>
          </w:p>
        </w:tc>
        <w:tc>
          <w:tcPr>
            <w:tcW w:w="38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1199" w:right="23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30"/>
        </w:trPr>
        <w:tc>
          <w:tcPr>
            <w:tcW w:w="1400" w:type="dxa"/>
            <w:vAlign w:val="bottom"/>
          </w:tcPr>
          <w:p>
            <w:pPr>
              <w:ind w:left="140"/>
              <w:spacing w:after="0"/>
              <w:rPr>
                <w:sz w:val="20"/>
                <w:szCs w:val="20"/>
                <w:color w:val="auto"/>
              </w:rPr>
            </w:pPr>
            <w:r>
              <w:rPr>
                <w:rFonts w:ascii="Arial" w:cs="Arial" w:eastAsia="Arial" w:hAnsi="Arial"/>
                <w:sz w:val="20"/>
                <w:szCs w:val="20"/>
                <w:color w:val="auto"/>
              </w:rPr>
              <w:t>3.2</w:t>
            </w:r>
          </w:p>
        </w:tc>
        <w:tc>
          <w:tcPr>
            <w:tcW w:w="10020" w:type="dxa"/>
            <w:vAlign w:val="bottom"/>
            <w:gridSpan w:val="25"/>
          </w:tcPr>
          <w:p>
            <w:pPr>
              <w:spacing w:after="0"/>
              <w:rPr>
                <w:rFonts w:ascii="Arial" w:cs="Arial" w:eastAsia="Arial" w:hAnsi="Arial"/>
                <w:sz w:val="20"/>
                <w:szCs w:val="20"/>
                <w:color w:val="0000EE"/>
                <w:w w:val="94"/>
              </w:rPr>
            </w:pPr>
            <w:hyperlink r:id="rId267">
              <w:r>
                <w:rPr>
                  <w:rFonts w:ascii="Arial" w:cs="Arial" w:eastAsia="Arial" w:hAnsi="Arial"/>
                  <w:sz w:val="20"/>
                  <w:szCs w:val="20"/>
                  <w:color w:val="0000EE"/>
                  <w:w w:val="94"/>
                </w:rPr>
                <w:t>Amended and Restated Bylaws of M&amp;T Bank Corporation, effective April 17, 2018. Incorporated by reference to Exhibit</w:t>
              </w:r>
            </w:hyperlink>
          </w:p>
        </w:tc>
      </w:tr>
      <w:tr>
        <w:trPr>
          <w:trHeight w:val="217"/>
        </w:trPr>
        <w:tc>
          <w:tcPr>
            <w:tcW w:w="1400" w:type="dxa"/>
            <w:vAlign w:val="bottom"/>
          </w:tcPr>
          <w:p>
            <w:pPr>
              <w:spacing w:after="0"/>
              <w:rPr>
                <w:sz w:val="18"/>
                <w:szCs w:val="18"/>
                <w:color w:val="auto"/>
              </w:rPr>
            </w:pPr>
          </w:p>
        </w:tc>
        <w:tc>
          <w:tcPr>
            <w:tcW w:w="4840" w:type="dxa"/>
            <w:vAlign w:val="bottom"/>
            <w:tcBorders>
              <w:top w:val="single" w:sz="8" w:color="0000EE"/>
              <w:bottom w:val="single" w:sz="8" w:color="0000EE"/>
            </w:tcBorders>
            <w:gridSpan w:val="6"/>
          </w:tcPr>
          <w:p>
            <w:pPr>
              <w:spacing w:after="0" w:line="216" w:lineRule="exact"/>
              <w:rPr>
                <w:rFonts w:ascii="Arial" w:cs="Arial" w:eastAsia="Arial" w:hAnsi="Arial"/>
                <w:sz w:val="20"/>
                <w:szCs w:val="20"/>
                <w:color w:val="0000EE"/>
                <w:w w:val="93"/>
              </w:rPr>
            </w:pPr>
            <w:hyperlink r:id="rId267">
              <w:r>
                <w:rPr>
                  <w:rFonts w:ascii="Arial" w:cs="Arial" w:eastAsia="Arial" w:hAnsi="Arial"/>
                  <w:sz w:val="20"/>
                  <w:szCs w:val="20"/>
                  <w:color w:val="0000EE"/>
                  <w:w w:val="93"/>
                </w:rPr>
                <w:t>3.</w:t>
              </w:r>
              <w:r>
                <w:rPr>
                  <w:rFonts w:ascii="Arial" w:cs="Arial" w:eastAsia="Arial" w:hAnsi="Arial"/>
                  <w:sz w:val="20"/>
                  <w:szCs w:val="20"/>
                  <w:u w:val="single" w:color="auto"/>
                  <w:color w:val="0000EE"/>
                  <w:w w:val="93"/>
                </w:rPr>
                <w:t>2</w:t>
              </w:r>
              <w:r>
                <w:rPr>
                  <w:rFonts w:ascii="Arial" w:cs="Arial" w:eastAsia="Arial" w:hAnsi="Arial"/>
                  <w:sz w:val="20"/>
                  <w:szCs w:val="20"/>
                  <w:color w:val="0000EE"/>
                  <w:w w:val="93"/>
                </w:rPr>
                <w:t xml:space="preserve"> to the Form 8-K dated April 20, 2018 (File No. 1-9861).</w:t>
              </w:r>
            </w:hyperlink>
          </w:p>
        </w:tc>
        <w:tc>
          <w:tcPr>
            <w:tcW w:w="4960" w:type="dxa"/>
            <w:vAlign w:val="bottom"/>
            <w:tcBorders>
              <w:top w:val="single" w:sz="8" w:color="0000EE"/>
            </w:tcBorders>
            <w:gridSpan w:val="13"/>
          </w:tcPr>
          <w:p>
            <w:pPr>
              <w:spacing w:after="0"/>
              <w:rPr>
                <w:sz w:val="18"/>
                <w:szCs w:val="18"/>
                <w:color w:val="auto"/>
              </w:rPr>
            </w:pPr>
          </w:p>
        </w:tc>
        <w:tc>
          <w:tcPr>
            <w:tcW w:w="220" w:type="dxa"/>
            <w:vAlign w:val="bottom"/>
            <w:gridSpan w:val="6"/>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3.3</w:t>
            </w:r>
          </w:p>
        </w:tc>
        <w:tc>
          <w:tcPr>
            <w:tcW w:w="9500" w:type="dxa"/>
            <w:vAlign w:val="bottom"/>
            <w:tcBorders>
              <w:bottom w:val="single" w:sz="8" w:color="0000EE"/>
            </w:tcBorders>
            <w:gridSpan w:val="13"/>
          </w:tcPr>
          <w:p>
            <w:pPr>
              <w:spacing w:after="0" w:line="216" w:lineRule="exact"/>
              <w:rPr>
                <w:rFonts w:ascii="Arial" w:cs="Arial" w:eastAsia="Arial" w:hAnsi="Arial"/>
                <w:sz w:val="20"/>
                <w:szCs w:val="20"/>
                <w:color w:val="0000EE"/>
                <w:w w:val="92"/>
              </w:rPr>
            </w:pPr>
            <w:hyperlink r:id="rId268">
              <w:r>
                <w:rPr>
                  <w:rFonts w:ascii="Arial" w:cs="Arial" w:eastAsia="Arial" w:hAnsi="Arial"/>
                  <w:sz w:val="20"/>
                  <w:szCs w:val="20"/>
                  <w:color w:val="0000EE"/>
                  <w:w w:val="92"/>
                </w:rPr>
                <w:t>Certificate of Amendment to Certificate of Incorporation with respect to Perpetual 6.875% Non-Cumulative Preferred</w:t>
              </w:r>
            </w:hyperlink>
          </w:p>
        </w:tc>
        <w:tc>
          <w:tcPr>
            <w:tcW w:w="520" w:type="dxa"/>
            <w:vAlign w:val="bottom"/>
            <w:gridSpan w:val="12"/>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9980" w:type="dxa"/>
            <w:vAlign w:val="bottom"/>
            <w:tcBorders>
              <w:bottom w:val="single" w:sz="8" w:color="0000EE"/>
            </w:tcBorders>
            <w:gridSpan w:val="24"/>
          </w:tcPr>
          <w:p>
            <w:pPr>
              <w:spacing w:after="0" w:line="216" w:lineRule="exact"/>
              <w:rPr>
                <w:rFonts w:ascii="Arial" w:cs="Arial" w:eastAsia="Arial" w:hAnsi="Arial"/>
                <w:sz w:val="20"/>
                <w:szCs w:val="20"/>
                <w:color w:val="0000EE"/>
                <w:w w:val="92"/>
              </w:rPr>
            </w:pPr>
            <w:hyperlink r:id="rId268">
              <w:r>
                <w:rPr>
                  <w:rFonts w:ascii="Arial" w:cs="Arial" w:eastAsia="Arial" w:hAnsi="Arial"/>
                  <w:sz w:val="20"/>
                  <w:szCs w:val="20"/>
                  <w:color w:val="0000EE"/>
                  <w:w w:val="92"/>
                </w:rPr>
                <w:t>Stock, Series D, dated May 26, 2011. Incorporated by reference to Exhibit 3.1 of M&amp;T Bank Corporation’s Form 8-K dated</w:t>
              </w:r>
            </w:hyperlink>
          </w:p>
        </w:tc>
        <w:tc>
          <w:tcPr>
            <w:tcW w:w="40" w:type="dxa"/>
            <w:vAlign w:val="bottom"/>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0020" w:type="dxa"/>
            <w:vAlign w:val="bottom"/>
            <w:gridSpan w:val="25"/>
          </w:tcPr>
          <w:p>
            <w:pPr>
              <w:spacing w:after="0" w:line="216" w:lineRule="exact"/>
              <w:rPr>
                <w:rFonts w:ascii="Arial" w:cs="Arial" w:eastAsia="Arial" w:hAnsi="Arial"/>
                <w:sz w:val="20"/>
                <w:szCs w:val="20"/>
                <w:color w:val="0000EE"/>
              </w:rPr>
            </w:pPr>
            <w:hyperlink r:id="rId268">
              <w:r>
                <w:rPr>
                  <w:rFonts w:ascii="Arial" w:cs="Arial" w:eastAsia="Arial" w:hAnsi="Arial"/>
                  <w:sz w:val="20"/>
                  <w:szCs w:val="20"/>
                  <w:color w:val="0000EE"/>
                </w:rPr>
                <w:t>May 26, 2011 (File No. 1-9861).</w:t>
              </w:r>
            </w:hyperlink>
          </w:p>
        </w:tc>
      </w:tr>
      <w:tr>
        <w:trPr>
          <w:trHeight w:val="20"/>
        </w:trPr>
        <w:tc>
          <w:tcPr>
            <w:tcW w:w="140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3.4</w:t>
            </w:r>
          </w:p>
        </w:tc>
        <w:tc>
          <w:tcPr>
            <w:tcW w:w="10020" w:type="dxa"/>
            <w:vAlign w:val="bottom"/>
            <w:gridSpan w:val="25"/>
          </w:tcPr>
          <w:p>
            <w:pPr>
              <w:spacing w:after="0" w:line="216" w:lineRule="exact"/>
              <w:rPr>
                <w:rFonts w:ascii="Arial" w:cs="Arial" w:eastAsia="Arial" w:hAnsi="Arial"/>
                <w:sz w:val="20"/>
                <w:szCs w:val="20"/>
                <w:color w:val="0000EE"/>
                <w:w w:val="99"/>
              </w:rPr>
            </w:pPr>
            <w:hyperlink r:id="rId269">
              <w:r>
                <w:rPr>
                  <w:rFonts w:ascii="Arial" w:cs="Arial" w:eastAsia="Arial" w:hAnsi="Arial"/>
                  <w:sz w:val="20"/>
                  <w:szCs w:val="20"/>
                  <w:color w:val="0000EE"/>
                  <w:w w:val="99"/>
                </w:rPr>
                <w:t>Certificate of Amendment to Restated Certificate of Incorporation of M&amp;T Bank Corporation, dated April 19, 2013.</w:t>
              </w:r>
            </w:hyperlink>
          </w:p>
        </w:tc>
      </w:tr>
      <w:tr>
        <w:trPr>
          <w:trHeight w:val="217"/>
        </w:trPr>
        <w:tc>
          <w:tcPr>
            <w:tcW w:w="1400" w:type="dxa"/>
            <w:vAlign w:val="bottom"/>
          </w:tcPr>
          <w:p>
            <w:pPr>
              <w:spacing w:after="0"/>
              <w:rPr>
                <w:sz w:val="18"/>
                <w:szCs w:val="18"/>
                <w:color w:val="auto"/>
              </w:rPr>
            </w:pPr>
          </w:p>
        </w:tc>
        <w:tc>
          <w:tcPr>
            <w:tcW w:w="7820" w:type="dxa"/>
            <w:vAlign w:val="bottom"/>
            <w:tcBorders>
              <w:top w:val="single" w:sz="8" w:color="0000EE"/>
              <w:bottom w:val="single" w:sz="8" w:color="0000EE"/>
            </w:tcBorders>
            <w:gridSpan w:val="10"/>
          </w:tcPr>
          <w:p>
            <w:pPr>
              <w:spacing w:after="0" w:line="216" w:lineRule="exact"/>
              <w:rPr>
                <w:rFonts w:ascii="Arial" w:cs="Arial" w:eastAsia="Arial" w:hAnsi="Arial"/>
                <w:sz w:val="20"/>
                <w:szCs w:val="20"/>
                <w:color w:val="0000EE"/>
                <w:w w:val="92"/>
              </w:rPr>
            </w:pPr>
            <w:hyperlink r:id="rId269">
              <w:r>
                <w:rPr>
                  <w:rFonts w:ascii="Arial" w:cs="Arial" w:eastAsia="Arial" w:hAnsi="Arial"/>
                  <w:sz w:val="20"/>
                  <w:szCs w:val="20"/>
                  <w:color w:val="0000EE"/>
                  <w:w w:val="92"/>
                </w:rPr>
                <w:t>Incorporated by reference to Exhibit 3.1 to the Form 8-K dated April 22, 2013 (File No. 1-9861).</w:t>
              </w:r>
            </w:hyperlink>
          </w:p>
        </w:tc>
        <w:tc>
          <w:tcPr>
            <w:tcW w:w="1540" w:type="dxa"/>
            <w:vAlign w:val="bottom"/>
            <w:tcBorders>
              <w:top w:val="single" w:sz="8" w:color="0000EE"/>
            </w:tcBorders>
            <w:gridSpan w:val="2"/>
          </w:tcPr>
          <w:p>
            <w:pPr>
              <w:spacing w:after="0"/>
              <w:rPr>
                <w:sz w:val="18"/>
                <w:szCs w:val="18"/>
                <w:color w:val="auto"/>
              </w:rPr>
            </w:pPr>
          </w:p>
        </w:tc>
        <w:tc>
          <w:tcPr>
            <w:tcW w:w="660" w:type="dxa"/>
            <w:vAlign w:val="bottom"/>
            <w:gridSpan w:val="13"/>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3.5</w:t>
            </w:r>
          </w:p>
        </w:tc>
        <w:tc>
          <w:tcPr>
            <w:tcW w:w="9660" w:type="dxa"/>
            <w:vAlign w:val="bottom"/>
            <w:tcBorders>
              <w:bottom w:val="single" w:sz="8" w:color="0000EE"/>
            </w:tcBorders>
            <w:gridSpan w:val="16"/>
          </w:tcPr>
          <w:p>
            <w:pPr>
              <w:spacing w:after="0" w:line="216" w:lineRule="exact"/>
              <w:rPr>
                <w:rFonts w:ascii="Arial" w:cs="Arial" w:eastAsia="Arial" w:hAnsi="Arial"/>
                <w:sz w:val="20"/>
                <w:szCs w:val="20"/>
                <w:color w:val="0000EE"/>
                <w:w w:val="92"/>
              </w:rPr>
            </w:pPr>
            <w:hyperlink r:id="rId270">
              <w:r>
                <w:rPr>
                  <w:rFonts w:ascii="Arial" w:cs="Arial" w:eastAsia="Arial" w:hAnsi="Arial"/>
                  <w:sz w:val="20"/>
                  <w:szCs w:val="20"/>
                  <w:color w:val="0000EE"/>
                  <w:w w:val="92"/>
                </w:rPr>
                <w:t>Certificate of Amendment to Restated Certificate of Incorporation of M&amp;T Bank Corporation, dated February 11, 2014.</w:t>
              </w:r>
            </w:hyperlink>
          </w:p>
        </w:tc>
        <w:tc>
          <w:tcPr>
            <w:tcW w:w="360" w:type="dxa"/>
            <w:vAlign w:val="bottom"/>
            <w:gridSpan w:val="9"/>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0020" w:type="dxa"/>
            <w:vAlign w:val="bottom"/>
            <w:gridSpan w:val="25"/>
          </w:tcPr>
          <w:p>
            <w:pPr>
              <w:spacing w:after="0" w:line="216" w:lineRule="exact"/>
              <w:rPr>
                <w:rFonts w:ascii="Arial" w:cs="Arial" w:eastAsia="Arial" w:hAnsi="Arial"/>
                <w:sz w:val="20"/>
                <w:szCs w:val="20"/>
                <w:color w:val="0000EE"/>
              </w:rPr>
            </w:pPr>
            <w:hyperlink r:id="rId270">
              <w:r>
                <w:rPr>
                  <w:rFonts w:ascii="Arial" w:cs="Arial" w:eastAsia="Arial" w:hAnsi="Arial"/>
                  <w:sz w:val="20"/>
                  <w:szCs w:val="20"/>
                  <w:color w:val="0000EE"/>
                </w:rPr>
                <w:t>Incorporated by reference to Exhibit 3.1 to the Form 8-K dated February 11, 2014 (File No. 1-9861).</w:t>
              </w:r>
            </w:hyperlink>
          </w:p>
        </w:tc>
      </w:tr>
      <w:tr>
        <w:trPr>
          <w:trHeight w:val="20"/>
        </w:trPr>
        <w:tc>
          <w:tcPr>
            <w:tcW w:w="1400" w:type="dxa"/>
            <w:vAlign w:val="bottom"/>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3.6</w:t>
            </w:r>
          </w:p>
        </w:tc>
        <w:tc>
          <w:tcPr>
            <w:tcW w:w="9940" w:type="dxa"/>
            <w:vAlign w:val="bottom"/>
            <w:tcBorders>
              <w:bottom w:val="single" w:sz="8" w:color="0000EE"/>
            </w:tcBorders>
            <w:gridSpan w:val="22"/>
          </w:tcPr>
          <w:p>
            <w:pPr>
              <w:spacing w:after="0" w:line="216" w:lineRule="exact"/>
              <w:rPr>
                <w:rFonts w:ascii="Arial" w:cs="Arial" w:eastAsia="Arial" w:hAnsi="Arial"/>
                <w:sz w:val="20"/>
                <w:szCs w:val="20"/>
                <w:color w:val="0000EE"/>
                <w:w w:val="93"/>
              </w:rPr>
            </w:pPr>
            <w:hyperlink r:id="rId271">
              <w:r>
                <w:rPr>
                  <w:rFonts w:ascii="Arial" w:cs="Arial" w:eastAsia="Arial" w:hAnsi="Arial"/>
                  <w:sz w:val="20"/>
                  <w:szCs w:val="20"/>
                  <w:color w:val="0000EE"/>
                  <w:w w:val="93"/>
                </w:rPr>
                <w:t>Certificate of Amendment to Certificate of Incorporation with respect to Perpetual Fixed-to-Floating Rate Non-Cumulative</w:t>
              </w:r>
            </w:hyperlink>
          </w:p>
        </w:tc>
        <w:tc>
          <w:tcPr>
            <w:tcW w:w="80" w:type="dxa"/>
            <w:vAlign w:val="bottom"/>
            <w:gridSpan w:val="3"/>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9680" w:type="dxa"/>
            <w:vAlign w:val="bottom"/>
            <w:tcBorders>
              <w:bottom w:val="single" w:sz="8" w:color="0000EE"/>
            </w:tcBorders>
            <w:gridSpan w:val="17"/>
          </w:tcPr>
          <w:p>
            <w:pPr>
              <w:spacing w:after="0" w:line="216" w:lineRule="exact"/>
              <w:rPr>
                <w:rFonts w:ascii="Arial" w:cs="Arial" w:eastAsia="Arial" w:hAnsi="Arial"/>
                <w:sz w:val="20"/>
                <w:szCs w:val="20"/>
                <w:color w:val="0000EE"/>
                <w:w w:val="91"/>
              </w:rPr>
            </w:pPr>
            <w:hyperlink r:id="rId271">
              <w:r>
                <w:rPr>
                  <w:rFonts w:ascii="Arial" w:cs="Arial" w:eastAsia="Arial" w:hAnsi="Arial"/>
                  <w:sz w:val="20"/>
                  <w:szCs w:val="20"/>
                  <w:color w:val="0000EE"/>
                  <w:w w:val="91"/>
                </w:rPr>
                <w:t>Preferred Stock, Series F, dated October 27, 2016. Incorporated by reference to Exhibit 3.1 of M&amp;T Bank Corporation’s</w:t>
              </w:r>
            </w:hyperlink>
          </w:p>
        </w:tc>
        <w:tc>
          <w:tcPr>
            <w:tcW w:w="340" w:type="dxa"/>
            <w:vAlign w:val="bottom"/>
            <w:gridSpan w:val="8"/>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0020" w:type="dxa"/>
            <w:vAlign w:val="bottom"/>
            <w:gridSpan w:val="25"/>
          </w:tcPr>
          <w:p>
            <w:pPr>
              <w:spacing w:after="0" w:line="216" w:lineRule="exact"/>
              <w:rPr>
                <w:rFonts w:ascii="Arial" w:cs="Arial" w:eastAsia="Arial" w:hAnsi="Arial"/>
                <w:sz w:val="20"/>
                <w:szCs w:val="20"/>
                <w:color w:val="0000EE"/>
              </w:rPr>
            </w:pPr>
            <w:hyperlink r:id="rId271">
              <w:r>
                <w:rPr>
                  <w:rFonts w:ascii="Arial" w:cs="Arial" w:eastAsia="Arial" w:hAnsi="Arial"/>
                  <w:sz w:val="20"/>
                  <w:szCs w:val="20"/>
                  <w:color w:val="0000EE"/>
                </w:rPr>
                <w:t>Form 8-K dated October 28, 2016 (File No. 1-9861).</w:t>
              </w:r>
            </w:hyperlink>
          </w:p>
        </w:tc>
      </w:tr>
      <w:tr>
        <w:trPr>
          <w:trHeight w:val="20"/>
        </w:trPr>
        <w:tc>
          <w:tcPr>
            <w:tcW w:w="1400" w:type="dxa"/>
            <w:vAlign w:val="bottom"/>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3.7</w:t>
            </w:r>
          </w:p>
        </w:tc>
        <w:tc>
          <w:tcPr>
            <w:tcW w:w="9920" w:type="dxa"/>
            <w:vAlign w:val="bottom"/>
            <w:tcBorders>
              <w:bottom w:val="single" w:sz="8" w:color="0000EE"/>
            </w:tcBorders>
            <w:gridSpan w:val="21"/>
          </w:tcPr>
          <w:p>
            <w:pPr>
              <w:spacing w:after="0" w:line="216" w:lineRule="exact"/>
              <w:rPr>
                <w:rFonts w:ascii="Arial" w:cs="Arial" w:eastAsia="Arial" w:hAnsi="Arial"/>
                <w:sz w:val="20"/>
                <w:szCs w:val="20"/>
                <w:color w:val="0000EE"/>
                <w:w w:val="93"/>
              </w:rPr>
            </w:pPr>
            <w:hyperlink r:id="rId272">
              <w:r>
                <w:rPr>
                  <w:rFonts w:ascii="Arial" w:cs="Arial" w:eastAsia="Arial" w:hAnsi="Arial"/>
                  <w:sz w:val="20"/>
                  <w:szCs w:val="20"/>
                  <w:color w:val="0000EE"/>
                  <w:w w:val="93"/>
                </w:rPr>
                <w:t>Certificate of Amendment to Certificate of Incorporation of M&amp;T Bank Corporation with respect to Perpetual 5.0% Fixed-</w:t>
              </w:r>
            </w:hyperlink>
          </w:p>
        </w:tc>
        <w:tc>
          <w:tcPr>
            <w:tcW w:w="100" w:type="dxa"/>
            <w:vAlign w:val="bottom"/>
            <w:gridSpan w:val="4"/>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9640" w:type="dxa"/>
            <w:vAlign w:val="bottom"/>
            <w:tcBorders>
              <w:bottom w:val="single" w:sz="8" w:color="0000EE"/>
            </w:tcBorders>
            <w:gridSpan w:val="15"/>
          </w:tcPr>
          <w:p>
            <w:pPr>
              <w:spacing w:after="0" w:line="216" w:lineRule="exact"/>
              <w:rPr>
                <w:rFonts w:ascii="Arial" w:cs="Arial" w:eastAsia="Arial" w:hAnsi="Arial"/>
                <w:sz w:val="20"/>
                <w:szCs w:val="20"/>
                <w:color w:val="0000EE"/>
                <w:w w:val="91"/>
              </w:rPr>
            </w:pPr>
            <w:hyperlink r:id="rId272">
              <w:r>
                <w:rPr>
                  <w:rFonts w:ascii="Arial" w:cs="Arial" w:eastAsia="Arial" w:hAnsi="Arial"/>
                  <w:sz w:val="20"/>
                  <w:szCs w:val="20"/>
                  <w:color w:val="0000EE"/>
                  <w:w w:val="91"/>
                </w:rPr>
                <w:t>Rate Reset Non-Cumulative Preferred Stock, Series G, dated July 29, 2019. Incorporated by reference to Exhibit 3.1 of</w:t>
              </w:r>
            </w:hyperlink>
          </w:p>
        </w:tc>
        <w:tc>
          <w:tcPr>
            <w:tcW w:w="380" w:type="dxa"/>
            <w:vAlign w:val="bottom"/>
            <w:gridSpan w:val="10"/>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6080" w:type="dxa"/>
            <w:vAlign w:val="bottom"/>
            <w:tcBorders>
              <w:bottom w:val="single" w:sz="8" w:color="0000EE"/>
            </w:tcBorders>
            <w:gridSpan w:val="8"/>
          </w:tcPr>
          <w:p>
            <w:pPr>
              <w:spacing w:after="0" w:line="216" w:lineRule="exact"/>
              <w:rPr>
                <w:rFonts w:ascii="Arial" w:cs="Arial" w:eastAsia="Arial" w:hAnsi="Arial"/>
                <w:sz w:val="20"/>
                <w:szCs w:val="20"/>
                <w:color w:val="0000EE"/>
                <w:w w:val="93"/>
              </w:rPr>
            </w:pPr>
            <w:hyperlink r:id="rId272">
              <w:r>
                <w:rPr>
                  <w:rFonts w:ascii="Arial" w:cs="Arial" w:eastAsia="Arial" w:hAnsi="Arial"/>
                  <w:sz w:val="20"/>
                  <w:szCs w:val="20"/>
                  <w:color w:val="0000EE"/>
                  <w:w w:val="93"/>
                </w:rPr>
                <w:t>M&amp;T Bank Corporation’s Form 8-K dated July 30, 2019 (File No. 1-9861).</w:t>
              </w:r>
            </w:hyperlink>
          </w:p>
        </w:tc>
        <w:tc>
          <w:tcPr>
            <w:tcW w:w="3940" w:type="dxa"/>
            <w:vAlign w:val="bottom"/>
            <w:gridSpan w:val="17"/>
          </w:tcPr>
          <w:p>
            <w:pPr>
              <w:spacing w:after="0"/>
              <w:rPr>
                <w:sz w:val="18"/>
                <w:szCs w:val="18"/>
                <w:color w:val="auto"/>
              </w:rPr>
            </w:pPr>
          </w:p>
        </w:tc>
      </w:tr>
      <w:tr>
        <w:trPr>
          <w:trHeight w:val="242"/>
        </w:trPr>
        <w:tc>
          <w:tcPr>
            <w:tcW w:w="1400" w:type="dxa"/>
            <w:vAlign w:val="bottom"/>
          </w:tcPr>
          <w:p>
            <w:pPr>
              <w:ind w:left="140"/>
              <w:spacing w:after="0"/>
              <w:rPr>
                <w:sz w:val="20"/>
                <w:szCs w:val="20"/>
                <w:color w:val="auto"/>
              </w:rPr>
            </w:pPr>
            <w:r>
              <w:rPr>
                <w:rFonts w:ascii="Arial" w:cs="Arial" w:eastAsia="Arial" w:hAnsi="Arial"/>
                <w:sz w:val="20"/>
                <w:szCs w:val="20"/>
                <w:color w:val="auto"/>
              </w:rPr>
              <w:t>4.1</w:t>
            </w:r>
          </w:p>
        </w:tc>
        <w:tc>
          <w:tcPr>
            <w:tcW w:w="10020" w:type="dxa"/>
            <w:vAlign w:val="bottom"/>
            <w:gridSpan w:val="25"/>
          </w:tcPr>
          <w:p>
            <w:pPr>
              <w:spacing w:after="0"/>
              <w:rPr>
                <w:sz w:val="20"/>
                <w:szCs w:val="20"/>
                <w:color w:val="auto"/>
              </w:rPr>
            </w:pPr>
            <w:r>
              <w:rPr>
                <w:rFonts w:ascii="Arial" w:cs="Arial" w:eastAsia="Arial" w:hAnsi="Arial"/>
                <w:sz w:val="20"/>
                <w:szCs w:val="20"/>
                <w:color w:val="auto"/>
                <w:w w:val="99"/>
              </w:rPr>
              <w:t>There are no instruments with respect to long-term debt of M&amp;T Bank Corporation and its subsidiaries that involve</w:t>
            </w:r>
          </w:p>
        </w:tc>
      </w:tr>
      <w:tr>
        <w:trPr>
          <w:trHeight w:val="237"/>
        </w:trPr>
        <w:tc>
          <w:tcPr>
            <w:tcW w:w="1400" w:type="dxa"/>
            <w:vAlign w:val="bottom"/>
          </w:tcPr>
          <w:p>
            <w:pPr>
              <w:spacing w:after="0"/>
              <w:rPr>
                <w:sz w:val="20"/>
                <w:szCs w:val="20"/>
                <w:color w:val="auto"/>
              </w:rPr>
            </w:pPr>
          </w:p>
        </w:tc>
        <w:tc>
          <w:tcPr>
            <w:tcW w:w="10020" w:type="dxa"/>
            <w:vAlign w:val="bottom"/>
            <w:gridSpan w:val="25"/>
          </w:tcPr>
          <w:p>
            <w:pPr>
              <w:spacing w:after="0"/>
              <w:rPr>
                <w:sz w:val="20"/>
                <w:szCs w:val="20"/>
                <w:color w:val="auto"/>
              </w:rPr>
            </w:pPr>
            <w:r>
              <w:rPr>
                <w:rFonts w:ascii="Arial" w:cs="Arial" w:eastAsia="Arial" w:hAnsi="Arial"/>
                <w:sz w:val="20"/>
                <w:szCs w:val="20"/>
                <w:color w:val="auto"/>
                <w:w w:val="92"/>
              </w:rPr>
              <w:t>securities authorized under the instrument in an amount exceeding 10 percent of the total assets of M&amp;T Bank Corporation</w:t>
            </w:r>
          </w:p>
        </w:tc>
      </w:tr>
      <w:tr>
        <w:trPr>
          <w:trHeight w:val="237"/>
        </w:trPr>
        <w:tc>
          <w:tcPr>
            <w:tcW w:w="1400" w:type="dxa"/>
            <w:vAlign w:val="bottom"/>
          </w:tcPr>
          <w:p>
            <w:pPr>
              <w:spacing w:after="0"/>
              <w:rPr>
                <w:sz w:val="20"/>
                <w:szCs w:val="20"/>
                <w:color w:val="auto"/>
              </w:rPr>
            </w:pPr>
          </w:p>
        </w:tc>
        <w:tc>
          <w:tcPr>
            <w:tcW w:w="10020" w:type="dxa"/>
            <w:vAlign w:val="bottom"/>
            <w:gridSpan w:val="25"/>
          </w:tcPr>
          <w:p>
            <w:pPr>
              <w:spacing w:after="0"/>
              <w:rPr>
                <w:sz w:val="20"/>
                <w:szCs w:val="20"/>
                <w:color w:val="auto"/>
              </w:rPr>
            </w:pPr>
            <w:r>
              <w:rPr>
                <w:rFonts w:ascii="Arial" w:cs="Arial" w:eastAsia="Arial" w:hAnsi="Arial"/>
                <w:sz w:val="20"/>
                <w:szCs w:val="20"/>
                <w:color w:val="auto"/>
                <w:w w:val="92"/>
              </w:rPr>
              <w:t>and its subsidiaries on a consolidated basis. M&amp;T Bank Corporation agrees to provide the SEC with a copy of instruments</w:t>
            </w:r>
          </w:p>
        </w:tc>
      </w:tr>
      <w:tr>
        <w:trPr>
          <w:trHeight w:val="237"/>
        </w:trPr>
        <w:tc>
          <w:tcPr>
            <w:tcW w:w="1400" w:type="dxa"/>
            <w:vAlign w:val="bottom"/>
          </w:tcPr>
          <w:p>
            <w:pPr>
              <w:spacing w:after="0"/>
              <w:rPr>
                <w:sz w:val="20"/>
                <w:szCs w:val="20"/>
                <w:color w:val="auto"/>
              </w:rPr>
            </w:pPr>
          </w:p>
        </w:tc>
        <w:tc>
          <w:tcPr>
            <w:tcW w:w="10020" w:type="dxa"/>
            <w:vAlign w:val="bottom"/>
            <w:gridSpan w:val="25"/>
          </w:tcPr>
          <w:p>
            <w:pPr>
              <w:spacing w:after="0"/>
              <w:rPr>
                <w:sz w:val="20"/>
                <w:szCs w:val="20"/>
                <w:color w:val="auto"/>
              </w:rPr>
            </w:pPr>
            <w:r>
              <w:rPr>
                <w:rFonts w:ascii="Arial" w:cs="Arial" w:eastAsia="Arial" w:hAnsi="Arial"/>
                <w:sz w:val="20"/>
                <w:szCs w:val="20"/>
                <w:color w:val="auto"/>
              </w:rPr>
              <w:t>defining the rights of holders of long-term debt of M&amp;T Bank Corporation and its subsidiaries on request.</w:t>
            </w:r>
          </w:p>
        </w:tc>
      </w:tr>
      <w:tr>
        <w:trPr>
          <w:trHeight w:val="211"/>
        </w:trPr>
        <w:tc>
          <w:tcPr>
            <w:tcW w:w="1400" w:type="dxa"/>
            <w:vAlign w:val="bottom"/>
          </w:tcPr>
          <w:p>
            <w:pPr>
              <w:ind w:left="140"/>
              <w:spacing w:after="0" w:line="210" w:lineRule="exact"/>
              <w:rPr>
                <w:sz w:val="20"/>
                <w:szCs w:val="20"/>
                <w:color w:val="auto"/>
              </w:rPr>
            </w:pPr>
            <w:r>
              <w:rPr>
                <w:rFonts w:ascii="Arial" w:cs="Arial" w:eastAsia="Arial" w:hAnsi="Arial"/>
                <w:sz w:val="20"/>
                <w:szCs w:val="20"/>
                <w:color w:val="auto"/>
              </w:rPr>
              <w:t>10.1</w:t>
            </w:r>
          </w:p>
        </w:tc>
        <w:tc>
          <w:tcPr>
            <w:tcW w:w="9900" w:type="dxa"/>
            <w:vAlign w:val="bottom"/>
            <w:tcBorders>
              <w:bottom w:val="single" w:sz="8" w:color="0000EE"/>
            </w:tcBorders>
            <w:gridSpan w:val="20"/>
          </w:tcPr>
          <w:p>
            <w:pPr>
              <w:spacing w:after="0" w:line="210" w:lineRule="exact"/>
              <w:rPr>
                <w:rFonts w:ascii="Arial" w:cs="Arial" w:eastAsia="Arial" w:hAnsi="Arial"/>
                <w:sz w:val="20"/>
                <w:szCs w:val="20"/>
                <w:color w:val="0000EE"/>
                <w:w w:val="93"/>
              </w:rPr>
            </w:pPr>
            <w:hyperlink r:id="rId273">
              <w:r>
                <w:rPr>
                  <w:rFonts w:ascii="Arial" w:cs="Arial" w:eastAsia="Arial" w:hAnsi="Arial"/>
                  <w:sz w:val="20"/>
                  <w:szCs w:val="20"/>
                  <w:color w:val="0000EE"/>
                  <w:w w:val="93"/>
                </w:rPr>
                <w:t>M&amp;T Bank Corporation Annual Executive Incentive Plan. Incorporated by reference to Exhibit No. 10.3 to the Form 10-Q</w:t>
              </w:r>
            </w:hyperlink>
          </w:p>
        </w:tc>
        <w:tc>
          <w:tcPr>
            <w:tcW w:w="120" w:type="dxa"/>
            <w:vAlign w:val="bottom"/>
            <w:gridSpan w:val="5"/>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0020" w:type="dxa"/>
            <w:vAlign w:val="bottom"/>
            <w:gridSpan w:val="25"/>
          </w:tcPr>
          <w:p>
            <w:pPr>
              <w:spacing w:after="0" w:line="216" w:lineRule="exact"/>
              <w:rPr>
                <w:rFonts w:ascii="Arial" w:cs="Arial" w:eastAsia="Arial" w:hAnsi="Arial"/>
                <w:sz w:val="20"/>
                <w:szCs w:val="20"/>
                <w:color w:val="0000EE"/>
              </w:rPr>
            </w:pPr>
            <w:hyperlink r:id="rId273">
              <w:r>
                <w:rPr>
                  <w:rFonts w:ascii="Arial" w:cs="Arial" w:eastAsia="Arial" w:hAnsi="Arial"/>
                  <w:sz w:val="20"/>
                  <w:szCs w:val="20"/>
                  <w:color w:val="0000EE"/>
                </w:rPr>
                <w:t>for the quarter ended June 30, 1998 (File No. 1-9861).*</w:t>
              </w:r>
            </w:hyperlink>
          </w:p>
        </w:tc>
      </w:tr>
      <w:tr>
        <w:trPr>
          <w:trHeight w:val="20"/>
        </w:trPr>
        <w:tc>
          <w:tcPr>
            <w:tcW w:w="1400" w:type="dxa"/>
            <w:vAlign w:val="bottom"/>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10.2</w:t>
            </w:r>
          </w:p>
        </w:tc>
        <w:tc>
          <w:tcPr>
            <w:tcW w:w="10020" w:type="dxa"/>
            <w:vAlign w:val="bottom"/>
            <w:gridSpan w:val="25"/>
          </w:tcPr>
          <w:p>
            <w:pPr>
              <w:spacing w:after="0" w:line="216" w:lineRule="exact"/>
              <w:rPr>
                <w:rFonts w:ascii="Arial" w:cs="Arial" w:eastAsia="Arial" w:hAnsi="Arial"/>
                <w:sz w:val="20"/>
                <w:szCs w:val="20"/>
                <w:color w:val="0000EE"/>
                <w:w w:val="91"/>
              </w:rPr>
            </w:pPr>
            <w:hyperlink r:id="rId274">
              <w:r>
                <w:rPr>
                  <w:rFonts w:ascii="Arial" w:cs="Arial" w:eastAsia="Arial" w:hAnsi="Arial"/>
                  <w:sz w:val="20"/>
                  <w:szCs w:val="20"/>
                  <w:color w:val="0000EE"/>
                  <w:w w:val="91"/>
                </w:rPr>
                <w:t>Supplemental Deferred Compensation Agreement between Manufacturers and Traders Trust Company and Brian E. Hickey</w:t>
              </w:r>
            </w:hyperlink>
          </w:p>
        </w:tc>
      </w:tr>
      <w:tr>
        <w:trPr>
          <w:trHeight w:val="217"/>
        </w:trPr>
        <w:tc>
          <w:tcPr>
            <w:tcW w:w="1400" w:type="dxa"/>
            <w:vAlign w:val="bottom"/>
          </w:tcPr>
          <w:p>
            <w:pPr>
              <w:spacing w:after="0"/>
              <w:rPr>
                <w:sz w:val="18"/>
                <w:szCs w:val="18"/>
                <w:color w:val="auto"/>
              </w:rPr>
            </w:pPr>
          </w:p>
        </w:tc>
        <w:tc>
          <w:tcPr>
            <w:tcW w:w="9500" w:type="dxa"/>
            <w:vAlign w:val="bottom"/>
            <w:tcBorders>
              <w:top w:val="single" w:sz="8" w:color="0000EE"/>
              <w:bottom w:val="single" w:sz="8" w:color="0000EE"/>
            </w:tcBorders>
            <w:gridSpan w:val="13"/>
          </w:tcPr>
          <w:p>
            <w:pPr>
              <w:spacing w:after="0" w:line="216" w:lineRule="exact"/>
              <w:rPr>
                <w:rFonts w:ascii="Arial" w:cs="Arial" w:eastAsia="Arial" w:hAnsi="Arial"/>
                <w:sz w:val="20"/>
                <w:szCs w:val="20"/>
                <w:color w:val="0000EE"/>
                <w:w w:val="91"/>
              </w:rPr>
            </w:pPr>
            <w:hyperlink r:id="rId274">
              <w:r>
                <w:rPr>
                  <w:rFonts w:ascii="Arial" w:cs="Arial" w:eastAsia="Arial" w:hAnsi="Arial"/>
                  <w:sz w:val="20"/>
                  <w:szCs w:val="20"/>
                  <w:color w:val="0000EE"/>
                  <w:w w:val="91"/>
                </w:rPr>
                <w:t>dated as of July 21, 1994, as amended. Incorporated by reference to Exhibit 10.2 to the Form 10-K for the year ended</w:t>
              </w:r>
            </w:hyperlink>
          </w:p>
        </w:tc>
        <w:tc>
          <w:tcPr>
            <w:tcW w:w="460" w:type="dxa"/>
            <w:vAlign w:val="bottom"/>
            <w:tcBorders>
              <w:top w:val="single" w:sz="8" w:color="0000EE"/>
            </w:tcBorders>
            <w:gridSpan w:val="10"/>
          </w:tcPr>
          <w:p>
            <w:pPr>
              <w:spacing w:after="0"/>
              <w:rPr>
                <w:sz w:val="18"/>
                <w:szCs w:val="18"/>
                <w:color w:val="auto"/>
              </w:rPr>
            </w:pPr>
          </w:p>
        </w:tc>
        <w:tc>
          <w:tcPr>
            <w:tcW w:w="60" w:type="dxa"/>
            <w:vAlign w:val="bottom"/>
            <w:gridSpan w:val="2"/>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3200" w:type="dxa"/>
            <w:vAlign w:val="bottom"/>
            <w:tcBorders>
              <w:bottom w:val="single" w:sz="8" w:color="0000EE"/>
            </w:tcBorders>
            <w:gridSpan w:val="2"/>
          </w:tcPr>
          <w:p>
            <w:pPr>
              <w:spacing w:after="0" w:line="216" w:lineRule="exact"/>
              <w:rPr>
                <w:rFonts w:ascii="Arial" w:cs="Arial" w:eastAsia="Arial" w:hAnsi="Arial"/>
                <w:sz w:val="20"/>
                <w:szCs w:val="20"/>
                <w:color w:val="0000EE"/>
                <w:w w:val="92"/>
              </w:rPr>
            </w:pPr>
            <w:hyperlink r:id="rId274">
              <w:r>
                <w:rPr>
                  <w:rFonts w:ascii="Arial" w:cs="Arial" w:eastAsia="Arial" w:hAnsi="Arial"/>
                  <w:sz w:val="20"/>
                  <w:szCs w:val="20"/>
                  <w:color w:val="0000EE"/>
                  <w:w w:val="92"/>
                </w:rPr>
                <w:t>December 31, 2016 (File No. 1-9861).*</w:t>
              </w:r>
            </w:hyperlink>
          </w:p>
        </w:tc>
        <w:tc>
          <w:tcPr>
            <w:tcW w:w="6820" w:type="dxa"/>
            <w:vAlign w:val="bottom"/>
            <w:gridSpan w:val="23"/>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10.3</w:t>
            </w:r>
          </w:p>
        </w:tc>
        <w:tc>
          <w:tcPr>
            <w:tcW w:w="9920" w:type="dxa"/>
            <w:vAlign w:val="bottom"/>
            <w:tcBorders>
              <w:bottom w:val="single" w:sz="8" w:color="0000EE"/>
            </w:tcBorders>
            <w:gridSpan w:val="21"/>
          </w:tcPr>
          <w:p>
            <w:pPr>
              <w:spacing w:after="0" w:line="216" w:lineRule="exact"/>
              <w:rPr>
                <w:rFonts w:ascii="Arial" w:cs="Arial" w:eastAsia="Arial" w:hAnsi="Arial"/>
                <w:sz w:val="20"/>
                <w:szCs w:val="20"/>
                <w:color w:val="0000EE"/>
                <w:w w:val="91"/>
              </w:rPr>
            </w:pPr>
            <w:hyperlink r:id="rId275">
              <w:r>
                <w:rPr>
                  <w:rFonts w:ascii="Arial" w:cs="Arial" w:eastAsia="Arial" w:hAnsi="Arial"/>
                  <w:sz w:val="20"/>
                  <w:szCs w:val="20"/>
                  <w:color w:val="0000EE"/>
                  <w:w w:val="91"/>
                </w:rPr>
                <w:t>M&amp;T Bank Corporation Supplemental Pension Plan, as amended and restated. Incorporated by reference to Exhibit 10.1 to</w:t>
              </w:r>
            </w:hyperlink>
          </w:p>
        </w:tc>
        <w:tc>
          <w:tcPr>
            <w:tcW w:w="100" w:type="dxa"/>
            <w:vAlign w:val="bottom"/>
            <w:gridSpan w:val="4"/>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0020" w:type="dxa"/>
            <w:vAlign w:val="bottom"/>
            <w:gridSpan w:val="25"/>
          </w:tcPr>
          <w:p>
            <w:pPr>
              <w:spacing w:after="0" w:line="216" w:lineRule="exact"/>
              <w:rPr>
                <w:rFonts w:ascii="Arial" w:cs="Arial" w:eastAsia="Arial" w:hAnsi="Arial"/>
                <w:sz w:val="20"/>
                <w:szCs w:val="20"/>
                <w:color w:val="0000EE"/>
              </w:rPr>
            </w:pPr>
            <w:hyperlink r:id="rId275">
              <w:r>
                <w:rPr>
                  <w:rFonts w:ascii="Arial" w:cs="Arial" w:eastAsia="Arial" w:hAnsi="Arial"/>
                  <w:sz w:val="20"/>
                  <w:szCs w:val="20"/>
                  <w:color w:val="0000EE"/>
                </w:rPr>
                <w:t>the Form 10-Q for the quarter ended March 31, 2016 (File No. 1-9861).*</w:t>
              </w:r>
            </w:hyperlink>
          </w:p>
        </w:tc>
      </w:tr>
      <w:tr>
        <w:trPr>
          <w:trHeight w:val="20"/>
        </w:trPr>
        <w:tc>
          <w:tcPr>
            <w:tcW w:w="1400" w:type="dxa"/>
            <w:vAlign w:val="bottom"/>
          </w:tcPr>
          <w:p>
            <w:pPr>
              <w:spacing w:after="0" w:line="20" w:lineRule="exact"/>
              <w:rPr>
                <w:sz w:val="1"/>
                <w:szCs w:val="1"/>
                <w:color w:val="auto"/>
              </w:rPr>
            </w:pPr>
          </w:p>
        </w:tc>
        <w:tc>
          <w:tcPr>
            <w:tcW w:w="4820" w:type="dxa"/>
            <w:vAlign w:val="bottom"/>
            <w:gridSpan w:val="5"/>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10.4</w:t>
            </w:r>
          </w:p>
        </w:tc>
        <w:tc>
          <w:tcPr>
            <w:tcW w:w="10020" w:type="dxa"/>
            <w:vAlign w:val="bottom"/>
            <w:gridSpan w:val="25"/>
          </w:tcPr>
          <w:p>
            <w:pPr>
              <w:spacing w:after="0" w:line="216" w:lineRule="exact"/>
              <w:rPr>
                <w:rFonts w:ascii="Arial" w:cs="Arial" w:eastAsia="Arial" w:hAnsi="Arial"/>
                <w:sz w:val="20"/>
                <w:szCs w:val="20"/>
                <w:color w:val="0000EE"/>
                <w:w w:val="96"/>
              </w:rPr>
            </w:pPr>
            <w:hyperlink r:id="rId276">
              <w:r>
                <w:rPr>
                  <w:rFonts w:ascii="Arial" w:cs="Arial" w:eastAsia="Arial" w:hAnsi="Arial"/>
                  <w:sz w:val="20"/>
                  <w:szCs w:val="20"/>
                  <w:color w:val="0000EE"/>
                  <w:w w:val="96"/>
                </w:rPr>
                <w:t>Amendment No. 1 to M&amp;T Bank Corporation Supplemental Pension Plan. Incorporated by reference to Exhibit 10.4 of</w:t>
              </w:r>
            </w:hyperlink>
          </w:p>
        </w:tc>
      </w:tr>
      <w:tr>
        <w:trPr>
          <w:trHeight w:val="217"/>
        </w:trPr>
        <w:tc>
          <w:tcPr>
            <w:tcW w:w="1400" w:type="dxa"/>
            <w:vAlign w:val="bottom"/>
          </w:tcPr>
          <w:p>
            <w:pPr>
              <w:spacing w:after="0"/>
              <w:rPr>
                <w:sz w:val="18"/>
                <w:szCs w:val="18"/>
                <w:color w:val="auto"/>
              </w:rPr>
            </w:pPr>
          </w:p>
        </w:tc>
        <w:tc>
          <w:tcPr>
            <w:tcW w:w="7700" w:type="dxa"/>
            <w:vAlign w:val="bottom"/>
            <w:tcBorders>
              <w:top w:val="single" w:sz="8" w:color="0000EE"/>
              <w:bottom w:val="single" w:sz="8" w:color="0000EE"/>
            </w:tcBorders>
            <w:gridSpan w:val="9"/>
          </w:tcPr>
          <w:p>
            <w:pPr>
              <w:spacing w:after="0" w:line="216" w:lineRule="exact"/>
              <w:rPr>
                <w:rFonts w:ascii="Arial" w:cs="Arial" w:eastAsia="Arial" w:hAnsi="Arial"/>
                <w:sz w:val="20"/>
                <w:szCs w:val="20"/>
                <w:color w:val="0000EE"/>
                <w:w w:val="92"/>
              </w:rPr>
            </w:pPr>
            <w:hyperlink r:id="rId276">
              <w:r>
                <w:rPr>
                  <w:rFonts w:ascii="Arial" w:cs="Arial" w:eastAsia="Arial" w:hAnsi="Arial"/>
                  <w:sz w:val="20"/>
                  <w:szCs w:val="20"/>
                  <w:color w:val="0000EE"/>
                  <w:w w:val="92"/>
                </w:rPr>
                <w:t>M&amp;T Bank Corporation’s Form 10-K for the year ended December 31, 2018 (File No. 1-9861).</w:t>
              </w:r>
            </w:hyperlink>
          </w:p>
        </w:tc>
        <w:tc>
          <w:tcPr>
            <w:tcW w:w="1900" w:type="dxa"/>
            <w:vAlign w:val="bottom"/>
            <w:tcBorders>
              <w:top w:val="single" w:sz="8" w:color="0000EE"/>
            </w:tcBorders>
            <w:gridSpan w:val="5"/>
          </w:tcPr>
          <w:p>
            <w:pPr>
              <w:spacing w:after="0"/>
              <w:rPr>
                <w:sz w:val="18"/>
                <w:szCs w:val="18"/>
                <w:color w:val="auto"/>
              </w:rPr>
            </w:pPr>
          </w:p>
        </w:tc>
        <w:tc>
          <w:tcPr>
            <w:tcW w:w="420" w:type="dxa"/>
            <w:vAlign w:val="bottom"/>
            <w:gridSpan w:val="11"/>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10.5</w:t>
            </w:r>
          </w:p>
        </w:tc>
        <w:tc>
          <w:tcPr>
            <w:tcW w:w="10020" w:type="dxa"/>
            <w:vAlign w:val="bottom"/>
            <w:gridSpan w:val="25"/>
          </w:tcPr>
          <w:p>
            <w:pPr>
              <w:spacing w:after="0" w:line="216" w:lineRule="exact"/>
              <w:rPr>
                <w:rFonts w:ascii="Arial" w:cs="Arial" w:eastAsia="Arial" w:hAnsi="Arial"/>
                <w:sz w:val="20"/>
                <w:szCs w:val="20"/>
                <w:color w:val="0000EE"/>
                <w:w w:val="95"/>
              </w:rPr>
            </w:pPr>
            <w:hyperlink r:id="rId277">
              <w:r>
                <w:rPr>
                  <w:rFonts w:ascii="Arial" w:cs="Arial" w:eastAsia="Arial" w:hAnsi="Arial"/>
                  <w:sz w:val="20"/>
                  <w:szCs w:val="20"/>
                  <w:color w:val="0000EE"/>
                  <w:w w:val="95"/>
                </w:rPr>
                <w:t>Amendment No. 2 to M&amp;T Bank Corporation Supplemental Pension Plan.. Incorporated by reference to Exhibit 10.5 of</w:t>
              </w:r>
            </w:hyperlink>
          </w:p>
        </w:tc>
      </w:tr>
      <w:tr>
        <w:trPr>
          <w:trHeight w:val="217"/>
        </w:trPr>
        <w:tc>
          <w:tcPr>
            <w:tcW w:w="1400" w:type="dxa"/>
            <w:vAlign w:val="bottom"/>
          </w:tcPr>
          <w:p>
            <w:pPr>
              <w:spacing w:after="0"/>
              <w:rPr>
                <w:sz w:val="18"/>
                <w:szCs w:val="18"/>
                <w:color w:val="auto"/>
              </w:rPr>
            </w:pPr>
          </w:p>
        </w:tc>
        <w:tc>
          <w:tcPr>
            <w:tcW w:w="7700" w:type="dxa"/>
            <w:vAlign w:val="bottom"/>
            <w:tcBorders>
              <w:top w:val="single" w:sz="8" w:color="0000EE"/>
              <w:bottom w:val="single" w:sz="8" w:color="0000EE"/>
            </w:tcBorders>
            <w:gridSpan w:val="9"/>
          </w:tcPr>
          <w:p>
            <w:pPr>
              <w:spacing w:after="0" w:line="216" w:lineRule="exact"/>
              <w:rPr>
                <w:rFonts w:ascii="Arial" w:cs="Arial" w:eastAsia="Arial" w:hAnsi="Arial"/>
                <w:sz w:val="20"/>
                <w:szCs w:val="20"/>
                <w:color w:val="0000EE"/>
                <w:w w:val="92"/>
              </w:rPr>
            </w:pPr>
            <w:hyperlink r:id="rId277">
              <w:r>
                <w:rPr>
                  <w:rFonts w:ascii="Arial" w:cs="Arial" w:eastAsia="Arial" w:hAnsi="Arial"/>
                  <w:sz w:val="20"/>
                  <w:szCs w:val="20"/>
                  <w:color w:val="0000EE"/>
                  <w:w w:val="92"/>
                </w:rPr>
                <w:t>M&amp;T Bank Corporation’s Form 10-K for the year ended December 31, 2018 (File No. 1-9861).</w:t>
              </w:r>
            </w:hyperlink>
          </w:p>
        </w:tc>
        <w:tc>
          <w:tcPr>
            <w:tcW w:w="2000" w:type="dxa"/>
            <w:vAlign w:val="bottom"/>
            <w:tcBorders>
              <w:top w:val="single" w:sz="8" w:color="0000EE"/>
            </w:tcBorders>
            <w:gridSpan w:val="9"/>
          </w:tcPr>
          <w:p>
            <w:pPr>
              <w:spacing w:after="0"/>
              <w:rPr>
                <w:sz w:val="18"/>
                <w:szCs w:val="18"/>
                <w:color w:val="auto"/>
              </w:rPr>
            </w:pPr>
          </w:p>
        </w:tc>
        <w:tc>
          <w:tcPr>
            <w:tcW w:w="320" w:type="dxa"/>
            <w:vAlign w:val="bottom"/>
            <w:gridSpan w:val="7"/>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10.6</w:t>
            </w:r>
          </w:p>
        </w:tc>
        <w:tc>
          <w:tcPr>
            <w:tcW w:w="9900" w:type="dxa"/>
            <w:vAlign w:val="bottom"/>
            <w:tcBorders>
              <w:bottom w:val="single" w:sz="8" w:color="0000EE"/>
            </w:tcBorders>
            <w:gridSpan w:val="20"/>
          </w:tcPr>
          <w:p>
            <w:pPr>
              <w:spacing w:after="0" w:line="216" w:lineRule="exact"/>
              <w:rPr>
                <w:rFonts w:ascii="Arial" w:cs="Arial" w:eastAsia="Arial" w:hAnsi="Arial"/>
                <w:sz w:val="20"/>
                <w:szCs w:val="20"/>
                <w:color w:val="0000EE"/>
                <w:w w:val="92"/>
              </w:rPr>
            </w:pPr>
            <w:hyperlink r:id="rId278">
              <w:r>
                <w:rPr>
                  <w:rFonts w:ascii="Arial" w:cs="Arial" w:eastAsia="Arial" w:hAnsi="Arial"/>
                  <w:sz w:val="20"/>
                  <w:szCs w:val="20"/>
                  <w:color w:val="0000EE"/>
                  <w:w w:val="92"/>
                </w:rPr>
                <w:t>M&amp;T Bank Corporation Supplemental Retirement Savings Plan. Incorporated by reference to Exhibit 10.2 to the Form 10-</w:t>
              </w:r>
            </w:hyperlink>
          </w:p>
        </w:tc>
        <w:tc>
          <w:tcPr>
            <w:tcW w:w="120" w:type="dxa"/>
            <w:vAlign w:val="bottom"/>
            <w:gridSpan w:val="5"/>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4820" w:type="dxa"/>
            <w:vAlign w:val="bottom"/>
            <w:tcBorders>
              <w:bottom w:val="single" w:sz="8" w:color="0000EE"/>
            </w:tcBorders>
            <w:gridSpan w:val="5"/>
          </w:tcPr>
          <w:p>
            <w:pPr>
              <w:spacing w:after="0" w:line="216" w:lineRule="exact"/>
              <w:rPr>
                <w:rFonts w:ascii="Arial" w:cs="Arial" w:eastAsia="Arial" w:hAnsi="Arial"/>
                <w:sz w:val="20"/>
                <w:szCs w:val="20"/>
                <w:color w:val="0000EE"/>
                <w:w w:val="92"/>
              </w:rPr>
            </w:pPr>
            <w:hyperlink r:id="rId278">
              <w:r>
                <w:rPr>
                  <w:rFonts w:ascii="Arial" w:cs="Arial" w:eastAsia="Arial" w:hAnsi="Arial"/>
                  <w:sz w:val="20"/>
                  <w:szCs w:val="20"/>
                  <w:color w:val="0000EE"/>
                  <w:w w:val="92"/>
                </w:rPr>
                <w:t>Q for the quarter ended March 31, 2016 (File No. 1-9861).*</w:t>
              </w:r>
            </w:hyperlink>
          </w:p>
        </w:tc>
        <w:tc>
          <w:tcPr>
            <w:tcW w:w="5200" w:type="dxa"/>
            <w:vAlign w:val="bottom"/>
            <w:gridSpan w:val="20"/>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10.7</w:t>
            </w:r>
          </w:p>
        </w:tc>
        <w:tc>
          <w:tcPr>
            <w:tcW w:w="9920" w:type="dxa"/>
            <w:vAlign w:val="bottom"/>
            <w:tcBorders>
              <w:bottom w:val="single" w:sz="8" w:color="0000EE"/>
            </w:tcBorders>
            <w:gridSpan w:val="21"/>
          </w:tcPr>
          <w:p>
            <w:pPr>
              <w:spacing w:after="0" w:line="216" w:lineRule="exact"/>
              <w:rPr>
                <w:rFonts w:ascii="Arial" w:cs="Arial" w:eastAsia="Arial" w:hAnsi="Arial"/>
                <w:sz w:val="20"/>
                <w:szCs w:val="20"/>
                <w:color w:val="0000EE"/>
                <w:w w:val="93"/>
              </w:rPr>
            </w:pPr>
            <w:hyperlink r:id="rId279">
              <w:r>
                <w:rPr>
                  <w:rFonts w:ascii="Arial" w:cs="Arial" w:eastAsia="Arial" w:hAnsi="Arial"/>
                  <w:sz w:val="20"/>
                  <w:szCs w:val="20"/>
                  <w:color w:val="0000EE"/>
                  <w:w w:val="93"/>
                </w:rPr>
                <w:t>Amendment No. 1 to M&amp;T Bank Corporation Supplemental Retirement Plan. Incorporated by reference to Exhibit 10.7 of</w:t>
              </w:r>
            </w:hyperlink>
          </w:p>
        </w:tc>
        <w:tc>
          <w:tcPr>
            <w:tcW w:w="100" w:type="dxa"/>
            <w:vAlign w:val="bottom"/>
            <w:gridSpan w:val="4"/>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0020" w:type="dxa"/>
            <w:vAlign w:val="bottom"/>
            <w:gridSpan w:val="25"/>
          </w:tcPr>
          <w:p>
            <w:pPr>
              <w:spacing w:after="0" w:line="216" w:lineRule="exact"/>
              <w:rPr>
                <w:rFonts w:ascii="Arial" w:cs="Arial" w:eastAsia="Arial" w:hAnsi="Arial"/>
                <w:sz w:val="20"/>
                <w:szCs w:val="20"/>
                <w:color w:val="0000EE"/>
              </w:rPr>
            </w:pPr>
            <w:hyperlink r:id="rId279">
              <w:r>
                <w:rPr>
                  <w:rFonts w:ascii="Arial" w:cs="Arial" w:eastAsia="Arial" w:hAnsi="Arial"/>
                  <w:sz w:val="20"/>
                  <w:szCs w:val="20"/>
                  <w:color w:val="0000EE"/>
                </w:rPr>
                <w:t>M&amp;T Bank Corporation’s Form 10-K for the year ended December 31, 2018 (File No. 1-9861).</w:t>
              </w:r>
            </w:hyperlink>
          </w:p>
        </w:tc>
      </w:tr>
      <w:tr>
        <w:trPr>
          <w:trHeight w:val="439"/>
        </w:trPr>
        <w:tc>
          <w:tcPr>
            <w:tcW w:w="1400" w:type="dxa"/>
            <w:vAlign w:val="bottom"/>
          </w:tcPr>
          <w:p>
            <w:pPr>
              <w:spacing w:after="0"/>
              <w:rPr>
                <w:sz w:val="24"/>
                <w:szCs w:val="24"/>
                <w:color w:val="auto"/>
              </w:rPr>
            </w:pPr>
          </w:p>
        </w:tc>
        <w:tc>
          <w:tcPr>
            <w:tcW w:w="4460" w:type="dxa"/>
            <w:vAlign w:val="bottom"/>
            <w:tcBorders>
              <w:top w:val="single" w:sz="8" w:color="0000EE"/>
            </w:tcBorders>
            <w:gridSpan w:val="4"/>
          </w:tcPr>
          <w:p>
            <w:pPr>
              <w:ind w:left="4180"/>
              <w:spacing w:after="0"/>
              <w:rPr>
                <w:sz w:val="20"/>
                <w:szCs w:val="20"/>
                <w:color w:val="auto"/>
              </w:rPr>
            </w:pPr>
            <w:r>
              <w:rPr>
                <w:rFonts w:ascii="Arial" w:cs="Arial" w:eastAsia="Arial" w:hAnsi="Arial"/>
                <w:sz w:val="18"/>
                <w:szCs w:val="18"/>
                <w:color w:val="auto"/>
                <w:w w:val="86"/>
              </w:rPr>
              <w:t>197</w:t>
            </w: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1400" w:type="dxa"/>
            <w:vAlign w:val="bottom"/>
            <w:tcBorders>
              <w:bottom w:val="single" w:sz="8" w:color="9A9A9A"/>
            </w:tcBorders>
          </w:tcPr>
          <w:p>
            <w:pPr>
              <w:spacing w:after="0"/>
              <w:rPr>
                <w:sz w:val="9"/>
                <w:szCs w:val="9"/>
                <w:color w:val="auto"/>
              </w:rPr>
            </w:pPr>
          </w:p>
        </w:tc>
        <w:tc>
          <w:tcPr>
            <w:tcW w:w="2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317" w:right="23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30"/>
        </w:trPr>
        <w:tc>
          <w:tcPr>
            <w:tcW w:w="1400" w:type="dxa"/>
            <w:vAlign w:val="bottom"/>
          </w:tcPr>
          <w:p>
            <w:pPr>
              <w:ind w:left="140"/>
              <w:spacing w:after="0"/>
              <w:rPr>
                <w:sz w:val="20"/>
                <w:szCs w:val="20"/>
                <w:color w:val="auto"/>
              </w:rPr>
            </w:pPr>
            <w:r>
              <w:rPr>
                <w:rFonts w:ascii="Arial" w:cs="Arial" w:eastAsia="Arial" w:hAnsi="Arial"/>
                <w:sz w:val="20"/>
                <w:szCs w:val="20"/>
                <w:color w:val="auto"/>
              </w:rPr>
              <w:t>10.8</w:t>
            </w:r>
          </w:p>
        </w:tc>
        <w:tc>
          <w:tcPr>
            <w:tcW w:w="10020" w:type="dxa"/>
            <w:vAlign w:val="bottom"/>
            <w:gridSpan w:val="30"/>
          </w:tcPr>
          <w:p>
            <w:pPr>
              <w:spacing w:after="0"/>
              <w:rPr>
                <w:rFonts w:ascii="Arial" w:cs="Arial" w:eastAsia="Arial" w:hAnsi="Arial"/>
                <w:sz w:val="20"/>
                <w:szCs w:val="20"/>
                <w:color w:val="0000EE"/>
                <w:w w:val="93"/>
              </w:rPr>
            </w:pPr>
            <w:hyperlink r:id="rId282">
              <w:r>
                <w:rPr>
                  <w:rFonts w:ascii="Arial" w:cs="Arial" w:eastAsia="Arial" w:hAnsi="Arial"/>
                  <w:sz w:val="20"/>
                  <w:szCs w:val="20"/>
                  <w:color w:val="0000EE"/>
                  <w:w w:val="93"/>
                </w:rPr>
                <w:t>Amendment No. 2 to M&amp;T Bank Corporation Supplemental Retirement Plan.  Incorporated by reference to Exhibit 10.8 of</w:t>
              </w:r>
            </w:hyperlink>
          </w:p>
        </w:tc>
      </w:tr>
      <w:tr>
        <w:trPr>
          <w:trHeight w:val="217"/>
        </w:trPr>
        <w:tc>
          <w:tcPr>
            <w:tcW w:w="1400" w:type="dxa"/>
            <w:vAlign w:val="bottom"/>
          </w:tcPr>
          <w:p>
            <w:pPr>
              <w:spacing w:after="0"/>
              <w:rPr>
                <w:sz w:val="18"/>
                <w:szCs w:val="18"/>
                <w:color w:val="auto"/>
              </w:rPr>
            </w:pPr>
          </w:p>
        </w:tc>
        <w:tc>
          <w:tcPr>
            <w:tcW w:w="7700" w:type="dxa"/>
            <w:vAlign w:val="bottom"/>
            <w:tcBorders>
              <w:top w:val="single" w:sz="8" w:color="0000EE"/>
              <w:bottom w:val="single" w:sz="8" w:color="0000EE"/>
            </w:tcBorders>
            <w:gridSpan w:val="9"/>
          </w:tcPr>
          <w:p>
            <w:pPr>
              <w:spacing w:after="0" w:line="216" w:lineRule="exact"/>
              <w:rPr>
                <w:rFonts w:ascii="Arial" w:cs="Arial" w:eastAsia="Arial" w:hAnsi="Arial"/>
                <w:sz w:val="20"/>
                <w:szCs w:val="20"/>
                <w:color w:val="0000EE"/>
                <w:w w:val="92"/>
              </w:rPr>
            </w:pPr>
            <w:hyperlink r:id="rId282">
              <w:r>
                <w:rPr>
                  <w:rFonts w:ascii="Arial" w:cs="Arial" w:eastAsia="Arial" w:hAnsi="Arial"/>
                  <w:sz w:val="20"/>
                  <w:szCs w:val="20"/>
                  <w:color w:val="0000EE"/>
                  <w:w w:val="92"/>
                </w:rPr>
                <w:t>M&amp;T Bank Corporation’s Form 10-K for the year ended December 31, 2018 (File No. 1-9861).</w:t>
              </w:r>
            </w:hyperlink>
          </w:p>
        </w:tc>
        <w:tc>
          <w:tcPr>
            <w:tcW w:w="2260" w:type="dxa"/>
            <w:vAlign w:val="bottom"/>
            <w:tcBorders>
              <w:top w:val="single" w:sz="8" w:color="0000EE"/>
            </w:tcBorders>
            <w:gridSpan w:val="19"/>
          </w:tcPr>
          <w:p>
            <w:pPr>
              <w:spacing w:after="0"/>
              <w:rPr>
                <w:sz w:val="18"/>
                <w:szCs w:val="18"/>
                <w:color w:val="auto"/>
              </w:rPr>
            </w:pPr>
          </w:p>
        </w:tc>
        <w:tc>
          <w:tcPr>
            <w:tcW w:w="60" w:type="dxa"/>
            <w:vAlign w:val="bottom"/>
            <w:gridSpan w:val="2"/>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10.9</w:t>
            </w:r>
          </w:p>
        </w:tc>
        <w:tc>
          <w:tcPr>
            <w:tcW w:w="9700" w:type="dxa"/>
            <w:vAlign w:val="bottom"/>
            <w:tcBorders>
              <w:bottom w:val="single" w:sz="8" w:color="0000EE"/>
            </w:tcBorders>
            <w:gridSpan w:val="18"/>
          </w:tcPr>
          <w:p>
            <w:pPr>
              <w:spacing w:after="0" w:line="216" w:lineRule="exact"/>
              <w:rPr>
                <w:rFonts w:ascii="Arial" w:cs="Arial" w:eastAsia="Arial" w:hAnsi="Arial"/>
                <w:sz w:val="20"/>
                <w:szCs w:val="20"/>
                <w:color w:val="0000EE"/>
                <w:w w:val="91"/>
              </w:rPr>
            </w:pPr>
            <w:hyperlink r:id="rId283">
              <w:r>
                <w:rPr>
                  <w:rFonts w:ascii="Arial" w:cs="Arial" w:eastAsia="Arial" w:hAnsi="Arial"/>
                  <w:sz w:val="20"/>
                  <w:szCs w:val="20"/>
                  <w:color w:val="0000EE"/>
                  <w:w w:val="91"/>
                </w:rPr>
                <w:t>M&amp;T Bank Corporation Deferred Bonus Plan, as amended and restated. Incorporated by reference to Exhibit 10.6 to the</w:t>
              </w:r>
            </w:hyperlink>
          </w:p>
        </w:tc>
        <w:tc>
          <w:tcPr>
            <w:tcW w:w="320" w:type="dxa"/>
            <w:vAlign w:val="bottom"/>
            <w:gridSpan w:val="12"/>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5660" w:type="dxa"/>
            <w:vAlign w:val="bottom"/>
            <w:tcBorders>
              <w:bottom w:val="single" w:sz="8" w:color="0000EE"/>
            </w:tcBorders>
            <w:gridSpan w:val="5"/>
          </w:tcPr>
          <w:p>
            <w:pPr>
              <w:spacing w:after="0" w:line="216" w:lineRule="exact"/>
              <w:rPr>
                <w:rFonts w:ascii="Arial" w:cs="Arial" w:eastAsia="Arial" w:hAnsi="Arial"/>
                <w:sz w:val="20"/>
                <w:szCs w:val="20"/>
                <w:color w:val="0000EE"/>
                <w:w w:val="92"/>
              </w:rPr>
            </w:pPr>
            <w:hyperlink r:id="rId283">
              <w:r>
                <w:rPr>
                  <w:rFonts w:ascii="Arial" w:cs="Arial" w:eastAsia="Arial" w:hAnsi="Arial"/>
                  <w:sz w:val="20"/>
                  <w:szCs w:val="20"/>
                  <w:color w:val="0000EE"/>
                  <w:w w:val="92"/>
                </w:rPr>
                <w:t>Form 10-K for the year ended December 31, 2016 (File No. 1-9861).*</w:t>
              </w:r>
            </w:hyperlink>
          </w:p>
        </w:tc>
        <w:tc>
          <w:tcPr>
            <w:tcW w:w="4360" w:type="dxa"/>
            <w:vAlign w:val="bottom"/>
            <w:gridSpan w:val="25"/>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10.10</w:t>
            </w:r>
          </w:p>
        </w:tc>
        <w:tc>
          <w:tcPr>
            <w:tcW w:w="9900" w:type="dxa"/>
            <w:vAlign w:val="bottom"/>
            <w:tcBorders>
              <w:bottom w:val="single" w:sz="8" w:color="0000EE"/>
            </w:tcBorders>
            <w:gridSpan w:val="25"/>
          </w:tcPr>
          <w:p>
            <w:pPr>
              <w:spacing w:after="0" w:line="216" w:lineRule="exact"/>
              <w:rPr>
                <w:rFonts w:ascii="Arial" w:cs="Arial" w:eastAsia="Arial" w:hAnsi="Arial"/>
                <w:sz w:val="20"/>
                <w:szCs w:val="20"/>
                <w:color w:val="0000EE"/>
                <w:w w:val="92"/>
              </w:rPr>
            </w:pPr>
            <w:hyperlink r:id="rId284">
              <w:r>
                <w:rPr>
                  <w:rFonts w:ascii="Arial" w:cs="Arial" w:eastAsia="Arial" w:hAnsi="Arial"/>
                  <w:sz w:val="20"/>
                  <w:szCs w:val="20"/>
                  <w:color w:val="0000EE"/>
                  <w:w w:val="92"/>
                </w:rPr>
                <w:t>M&amp;T Bank Corporation 2008 Directors’ Stock Plan, as amended. Incorporated by reference to Exhibit 4.1 to the Form S-8</w:t>
              </w:r>
            </w:hyperlink>
          </w:p>
        </w:tc>
        <w:tc>
          <w:tcPr>
            <w:tcW w:w="120" w:type="dxa"/>
            <w:vAlign w:val="bottom"/>
            <w:gridSpan w:val="5"/>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0020" w:type="dxa"/>
            <w:vAlign w:val="bottom"/>
            <w:gridSpan w:val="30"/>
          </w:tcPr>
          <w:p>
            <w:pPr>
              <w:spacing w:after="0" w:line="216" w:lineRule="exact"/>
              <w:rPr>
                <w:rFonts w:ascii="Arial" w:cs="Arial" w:eastAsia="Arial" w:hAnsi="Arial"/>
                <w:sz w:val="20"/>
                <w:szCs w:val="20"/>
                <w:color w:val="0000EE"/>
              </w:rPr>
            </w:pPr>
            <w:hyperlink r:id="rId284">
              <w:r>
                <w:rPr>
                  <w:rFonts w:ascii="Arial" w:cs="Arial" w:eastAsia="Arial" w:hAnsi="Arial"/>
                  <w:sz w:val="20"/>
                  <w:szCs w:val="20"/>
                  <w:color w:val="0000EE"/>
                </w:rPr>
                <w:t>dated October 19, 2012 (File No. 333-184504).*</w:t>
              </w:r>
            </w:hyperlink>
          </w:p>
        </w:tc>
      </w:tr>
      <w:tr>
        <w:trPr>
          <w:trHeight w:val="20"/>
        </w:trPr>
        <w:tc>
          <w:tcPr>
            <w:tcW w:w="140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10.11</w:t>
            </w:r>
          </w:p>
        </w:tc>
        <w:tc>
          <w:tcPr>
            <w:tcW w:w="9800" w:type="dxa"/>
            <w:vAlign w:val="bottom"/>
            <w:tcBorders>
              <w:bottom w:val="single" w:sz="8" w:color="0000EE"/>
            </w:tcBorders>
            <w:gridSpan w:val="20"/>
          </w:tcPr>
          <w:p>
            <w:pPr>
              <w:spacing w:after="0" w:line="216" w:lineRule="exact"/>
              <w:rPr>
                <w:rFonts w:ascii="Arial" w:cs="Arial" w:eastAsia="Arial" w:hAnsi="Arial"/>
                <w:sz w:val="20"/>
                <w:szCs w:val="20"/>
                <w:color w:val="0000EE"/>
                <w:w w:val="92"/>
              </w:rPr>
            </w:pPr>
            <w:hyperlink r:id="rId285">
              <w:r>
                <w:rPr>
                  <w:rFonts w:ascii="Arial" w:cs="Arial" w:eastAsia="Arial" w:hAnsi="Arial"/>
                  <w:sz w:val="20"/>
                  <w:szCs w:val="20"/>
                  <w:color w:val="0000EE"/>
                  <w:w w:val="92"/>
                </w:rPr>
                <w:t>M&amp;T Bank Corporation Employee Stock Purchase Plan. Incorporated by reference to Exhibit 10.22 to the Form 10-K for</w:t>
              </w:r>
            </w:hyperlink>
          </w:p>
        </w:tc>
        <w:tc>
          <w:tcPr>
            <w:tcW w:w="220" w:type="dxa"/>
            <w:vAlign w:val="bottom"/>
            <w:gridSpan w:val="10"/>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0020" w:type="dxa"/>
            <w:vAlign w:val="bottom"/>
            <w:gridSpan w:val="30"/>
          </w:tcPr>
          <w:p>
            <w:pPr>
              <w:spacing w:after="0" w:line="216" w:lineRule="exact"/>
              <w:rPr>
                <w:rFonts w:ascii="Arial" w:cs="Arial" w:eastAsia="Arial" w:hAnsi="Arial"/>
                <w:sz w:val="20"/>
                <w:szCs w:val="20"/>
                <w:color w:val="0000EE"/>
              </w:rPr>
            </w:pPr>
            <w:hyperlink r:id="rId285">
              <w:r>
                <w:rPr>
                  <w:rFonts w:ascii="Arial" w:cs="Arial" w:eastAsia="Arial" w:hAnsi="Arial"/>
                  <w:sz w:val="20"/>
                  <w:szCs w:val="20"/>
                  <w:color w:val="0000EE"/>
                </w:rPr>
                <w:t>the year ended December 31, 2012 (File No. 1-9861)</w:t>
              </w:r>
              <w:r>
                <w:rPr>
                  <w:rFonts w:ascii="Arial" w:cs="Arial" w:eastAsia="Arial" w:hAnsi="Arial"/>
                  <w:sz w:val="20"/>
                  <w:szCs w:val="20"/>
                  <w:color w:val="000000"/>
                </w:rPr>
                <w:t>.*</w:t>
              </w:r>
            </w:hyperlink>
          </w:p>
        </w:tc>
      </w:tr>
      <w:tr>
        <w:trPr>
          <w:trHeight w:val="20"/>
        </w:trPr>
        <w:tc>
          <w:tcPr>
            <w:tcW w:w="140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10.12</w:t>
            </w:r>
          </w:p>
        </w:tc>
        <w:tc>
          <w:tcPr>
            <w:tcW w:w="9880" w:type="dxa"/>
            <w:vAlign w:val="bottom"/>
            <w:tcBorders>
              <w:bottom w:val="single" w:sz="8" w:color="0000EE"/>
            </w:tcBorders>
            <w:gridSpan w:val="24"/>
          </w:tcPr>
          <w:p>
            <w:pPr>
              <w:spacing w:after="0" w:line="216" w:lineRule="exact"/>
              <w:rPr>
                <w:rFonts w:ascii="Arial" w:cs="Arial" w:eastAsia="Arial" w:hAnsi="Arial"/>
                <w:sz w:val="20"/>
                <w:szCs w:val="20"/>
                <w:color w:val="0000EE"/>
                <w:w w:val="92"/>
              </w:rPr>
            </w:pPr>
            <w:hyperlink r:id="rId286">
              <w:r>
                <w:rPr>
                  <w:rFonts w:ascii="Arial" w:cs="Arial" w:eastAsia="Arial" w:hAnsi="Arial"/>
                  <w:sz w:val="20"/>
                  <w:szCs w:val="20"/>
                  <w:color w:val="0000EE"/>
                  <w:w w:val="92"/>
                </w:rPr>
                <w:t>M&amp;T Bank Corporation 2009 Equity Incentive Compensation Plan. Incorporated by reference to Appendix A to the Proxy</w:t>
              </w:r>
            </w:hyperlink>
          </w:p>
        </w:tc>
        <w:tc>
          <w:tcPr>
            <w:tcW w:w="140" w:type="dxa"/>
            <w:vAlign w:val="bottom"/>
            <w:gridSpan w:val="6"/>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6360" w:type="dxa"/>
            <w:vAlign w:val="bottom"/>
            <w:tcBorders>
              <w:bottom w:val="single" w:sz="8" w:color="0000EE"/>
            </w:tcBorders>
            <w:gridSpan w:val="6"/>
          </w:tcPr>
          <w:p>
            <w:pPr>
              <w:spacing w:after="0" w:line="216" w:lineRule="exact"/>
              <w:rPr>
                <w:rFonts w:ascii="Arial" w:cs="Arial" w:eastAsia="Arial" w:hAnsi="Arial"/>
                <w:sz w:val="20"/>
                <w:szCs w:val="20"/>
                <w:color w:val="0000EE"/>
                <w:w w:val="93"/>
              </w:rPr>
            </w:pPr>
            <w:hyperlink r:id="rId286">
              <w:r>
                <w:rPr>
                  <w:rFonts w:ascii="Arial" w:cs="Arial" w:eastAsia="Arial" w:hAnsi="Arial"/>
                  <w:sz w:val="20"/>
                  <w:szCs w:val="20"/>
                  <w:color w:val="0000EE"/>
                  <w:w w:val="93"/>
                </w:rPr>
                <w:t>Statement of M&amp;T Bank Corporation dated March 5, 2015 (File No. 1-9861).*</w:t>
              </w:r>
            </w:hyperlink>
          </w:p>
        </w:tc>
        <w:tc>
          <w:tcPr>
            <w:tcW w:w="3660" w:type="dxa"/>
            <w:vAlign w:val="bottom"/>
            <w:gridSpan w:val="24"/>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10.13</w:t>
            </w:r>
          </w:p>
        </w:tc>
        <w:tc>
          <w:tcPr>
            <w:tcW w:w="9600" w:type="dxa"/>
            <w:vAlign w:val="bottom"/>
            <w:tcBorders>
              <w:bottom w:val="single" w:sz="8" w:color="0000EE"/>
            </w:tcBorders>
            <w:gridSpan w:val="16"/>
          </w:tcPr>
          <w:p>
            <w:pPr>
              <w:spacing w:after="0" w:line="216" w:lineRule="exact"/>
              <w:rPr>
                <w:rFonts w:ascii="Arial" w:cs="Arial" w:eastAsia="Arial" w:hAnsi="Arial"/>
                <w:sz w:val="20"/>
                <w:szCs w:val="20"/>
                <w:color w:val="0000EE"/>
                <w:w w:val="92"/>
              </w:rPr>
            </w:pPr>
            <w:hyperlink r:id="rId287">
              <w:r>
                <w:rPr>
                  <w:rFonts w:ascii="Arial" w:cs="Arial" w:eastAsia="Arial" w:hAnsi="Arial"/>
                  <w:sz w:val="20"/>
                  <w:szCs w:val="20"/>
                  <w:color w:val="0000EE"/>
                  <w:w w:val="92"/>
                </w:rPr>
                <w:t>M&amp;T Bank Corporation Form of Restricted Stock Award Agreement. Incorporated by reference to Exhibit 10.25 to the</w:t>
              </w:r>
            </w:hyperlink>
          </w:p>
        </w:tc>
        <w:tc>
          <w:tcPr>
            <w:tcW w:w="420" w:type="dxa"/>
            <w:vAlign w:val="bottom"/>
            <w:gridSpan w:val="14"/>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5660" w:type="dxa"/>
            <w:vAlign w:val="bottom"/>
            <w:tcBorders>
              <w:bottom w:val="single" w:sz="8" w:color="0000EE"/>
            </w:tcBorders>
            <w:gridSpan w:val="5"/>
          </w:tcPr>
          <w:p>
            <w:pPr>
              <w:spacing w:after="0" w:line="216" w:lineRule="exact"/>
              <w:rPr>
                <w:rFonts w:ascii="Arial" w:cs="Arial" w:eastAsia="Arial" w:hAnsi="Arial"/>
                <w:sz w:val="20"/>
                <w:szCs w:val="20"/>
                <w:color w:val="0000EE"/>
                <w:w w:val="92"/>
              </w:rPr>
            </w:pPr>
            <w:hyperlink r:id="rId287">
              <w:r>
                <w:rPr>
                  <w:rFonts w:ascii="Arial" w:cs="Arial" w:eastAsia="Arial" w:hAnsi="Arial"/>
                  <w:sz w:val="20"/>
                  <w:szCs w:val="20"/>
                  <w:color w:val="0000EE"/>
                  <w:w w:val="92"/>
                </w:rPr>
                <w:t>Form 10-K for the year ended December 31, 2013 (File No. 1-9861).*</w:t>
              </w:r>
            </w:hyperlink>
          </w:p>
        </w:tc>
        <w:tc>
          <w:tcPr>
            <w:tcW w:w="4360" w:type="dxa"/>
            <w:vAlign w:val="bottom"/>
            <w:gridSpan w:val="25"/>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10.14</w:t>
            </w:r>
          </w:p>
        </w:tc>
        <w:tc>
          <w:tcPr>
            <w:tcW w:w="10020" w:type="dxa"/>
            <w:vAlign w:val="bottom"/>
            <w:gridSpan w:val="30"/>
          </w:tcPr>
          <w:p>
            <w:pPr>
              <w:spacing w:after="0" w:line="216" w:lineRule="exact"/>
              <w:rPr>
                <w:rFonts w:ascii="Arial" w:cs="Arial" w:eastAsia="Arial" w:hAnsi="Arial"/>
                <w:sz w:val="20"/>
                <w:szCs w:val="20"/>
                <w:color w:val="0000EE"/>
                <w:w w:val="93"/>
              </w:rPr>
            </w:pPr>
            <w:hyperlink r:id="rId288">
              <w:r>
                <w:rPr>
                  <w:rFonts w:ascii="Arial" w:cs="Arial" w:eastAsia="Arial" w:hAnsi="Arial"/>
                  <w:sz w:val="20"/>
                  <w:szCs w:val="20"/>
                  <w:color w:val="0000EE"/>
                  <w:w w:val="93"/>
                </w:rPr>
                <w:t>M&amp;T Bank Corporation Form of Restricted Stock Unit Award Agreement. Incorporated by reference to Exhibit 10.26 to the</w:t>
              </w:r>
            </w:hyperlink>
          </w:p>
        </w:tc>
      </w:tr>
      <w:tr>
        <w:trPr>
          <w:trHeight w:val="217"/>
        </w:trPr>
        <w:tc>
          <w:tcPr>
            <w:tcW w:w="1400" w:type="dxa"/>
            <w:vAlign w:val="bottom"/>
          </w:tcPr>
          <w:p>
            <w:pPr>
              <w:spacing w:after="0"/>
              <w:rPr>
                <w:sz w:val="18"/>
                <w:szCs w:val="18"/>
                <w:color w:val="auto"/>
              </w:rPr>
            </w:pPr>
          </w:p>
        </w:tc>
        <w:tc>
          <w:tcPr>
            <w:tcW w:w="5660" w:type="dxa"/>
            <w:vAlign w:val="bottom"/>
            <w:tcBorders>
              <w:top w:val="single" w:sz="8" w:color="0000EE"/>
              <w:bottom w:val="single" w:sz="8" w:color="0000EE"/>
            </w:tcBorders>
            <w:gridSpan w:val="5"/>
          </w:tcPr>
          <w:p>
            <w:pPr>
              <w:spacing w:after="0" w:line="216" w:lineRule="exact"/>
              <w:rPr>
                <w:rFonts w:ascii="Arial" w:cs="Arial" w:eastAsia="Arial" w:hAnsi="Arial"/>
                <w:sz w:val="20"/>
                <w:szCs w:val="20"/>
                <w:color w:val="0000EE"/>
                <w:w w:val="92"/>
              </w:rPr>
            </w:pPr>
            <w:hyperlink r:id="rId288">
              <w:r>
                <w:rPr>
                  <w:rFonts w:ascii="Arial" w:cs="Arial" w:eastAsia="Arial" w:hAnsi="Arial"/>
                  <w:sz w:val="20"/>
                  <w:szCs w:val="20"/>
                  <w:color w:val="0000EE"/>
                  <w:w w:val="92"/>
                </w:rPr>
                <w:t>Form 10-K for the year ended December 31, 2013 (File No. 1-9861).*</w:t>
              </w:r>
            </w:hyperlink>
          </w:p>
        </w:tc>
        <w:tc>
          <w:tcPr>
            <w:tcW w:w="4340" w:type="dxa"/>
            <w:vAlign w:val="bottom"/>
            <w:tcBorders>
              <w:top w:val="single" w:sz="8" w:color="0000EE"/>
            </w:tcBorders>
            <w:gridSpan w:val="24"/>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10.15</w:t>
            </w:r>
          </w:p>
        </w:tc>
        <w:tc>
          <w:tcPr>
            <w:tcW w:w="9840" w:type="dxa"/>
            <w:vAlign w:val="bottom"/>
            <w:tcBorders>
              <w:bottom w:val="single" w:sz="8" w:color="0000EE"/>
            </w:tcBorders>
            <w:gridSpan w:val="22"/>
          </w:tcPr>
          <w:p>
            <w:pPr>
              <w:spacing w:after="0" w:line="216" w:lineRule="exact"/>
              <w:rPr>
                <w:rFonts w:ascii="Arial" w:cs="Arial" w:eastAsia="Arial" w:hAnsi="Arial"/>
                <w:sz w:val="20"/>
                <w:szCs w:val="20"/>
                <w:color w:val="0000EE"/>
                <w:w w:val="92"/>
              </w:rPr>
            </w:pPr>
            <w:hyperlink r:id="rId289">
              <w:r>
                <w:rPr>
                  <w:rFonts w:ascii="Arial" w:cs="Arial" w:eastAsia="Arial" w:hAnsi="Arial"/>
                  <w:sz w:val="20"/>
                  <w:szCs w:val="20"/>
                  <w:color w:val="0000EE"/>
                  <w:w w:val="92"/>
                </w:rPr>
                <w:t>M&amp;T Bank Corporation Form of Performance-Vested Restricted Stock Unit Award Agreement. Incorporated by reference</w:t>
              </w:r>
            </w:hyperlink>
          </w:p>
        </w:tc>
        <w:tc>
          <w:tcPr>
            <w:tcW w:w="180" w:type="dxa"/>
            <w:vAlign w:val="bottom"/>
            <w:gridSpan w:val="8"/>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7520" w:type="dxa"/>
            <w:vAlign w:val="bottom"/>
            <w:tcBorders>
              <w:bottom w:val="single" w:sz="8" w:color="0000EE"/>
            </w:tcBorders>
            <w:gridSpan w:val="8"/>
          </w:tcPr>
          <w:p>
            <w:pPr>
              <w:spacing w:after="0" w:line="216" w:lineRule="exact"/>
              <w:rPr>
                <w:rFonts w:ascii="Arial" w:cs="Arial" w:eastAsia="Arial" w:hAnsi="Arial"/>
                <w:sz w:val="20"/>
                <w:szCs w:val="20"/>
                <w:color w:val="0000EE"/>
                <w:w w:val="92"/>
              </w:rPr>
            </w:pPr>
            <w:hyperlink r:id="rId289">
              <w:r>
                <w:rPr>
                  <w:rFonts w:ascii="Arial" w:cs="Arial" w:eastAsia="Arial" w:hAnsi="Arial"/>
                  <w:sz w:val="20"/>
                  <w:szCs w:val="20"/>
                  <w:color w:val="0000EE"/>
                  <w:w w:val="92"/>
                </w:rPr>
                <w:t>to Exhibit 10.27 to the Form 10-K for the year ended December 31, 2013 (File No. 1-9861).*</w:t>
              </w:r>
            </w:hyperlink>
          </w:p>
        </w:tc>
        <w:tc>
          <w:tcPr>
            <w:tcW w:w="2500" w:type="dxa"/>
            <w:vAlign w:val="bottom"/>
            <w:gridSpan w:val="22"/>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10.16</w:t>
            </w:r>
          </w:p>
        </w:tc>
        <w:tc>
          <w:tcPr>
            <w:tcW w:w="10020" w:type="dxa"/>
            <w:vAlign w:val="bottom"/>
            <w:gridSpan w:val="30"/>
          </w:tcPr>
          <w:p>
            <w:pPr>
              <w:spacing w:after="0" w:line="216" w:lineRule="exact"/>
              <w:rPr>
                <w:rFonts w:ascii="Arial" w:cs="Arial" w:eastAsia="Arial" w:hAnsi="Arial"/>
                <w:sz w:val="20"/>
                <w:szCs w:val="20"/>
                <w:color w:val="0000EE"/>
                <w:w w:val="98"/>
              </w:rPr>
            </w:pPr>
            <w:hyperlink r:id="rId290">
              <w:r>
                <w:rPr>
                  <w:rFonts w:ascii="Arial" w:cs="Arial" w:eastAsia="Arial" w:hAnsi="Arial"/>
                  <w:sz w:val="20"/>
                  <w:szCs w:val="20"/>
                  <w:color w:val="0000EE"/>
                  <w:w w:val="98"/>
                </w:rPr>
                <w:t>M&amp;T Bank Corporation Form of Performance-Vested Restricted Stock Unit Award Agreement (for named executive</w:t>
              </w:r>
            </w:hyperlink>
          </w:p>
        </w:tc>
      </w:tr>
      <w:tr>
        <w:trPr>
          <w:trHeight w:val="217"/>
        </w:trPr>
        <w:tc>
          <w:tcPr>
            <w:tcW w:w="1400" w:type="dxa"/>
            <w:vAlign w:val="bottom"/>
          </w:tcPr>
          <w:p>
            <w:pPr>
              <w:spacing w:after="0"/>
              <w:rPr>
                <w:sz w:val="18"/>
                <w:szCs w:val="18"/>
                <w:color w:val="auto"/>
              </w:rPr>
            </w:pPr>
          </w:p>
        </w:tc>
        <w:tc>
          <w:tcPr>
            <w:tcW w:w="9360" w:type="dxa"/>
            <w:vAlign w:val="bottom"/>
            <w:tcBorders>
              <w:top w:val="single" w:sz="8" w:color="0000EE"/>
              <w:bottom w:val="single" w:sz="8" w:color="0000EE"/>
            </w:tcBorders>
            <w:gridSpan w:val="12"/>
          </w:tcPr>
          <w:p>
            <w:pPr>
              <w:spacing w:after="0" w:line="216" w:lineRule="exact"/>
              <w:rPr>
                <w:rFonts w:ascii="Arial" w:cs="Arial" w:eastAsia="Arial" w:hAnsi="Arial"/>
                <w:sz w:val="20"/>
                <w:szCs w:val="20"/>
                <w:color w:val="0000EE"/>
                <w:w w:val="92"/>
              </w:rPr>
            </w:pPr>
            <w:hyperlink r:id="rId290">
              <w:r>
                <w:rPr>
                  <w:rFonts w:ascii="Arial" w:cs="Arial" w:eastAsia="Arial" w:hAnsi="Arial"/>
                  <w:sz w:val="20"/>
                  <w:szCs w:val="20"/>
                  <w:color w:val="0000EE"/>
                  <w:w w:val="92"/>
                </w:rPr>
                <w:t>officers (“NEOs”) subject to Section 162 (m) of the Internal Revenue Code of 1986, as amended from time to time).</w:t>
              </w:r>
            </w:hyperlink>
          </w:p>
        </w:tc>
        <w:tc>
          <w:tcPr>
            <w:tcW w:w="40" w:type="dxa"/>
            <w:vAlign w:val="bottom"/>
            <w:tcBorders>
              <w:top w:val="single" w:sz="8" w:color="0000EE"/>
            </w:tcBorders>
          </w:tcPr>
          <w:p>
            <w:pPr>
              <w:spacing w:after="0"/>
              <w:rPr>
                <w:sz w:val="18"/>
                <w:szCs w:val="18"/>
                <w:color w:val="auto"/>
              </w:rPr>
            </w:pPr>
          </w:p>
        </w:tc>
        <w:tc>
          <w:tcPr>
            <w:tcW w:w="620" w:type="dxa"/>
            <w:vAlign w:val="bottom"/>
            <w:gridSpan w:val="17"/>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9460" w:type="dxa"/>
            <w:vAlign w:val="bottom"/>
            <w:tcBorders>
              <w:bottom w:val="single" w:sz="8" w:color="0000EE"/>
            </w:tcBorders>
            <w:gridSpan w:val="14"/>
          </w:tcPr>
          <w:p>
            <w:pPr>
              <w:spacing w:after="0" w:line="216" w:lineRule="exact"/>
              <w:rPr>
                <w:rFonts w:ascii="Arial" w:cs="Arial" w:eastAsia="Arial" w:hAnsi="Arial"/>
                <w:sz w:val="20"/>
                <w:szCs w:val="20"/>
                <w:color w:val="0000EE"/>
                <w:w w:val="92"/>
              </w:rPr>
            </w:pPr>
            <w:hyperlink r:id="rId290">
              <w:r>
                <w:rPr>
                  <w:rFonts w:ascii="Arial" w:cs="Arial" w:eastAsia="Arial" w:hAnsi="Arial"/>
                  <w:sz w:val="20"/>
                  <w:szCs w:val="20"/>
                  <w:color w:val="0000EE"/>
                  <w:w w:val="92"/>
                </w:rPr>
                <w:t>Incorporated by reference to Exhibit 10.1 to the Form 10-Q for the quarter ended March 31, 2014 (File No. 1-9861).*</w:t>
              </w:r>
            </w:hyperlink>
          </w:p>
        </w:tc>
        <w:tc>
          <w:tcPr>
            <w:tcW w:w="560" w:type="dxa"/>
            <w:vAlign w:val="bottom"/>
            <w:gridSpan w:val="16"/>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10.17</w:t>
            </w:r>
          </w:p>
        </w:tc>
        <w:tc>
          <w:tcPr>
            <w:tcW w:w="9780" w:type="dxa"/>
            <w:vAlign w:val="bottom"/>
            <w:tcBorders>
              <w:bottom w:val="single" w:sz="8" w:color="0000EE"/>
            </w:tcBorders>
            <w:gridSpan w:val="19"/>
          </w:tcPr>
          <w:p>
            <w:pPr>
              <w:spacing w:after="0" w:line="216" w:lineRule="exact"/>
              <w:rPr>
                <w:rFonts w:ascii="Arial" w:cs="Arial" w:eastAsia="Arial" w:hAnsi="Arial"/>
                <w:sz w:val="20"/>
                <w:szCs w:val="20"/>
                <w:color w:val="0000EE"/>
                <w:w w:val="91"/>
              </w:rPr>
            </w:pPr>
            <w:hyperlink r:id="rId291">
              <w:r>
                <w:rPr>
                  <w:rFonts w:ascii="Arial" w:cs="Arial" w:eastAsia="Arial" w:hAnsi="Arial"/>
                  <w:sz w:val="20"/>
                  <w:szCs w:val="20"/>
                  <w:color w:val="0000EE"/>
                  <w:w w:val="91"/>
                </w:rPr>
                <w:t>Hudson City Bancorp, Inc. Amended and Restated 2011 Stock Incentive Plan. Incorporated by reference to Exhibit 4.6 to</w:t>
              </w:r>
            </w:hyperlink>
          </w:p>
        </w:tc>
        <w:tc>
          <w:tcPr>
            <w:tcW w:w="240" w:type="dxa"/>
            <w:vAlign w:val="bottom"/>
            <w:gridSpan w:val="11"/>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0020" w:type="dxa"/>
            <w:vAlign w:val="bottom"/>
            <w:gridSpan w:val="30"/>
          </w:tcPr>
          <w:p>
            <w:pPr>
              <w:spacing w:after="0" w:line="216" w:lineRule="exact"/>
              <w:rPr>
                <w:rFonts w:ascii="Arial" w:cs="Arial" w:eastAsia="Arial" w:hAnsi="Arial"/>
                <w:sz w:val="20"/>
                <w:szCs w:val="20"/>
                <w:color w:val="0000EE"/>
              </w:rPr>
            </w:pPr>
            <w:hyperlink r:id="rId291">
              <w:r>
                <w:rPr>
                  <w:rFonts w:ascii="Arial" w:cs="Arial" w:eastAsia="Arial" w:hAnsi="Arial"/>
                  <w:sz w:val="20"/>
                  <w:szCs w:val="20"/>
                  <w:color w:val="0000EE"/>
                </w:rPr>
                <w:t>the Form S-8 dated November 2, 2015 (File No. 333-184411).*</w:t>
              </w:r>
            </w:hyperlink>
          </w:p>
        </w:tc>
      </w:tr>
      <w:tr>
        <w:trPr>
          <w:trHeight w:val="20"/>
        </w:trPr>
        <w:tc>
          <w:tcPr>
            <w:tcW w:w="140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10.18</w:t>
            </w:r>
          </w:p>
        </w:tc>
        <w:tc>
          <w:tcPr>
            <w:tcW w:w="10020" w:type="dxa"/>
            <w:vAlign w:val="bottom"/>
            <w:gridSpan w:val="30"/>
          </w:tcPr>
          <w:p>
            <w:pPr>
              <w:spacing w:after="0" w:line="216" w:lineRule="exact"/>
              <w:rPr>
                <w:rFonts w:ascii="Arial" w:cs="Arial" w:eastAsia="Arial" w:hAnsi="Arial"/>
                <w:sz w:val="20"/>
                <w:szCs w:val="20"/>
                <w:color w:val="0000EE"/>
                <w:w w:val="97"/>
              </w:rPr>
            </w:pPr>
            <w:hyperlink r:id="rId292">
              <w:r>
                <w:rPr>
                  <w:rFonts w:ascii="Arial" w:cs="Arial" w:eastAsia="Arial" w:hAnsi="Arial"/>
                  <w:sz w:val="20"/>
                  <w:szCs w:val="20"/>
                  <w:color w:val="0000EE"/>
                  <w:w w:val="97"/>
                </w:rPr>
                <w:t>Hudson City Bancorp, Inc. 2006 Stock Incentive Plan. Incorporated by reference to Exhibit 4.7 to the Form S-8 dated</w:t>
              </w:r>
            </w:hyperlink>
          </w:p>
        </w:tc>
      </w:tr>
      <w:tr>
        <w:trPr>
          <w:trHeight w:val="217"/>
        </w:trPr>
        <w:tc>
          <w:tcPr>
            <w:tcW w:w="1400" w:type="dxa"/>
            <w:vAlign w:val="bottom"/>
          </w:tcPr>
          <w:p>
            <w:pPr>
              <w:spacing w:after="0"/>
              <w:rPr>
                <w:sz w:val="18"/>
                <w:szCs w:val="18"/>
                <w:color w:val="auto"/>
              </w:rPr>
            </w:pPr>
          </w:p>
        </w:tc>
        <w:tc>
          <w:tcPr>
            <w:tcW w:w="9460" w:type="dxa"/>
            <w:vAlign w:val="bottom"/>
            <w:tcBorders>
              <w:top w:val="single" w:sz="8" w:color="0000EE"/>
            </w:tcBorders>
            <w:gridSpan w:val="14"/>
          </w:tcPr>
          <w:p>
            <w:pPr>
              <w:spacing w:after="0" w:line="216" w:lineRule="exact"/>
              <w:rPr>
                <w:rFonts w:ascii="Arial" w:cs="Arial" w:eastAsia="Arial" w:hAnsi="Arial"/>
                <w:sz w:val="20"/>
                <w:szCs w:val="20"/>
                <w:color w:val="0000EE"/>
              </w:rPr>
            </w:pPr>
            <w:hyperlink r:id="rId292">
              <w:r>
                <w:rPr>
                  <w:rFonts w:ascii="Arial" w:cs="Arial" w:eastAsia="Arial" w:hAnsi="Arial"/>
                  <w:sz w:val="20"/>
                  <w:szCs w:val="20"/>
                  <w:color w:val="0000EE"/>
                </w:rPr>
                <w:t>November 2, 2015 (File No. 333-184411).*</w:t>
              </w:r>
            </w:hyperlink>
          </w:p>
        </w:tc>
        <w:tc>
          <w:tcPr>
            <w:tcW w:w="560" w:type="dxa"/>
            <w:vAlign w:val="bottom"/>
            <w:gridSpan w:val="16"/>
          </w:tcPr>
          <w:p>
            <w:pPr>
              <w:spacing w:after="0"/>
              <w:rPr>
                <w:sz w:val="18"/>
                <w:szCs w:val="18"/>
                <w:color w:val="auto"/>
              </w:rPr>
            </w:pPr>
          </w:p>
        </w:tc>
      </w:tr>
      <w:tr>
        <w:trPr>
          <w:trHeight w:val="20"/>
        </w:trPr>
        <w:tc>
          <w:tcPr>
            <w:tcW w:w="140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10.19</w:t>
            </w:r>
          </w:p>
        </w:tc>
        <w:tc>
          <w:tcPr>
            <w:tcW w:w="10020" w:type="dxa"/>
            <w:vAlign w:val="bottom"/>
            <w:gridSpan w:val="30"/>
          </w:tcPr>
          <w:p>
            <w:pPr>
              <w:spacing w:after="0" w:line="216" w:lineRule="exact"/>
              <w:rPr>
                <w:rFonts w:ascii="Arial" w:cs="Arial" w:eastAsia="Arial" w:hAnsi="Arial"/>
                <w:sz w:val="20"/>
                <w:szCs w:val="20"/>
                <w:color w:val="0000EE"/>
                <w:w w:val="94"/>
              </w:rPr>
            </w:pPr>
            <w:hyperlink r:id="rId293">
              <w:r>
                <w:rPr>
                  <w:rFonts w:ascii="Arial" w:cs="Arial" w:eastAsia="Arial" w:hAnsi="Arial"/>
                  <w:sz w:val="20"/>
                  <w:szCs w:val="20"/>
                  <w:color w:val="0000EE"/>
                  <w:w w:val="94"/>
                </w:rPr>
                <w:t>M&amp;T Bank Corporation 2019 Equity Incentive Compensation Plan. Incorporated by reference to Appendix A to the Proxy</w:t>
              </w:r>
            </w:hyperlink>
          </w:p>
        </w:tc>
      </w:tr>
      <w:tr>
        <w:trPr>
          <w:trHeight w:val="217"/>
        </w:trPr>
        <w:tc>
          <w:tcPr>
            <w:tcW w:w="1400" w:type="dxa"/>
            <w:vAlign w:val="bottom"/>
          </w:tcPr>
          <w:p>
            <w:pPr>
              <w:spacing w:after="0"/>
              <w:rPr>
                <w:sz w:val="18"/>
                <w:szCs w:val="18"/>
                <w:color w:val="auto"/>
              </w:rPr>
            </w:pPr>
          </w:p>
        </w:tc>
        <w:tc>
          <w:tcPr>
            <w:tcW w:w="6360" w:type="dxa"/>
            <w:vAlign w:val="bottom"/>
            <w:tcBorders>
              <w:top w:val="single" w:sz="8" w:color="0000EE"/>
              <w:bottom w:val="single" w:sz="8" w:color="0000EE"/>
            </w:tcBorders>
            <w:gridSpan w:val="6"/>
          </w:tcPr>
          <w:p>
            <w:pPr>
              <w:spacing w:after="0" w:line="216" w:lineRule="exact"/>
              <w:rPr>
                <w:rFonts w:ascii="Arial" w:cs="Arial" w:eastAsia="Arial" w:hAnsi="Arial"/>
                <w:sz w:val="20"/>
                <w:szCs w:val="20"/>
                <w:color w:val="0000EE"/>
                <w:w w:val="93"/>
              </w:rPr>
            </w:pPr>
            <w:hyperlink r:id="rId293">
              <w:r>
                <w:rPr>
                  <w:rFonts w:ascii="Arial" w:cs="Arial" w:eastAsia="Arial" w:hAnsi="Arial"/>
                  <w:sz w:val="20"/>
                  <w:szCs w:val="20"/>
                  <w:color w:val="0000EE"/>
                  <w:w w:val="93"/>
                </w:rPr>
                <w:t>Statement of M&amp;T Bank Corporation dated March 7, 2019 (File No. 1-9861).*</w:t>
              </w:r>
            </w:hyperlink>
          </w:p>
        </w:tc>
        <w:tc>
          <w:tcPr>
            <w:tcW w:w="3560" w:type="dxa"/>
            <w:vAlign w:val="bottom"/>
            <w:tcBorders>
              <w:top w:val="single" w:sz="8" w:color="0000EE"/>
            </w:tcBorders>
            <w:gridSpan w:val="20"/>
          </w:tcPr>
          <w:p>
            <w:pPr>
              <w:spacing w:after="0"/>
              <w:rPr>
                <w:sz w:val="18"/>
                <w:szCs w:val="18"/>
                <w:color w:val="auto"/>
              </w:rPr>
            </w:pPr>
          </w:p>
        </w:tc>
        <w:tc>
          <w:tcPr>
            <w:tcW w:w="100" w:type="dxa"/>
            <w:vAlign w:val="bottom"/>
            <w:gridSpan w:val="4"/>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10.20</w:t>
            </w:r>
          </w:p>
        </w:tc>
        <w:tc>
          <w:tcPr>
            <w:tcW w:w="10020" w:type="dxa"/>
            <w:vAlign w:val="bottom"/>
            <w:gridSpan w:val="30"/>
          </w:tcPr>
          <w:p>
            <w:pPr>
              <w:spacing w:after="0" w:line="216" w:lineRule="exact"/>
              <w:rPr>
                <w:rFonts w:ascii="Arial" w:cs="Arial" w:eastAsia="Arial" w:hAnsi="Arial"/>
                <w:sz w:val="20"/>
                <w:szCs w:val="20"/>
                <w:color w:val="0000EE"/>
                <w:w w:val="94"/>
              </w:rPr>
            </w:pPr>
            <w:hyperlink r:id="rId294">
              <w:r>
                <w:rPr>
                  <w:rFonts w:ascii="Arial" w:cs="Arial" w:eastAsia="Arial" w:hAnsi="Arial"/>
                  <w:sz w:val="20"/>
                  <w:szCs w:val="20"/>
                  <w:color w:val="0000EE"/>
                  <w:w w:val="94"/>
                </w:rPr>
                <w:t>M&amp;T Bank Corporation Form of Performance Share Unit Award Agreement. Incorporated by reference to Exhibit 10.1 to</w:t>
              </w:r>
            </w:hyperlink>
          </w:p>
        </w:tc>
      </w:tr>
      <w:tr>
        <w:trPr>
          <w:trHeight w:val="217"/>
        </w:trPr>
        <w:tc>
          <w:tcPr>
            <w:tcW w:w="1400" w:type="dxa"/>
            <w:vAlign w:val="bottom"/>
          </w:tcPr>
          <w:p>
            <w:pPr>
              <w:spacing w:after="0"/>
              <w:rPr>
                <w:sz w:val="18"/>
                <w:szCs w:val="18"/>
                <w:color w:val="auto"/>
              </w:rPr>
            </w:pPr>
          </w:p>
        </w:tc>
        <w:tc>
          <w:tcPr>
            <w:tcW w:w="7720" w:type="dxa"/>
            <w:vAlign w:val="bottom"/>
            <w:tcBorders>
              <w:top w:val="single" w:sz="8" w:color="0000EE"/>
              <w:bottom w:val="single" w:sz="8" w:color="0000EE"/>
            </w:tcBorders>
            <w:gridSpan w:val="10"/>
          </w:tcPr>
          <w:p>
            <w:pPr>
              <w:spacing w:after="0" w:line="216" w:lineRule="exact"/>
              <w:rPr>
                <w:rFonts w:ascii="Arial" w:cs="Arial" w:eastAsia="Arial" w:hAnsi="Arial"/>
                <w:sz w:val="20"/>
                <w:szCs w:val="20"/>
                <w:color w:val="0000EE"/>
                <w:w w:val="93"/>
              </w:rPr>
            </w:pPr>
            <w:hyperlink r:id="rId294">
              <w:r>
                <w:rPr>
                  <w:rFonts w:ascii="Arial" w:cs="Arial" w:eastAsia="Arial" w:hAnsi="Arial"/>
                  <w:sz w:val="20"/>
                  <w:szCs w:val="20"/>
                  <w:color w:val="0000EE"/>
                  <w:w w:val="93"/>
                </w:rPr>
                <w:t>M&amp;T Bank Corporation’s Form 10-Q for the quarter ended March 31, 2019 (File No. 1-9861).*</w:t>
              </w:r>
            </w:hyperlink>
          </w:p>
        </w:tc>
        <w:tc>
          <w:tcPr>
            <w:tcW w:w="2140" w:type="dxa"/>
            <w:vAlign w:val="bottom"/>
            <w:tcBorders>
              <w:top w:val="single" w:sz="8" w:color="0000EE"/>
            </w:tcBorders>
            <w:gridSpan w:val="13"/>
          </w:tcPr>
          <w:p>
            <w:pPr>
              <w:spacing w:after="0"/>
              <w:rPr>
                <w:sz w:val="18"/>
                <w:szCs w:val="18"/>
                <w:color w:val="auto"/>
              </w:rPr>
            </w:pPr>
          </w:p>
        </w:tc>
        <w:tc>
          <w:tcPr>
            <w:tcW w:w="160" w:type="dxa"/>
            <w:vAlign w:val="bottom"/>
            <w:gridSpan w:val="7"/>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11.1</w:t>
            </w:r>
          </w:p>
        </w:tc>
        <w:tc>
          <w:tcPr>
            <w:tcW w:w="9560" w:type="dxa"/>
            <w:vAlign w:val="bottom"/>
            <w:tcBorders>
              <w:bottom w:val="single" w:sz="8" w:color="0000EE"/>
            </w:tcBorders>
            <w:gridSpan w:val="15"/>
          </w:tcPr>
          <w:p>
            <w:pPr>
              <w:spacing w:after="0" w:line="216" w:lineRule="exact"/>
              <w:rPr>
                <w:rFonts w:ascii="Arial" w:cs="Arial" w:eastAsia="Arial" w:hAnsi="Arial"/>
                <w:sz w:val="20"/>
                <w:szCs w:val="20"/>
                <w:color w:val="0000EE"/>
                <w:w w:val="90"/>
              </w:rPr>
            </w:pPr>
            <w:hyperlink w:anchor="page123">
              <w:r>
                <w:rPr>
                  <w:rFonts w:ascii="Arial" w:cs="Arial" w:eastAsia="Arial" w:hAnsi="Arial"/>
                  <w:sz w:val="20"/>
                  <w:szCs w:val="20"/>
                  <w:color w:val="0000EE"/>
                  <w:w w:val="90"/>
                </w:rPr>
                <w:t>Statement re: Computation of Earnings Per Common Share. Incorporated by reference to note 14 of Notes to Financial</w:t>
              </w:r>
            </w:hyperlink>
          </w:p>
        </w:tc>
        <w:tc>
          <w:tcPr>
            <w:tcW w:w="460" w:type="dxa"/>
            <w:vAlign w:val="bottom"/>
            <w:gridSpan w:val="15"/>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7500" w:type="dxa"/>
            <w:vAlign w:val="bottom"/>
            <w:tcBorders>
              <w:bottom w:val="single" w:sz="8" w:color="0000EE"/>
            </w:tcBorders>
            <w:gridSpan w:val="7"/>
          </w:tcPr>
          <w:p>
            <w:pPr>
              <w:spacing w:after="0" w:line="216" w:lineRule="exact"/>
              <w:rPr>
                <w:rFonts w:ascii="Arial" w:cs="Arial" w:eastAsia="Arial" w:hAnsi="Arial"/>
                <w:sz w:val="20"/>
                <w:szCs w:val="20"/>
                <w:color w:val="0000EE"/>
                <w:w w:val="91"/>
              </w:rPr>
            </w:pPr>
            <w:hyperlink w:anchor="page123">
              <w:r>
                <w:rPr>
                  <w:rFonts w:ascii="Arial" w:cs="Arial" w:eastAsia="Arial" w:hAnsi="Arial"/>
                  <w:sz w:val="20"/>
                  <w:szCs w:val="20"/>
                  <w:color w:val="0000EE"/>
                  <w:w w:val="91"/>
                </w:rPr>
                <w:t>Statements filed herewith in Part II, Item 8, “Financial Statements and Supplementary Data.”</w:t>
              </w:r>
            </w:hyperlink>
          </w:p>
        </w:tc>
        <w:tc>
          <w:tcPr>
            <w:tcW w:w="2520" w:type="dxa"/>
            <w:vAlign w:val="bottom"/>
            <w:gridSpan w:val="23"/>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21.1</w:t>
            </w:r>
          </w:p>
        </w:tc>
        <w:tc>
          <w:tcPr>
            <w:tcW w:w="9680" w:type="dxa"/>
            <w:vAlign w:val="bottom"/>
            <w:tcBorders>
              <w:bottom w:val="single" w:sz="8" w:color="0000EE"/>
            </w:tcBorders>
            <w:gridSpan w:val="17"/>
          </w:tcPr>
          <w:p>
            <w:pPr>
              <w:spacing w:after="0" w:line="216" w:lineRule="exact"/>
              <w:rPr>
                <w:rFonts w:ascii="Arial" w:cs="Arial" w:eastAsia="Arial" w:hAnsi="Arial"/>
                <w:sz w:val="20"/>
                <w:szCs w:val="20"/>
                <w:color w:val="0000EE"/>
                <w:w w:val="91"/>
              </w:rPr>
            </w:pPr>
            <w:hyperlink w:anchor="page4">
              <w:r>
                <w:rPr>
                  <w:rFonts w:ascii="Arial" w:cs="Arial" w:eastAsia="Arial" w:hAnsi="Arial"/>
                  <w:sz w:val="20"/>
                  <w:szCs w:val="20"/>
                  <w:color w:val="0000EE"/>
                  <w:w w:val="91"/>
                </w:rPr>
                <w:t>Subsidiaries of the Registrant. Incorporated by reference to the caption “Subsidiaries” contained in Part I, Item 1 hereof.</w:t>
              </w:r>
            </w:hyperlink>
          </w:p>
        </w:tc>
        <w:tc>
          <w:tcPr>
            <w:tcW w:w="340" w:type="dxa"/>
            <w:vAlign w:val="bottom"/>
            <w:gridSpan w:val="13"/>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23.1</w:t>
            </w:r>
          </w:p>
        </w:tc>
        <w:tc>
          <w:tcPr>
            <w:tcW w:w="10020" w:type="dxa"/>
            <w:vAlign w:val="bottom"/>
            <w:gridSpan w:val="30"/>
          </w:tcPr>
          <w:p>
            <w:pPr>
              <w:spacing w:after="0" w:line="216" w:lineRule="exact"/>
              <w:rPr>
                <w:rFonts w:ascii="Arial" w:cs="Arial" w:eastAsia="Arial" w:hAnsi="Arial"/>
                <w:sz w:val="20"/>
                <w:szCs w:val="20"/>
                <w:color w:val="0000EE"/>
                <w:w w:val="91"/>
              </w:rPr>
            </w:pPr>
            <w:hyperlink w:anchor="page202">
              <w:r>
                <w:rPr>
                  <w:rFonts w:ascii="Arial" w:cs="Arial" w:eastAsia="Arial" w:hAnsi="Arial"/>
                  <w:sz w:val="20"/>
                  <w:szCs w:val="20"/>
                  <w:color w:val="0000EE"/>
                  <w:w w:val="91"/>
                </w:rPr>
                <w:t>Consent of PricewaterhouseCoopers LLP re: Registration Statements on Form S-8 (Nos. 33-32044, 333-43175, 333-16077,</w:t>
              </w:r>
            </w:hyperlink>
          </w:p>
        </w:tc>
      </w:tr>
      <w:tr>
        <w:trPr>
          <w:trHeight w:val="217"/>
        </w:trPr>
        <w:tc>
          <w:tcPr>
            <w:tcW w:w="1400" w:type="dxa"/>
            <w:vAlign w:val="bottom"/>
          </w:tcPr>
          <w:p>
            <w:pPr>
              <w:spacing w:after="0"/>
              <w:rPr>
                <w:sz w:val="18"/>
                <w:szCs w:val="18"/>
                <w:color w:val="auto"/>
              </w:rPr>
            </w:pPr>
          </w:p>
        </w:tc>
        <w:tc>
          <w:tcPr>
            <w:tcW w:w="9820" w:type="dxa"/>
            <w:vAlign w:val="bottom"/>
            <w:tcBorders>
              <w:top w:val="single" w:sz="8" w:color="0000EE"/>
              <w:bottom w:val="single" w:sz="8" w:color="0000EE"/>
            </w:tcBorders>
            <w:gridSpan w:val="21"/>
          </w:tcPr>
          <w:p>
            <w:pPr>
              <w:spacing w:after="0" w:line="216" w:lineRule="exact"/>
              <w:rPr>
                <w:rFonts w:ascii="Arial" w:cs="Arial" w:eastAsia="Arial" w:hAnsi="Arial"/>
                <w:sz w:val="20"/>
                <w:szCs w:val="20"/>
                <w:color w:val="0000EE"/>
                <w:w w:val="90"/>
              </w:rPr>
            </w:pPr>
            <w:hyperlink w:anchor="page202">
              <w:r>
                <w:rPr>
                  <w:rFonts w:ascii="Arial" w:cs="Arial" w:eastAsia="Arial" w:hAnsi="Arial"/>
                  <w:sz w:val="20"/>
                  <w:szCs w:val="20"/>
                  <w:color w:val="0000EE"/>
                  <w:w w:val="90"/>
                </w:rPr>
                <w:t>333-40640, 333-84384, 333-127406, 333-150122, 333-164015, 333-163992, 333-160769, 333-159795, 333-170740, 333-</w:t>
              </w:r>
            </w:hyperlink>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0020" w:type="dxa"/>
            <w:vAlign w:val="bottom"/>
            <w:gridSpan w:val="30"/>
          </w:tcPr>
          <w:p>
            <w:pPr>
              <w:spacing w:after="0" w:line="216" w:lineRule="exact"/>
              <w:rPr>
                <w:rFonts w:ascii="Arial" w:cs="Arial" w:eastAsia="Arial" w:hAnsi="Arial"/>
                <w:sz w:val="20"/>
                <w:szCs w:val="20"/>
                <w:color w:val="0000EE"/>
                <w:w w:val="99"/>
              </w:rPr>
            </w:pPr>
            <w:hyperlink w:anchor="page202">
              <w:r>
                <w:rPr>
                  <w:rFonts w:ascii="Arial" w:cs="Arial" w:eastAsia="Arial" w:hAnsi="Arial"/>
                  <w:sz w:val="20"/>
                  <w:szCs w:val="20"/>
                  <w:color w:val="0000EE"/>
                  <w:w w:val="99"/>
                </w:rPr>
                <w:t>189099, 333-184504, 333-189097, 333-184411 and 333-231217) and Form S-3 (No. 333-227644). Filed herewith.</w:t>
              </w:r>
            </w:hyperlink>
          </w:p>
        </w:tc>
      </w:tr>
      <w:tr>
        <w:trPr>
          <w:trHeight w:val="439"/>
        </w:trPr>
        <w:tc>
          <w:tcPr>
            <w:tcW w:w="1400" w:type="dxa"/>
            <w:vAlign w:val="bottom"/>
          </w:tcPr>
          <w:p>
            <w:pPr>
              <w:spacing w:after="0"/>
              <w:rPr>
                <w:sz w:val="24"/>
                <w:szCs w:val="24"/>
                <w:color w:val="auto"/>
              </w:rPr>
            </w:pPr>
          </w:p>
        </w:tc>
        <w:tc>
          <w:tcPr>
            <w:tcW w:w="5100" w:type="dxa"/>
            <w:vAlign w:val="bottom"/>
            <w:tcBorders>
              <w:top w:val="single" w:sz="8" w:color="0000EE"/>
            </w:tcBorders>
            <w:gridSpan w:val="4"/>
          </w:tcPr>
          <w:p>
            <w:pPr>
              <w:ind w:left="4180"/>
              <w:spacing w:after="0"/>
              <w:rPr>
                <w:sz w:val="20"/>
                <w:szCs w:val="20"/>
                <w:color w:val="auto"/>
              </w:rPr>
            </w:pPr>
            <w:r>
              <w:rPr>
                <w:rFonts w:ascii="Arial" w:cs="Arial" w:eastAsia="Arial" w:hAnsi="Arial"/>
                <w:sz w:val="18"/>
                <w:szCs w:val="18"/>
                <w:color w:val="auto"/>
              </w:rPr>
              <w:t>198</w:t>
            </w:r>
          </w:p>
        </w:tc>
        <w:tc>
          <w:tcPr>
            <w:tcW w:w="5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1400" w:type="dxa"/>
            <w:vAlign w:val="bottom"/>
            <w:tcBorders>
              <w:bottom w:val="single" w:sz="8" w:color="9A9A9A"/>
            </w:tcBorders>
          </w:tcPr>
          <w:p>
            <w:pPr>
              <w:spacing w:after="0"/>
              <w:rPr>
                <w:sz w:val="9"/>
                <w:szCs w:val="9"/>
                <w:color w:val="auto"/>
              </w:rPr>
            </w:pPr>
          </w:p>
        </w:tc>
        <w:tc>
          <w:tcPr>
            <w:tcW w:w="35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317" w:right="239" w:bottom="1440" w:gutter="0" w:footer="0" w:header="0"/>
        </w:sectPr>
      </w:pPr>
    </w:p>
    <w:bookmarkStart w:id="198" w:name="page199"/>
    <w:bookmarkEnd w:id="198"/>
    <w:tbl>
      <w:tblPr>
        <w:tblLayout w:type="fixed"/>
        <w:tblInd w:w="14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20"/>
                <w:szCs w:val="20"/>
                <w:color w:val="auto"/>
              </w:rPr>
              <w:t>31.1</w:t>
            </w:r>
          </w:p>
        </w:tc>
        <w:tc>
          <w:tcPr>
            <w:tcW w:w="9980" w:type="dxa"/>
            <w:vAlign w:val="bottom"/>
            <w:gridSpan w:val="5"/>
          </w:tcPr>
          <w:p>
            <w:pPr>
              <w:spacing w:after="0"/>
              <w:rPr>
                <w:rFonts w:ascii="Arial" w:cs="Arial" w:eastAsia="Arial" w:hAnsi="Arial"/>
                <w:sz w:val="20"/>
                <w:szCs w:val="20"/>
                <w:color w:val="0000EE"/>
              </w:rPr>
            </w:pPr>
            <w:hyperlink w:anchor="page203">
              <w:r>
                <w:rPr>
                  <w:rFonts w:ascii="Arial" w:cs="Arial" w:eastAsia="Arial" w:hAnsi="Arial"/>
                  <w:sz w:val="20"/>
                  <w:szCs w:val="20"/>
                  <w:color w:val="0000EE"/>
                </w:rPr>
                <w:t>Certification of Chief Executive Officer under Section 302 of the Sarbanes-Oxley Act of 2002. Filed herewith.</w:t>
              </w:r>
            </w:hyperlink>
          </w:p>
        </w:tc>
      </w:tr>
      <w:tr>
        <w:trPr>
          <w:trHeight w:val="217"/>
        </w:trPr>
        <w:tc>
          <w:tcPr>
            <w:tcW w:w="1260" w:type="dxa"/>
            <w:vAlign w:val="bottom"/>
          </w:tcPr>
          <w:p>
            <w:pPr>
              <w:spacing w:after="0" w:line="216" w:lineRule="exact"/>
              <w:rPr>
                <w:sz w:val="20"/>
                <w:szCs w:val="20"/>
                <w:color w:val="auto"/>
              </w:rPr>
            </w:pPr>
            <w:r>
              <w:rPr>
                <w:rFonts w:ascii="Arial" w:cs="Arial" w:eastAsia="Arial" w:hAnsi="Arial"/>
                <w:sz w:val="20"/>
                <w:szCs w:val="20"/>
                <w:color w:val="auto"/>
              </w:rPr>
              <w:t>31.2</w:t>
            </w:r>
          </w:p>
        </w:tc>
        <w:tc>
          <w:tcPr>
            <w:tcW w:w="8860" w:type="dxa"/>
            <w:vAlign w:val="bottom"/>
            <w:tcBorders>
              <w:top w:val="single" w:sz="8" w:color="0000EE"/>
              <w:bottom w:val="single" w:sz="8" w:color="0000EE"/>
            </w:tcBorders>
            <w:gridSpan w:val="2"/>
          </w:tcPr>
          <w:p>
            <w:pPr>
              <w:spacing w:after="0" w:line="216" w:lineRule="exact"/>
              <w:rPr>
                <w:rFonts w:ascii="Arial" w:cs="Arial" w:eastAsia="Arial" w:hAnsi="Arial"/>
                <w:sz w:val="20"/>
                <w:szCs w:val="20"/>
                <w:color w:val="0000EE"/>
                <w:w w:val="93"/>
              </w:rPr>
            </w:pPr>
            <w:hyperlink w:anchor="page204">
              <w:r>
                <w:rPr>
                  <w:rFonts w:ascii="Arial" w:cs="Arial" w:eastAsia="Arial" w:hAnsi="Arial"/>
                  <w:sz w:val="20"/>
                  <w:szCs w:val="20"/>
                  <w:color w:val="0000EE"/>
                  <w:w w:val="93"/>
                </w:rPr>
                <w:t>Certification of Chief Financial Officer under Section 302 of the Sarbanes-Oxley Act of 2002. Filed herewith.</w:t>
              </w:r>
            </w:hyperlink>
          </w:p>
        </w:tc>
        <w:tc>
          <w:tcPr>
            <w:tcW w:w="40" w:type="dxa"/>
            <w:vAlign w:val="bottom"/>
            <w:tcBorders>
              <w:top w:val="single" w:sz="8" w:color="0000EE"/>
            </w:tcBorders>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7"/>
        </w:trPr>
        <w:tc>
          <w:tcPr>
            <w:tcW w:w="1260" w:type="dxa"/>
            <w:vAlign w:val="bottom"/>
          </w:tcPr>
          <w:p>
            <w:pPr>
              <w:spacing w:after="0" w:line="216" w:lineRule="exact"/>
              <w:rPr>
                <w:sz w:val="20"/>
                <w:szCs w:val="20"/>
                <w:color w:val="auto"/>
              </w:rPr>
            </w:pPr>
            <w:r>
              <w:rPr>
                <w:rFonts w:ascii="Arial" w:cs="Arial" w:eastAsia="Arial" w:hAnsi="Arial"/>
                <w:sz w:val="20"/>
                <w:szCs w:val="20"/>
                <w:color w:val="auto"/>
              </w:rPr>
              <w:t>32.1</w:t>
            </w:r>
          </w:p>
        </w:tc>
        <w:tc>
          <w:tcPr>
            <w:tcW w:w="9980" w:type="dxa"/>
            <w:vAlign w:val="bottom"/>
            <w:tcBorders>
              <w:bottom w:val="single" w:sz="8" w:color="0000EE"/>
            </w:tcBorders>
            <w:gridSpan w:val="5"/>
          </w:tcPr>
          <w:p>
            <w:pPr>
              <w:spacing w:after="0" w:line="216" w:lineRule="exact"/>
              <w:rPr>
                <w:rFonts w:ascii="Arial" w:cs="Arial" w:eastAsia="Arial" w:hAnsi="Arial"/>
                <w:sz w:val="20"/>
                <w:szCs w:val="20"/>
                <w:color w:val="0000EE"/>
                <w:w w:val="92"/>
              </w:rPr>
            </w:pPr>
            <w:hyperlink w:anchor="page205">
              <w:r>
                <w:rPr>
                  <w:rFonts w:ascii="Arial" w:cs="Arial" w:eastAsia="Arial" w:hAnsi="Arial"/>
                  <w:sz w:val="20"/>
                  <w:szCs w:val="20"/>
                  <w:color w:val="0000EE"/>
                  <w:w w:val="92"/>
                </w:rPr>
                <w:t>Certification of Chief Executive Officer under 18 U.S.C. §1350 pursuant to Section 906 of the Sarbanes-Oxley Act of 2002.</w:t>
              </w:r>
            </w:hyperlink>
          </w:p>
        </w:tc>
      </w:tr>
      <w:tr>
        <w:trPr>
          <w:trHeight w:val="217"/>
        </w:trPr>
        <w:tc>
          <w:tcPr>
            <w:tcW w:w="1260" w:type="dxa"/>
            <w:vAlign w:val="bottom"/>
          </w:tcPr>
          <w:p>
            <w:pPr>
              <w:spacing w:after="0"/>
              <w:rPr>
                <w:sz w:val="18"/>
                <w:szCs w:val="18"/>
                <w:color w:val="auto"/>
              </w:rPr>
            </w:pPr>
          </w:p>
        </w:tc>
        <w:tc>
          <w:tcPr>
            <w:tcW w:w="1220" w:type="dxa"/>
            <w:vAlign w:val="bottom"/>
            <w:tcBorders>
              <w:bottom w:val="single" w:sz="8" w:color="0000EE"/>
            </w:tcBorders>
          </w:tcPr>
          <w:p>
            <w:pPr>
              <w:spacing w:after="0" w:line="216" w:lineRule="exact"/>
              <w:rPr>
                <w:rFonts w:ascii="Arial" w:cs="Arial" w:eastAsia="Arial" w:hAnsi="Arial"/>
                <w:sz w:val="20"/>
                <w:szCs w:val="20"/>
                <w:color w:val="0000EE"/>
                <w:w w:val="92"/>
              </w:rPr>
            </w:pPr>
            <w:hyperlink w:anchor="page205">
              <w:r>
                <w:rPr>
                  <w:rFonts w:ascii="Arial" w:cs="Arial" w:eastAsia="Arial" w:hAnsi="Arial"/>
                  <w:sz w:val="20"/>
                  <w:szCs w:val="20"/>
                  <w:color w:val="0000EE"/>
                  <w:w w:val="92"/>
                </w:rPr>
                <w:t>Filed herewith.</w:t>
              </w:r>
            </w:hyperlink>
          </w:p>
        </w:tc>
        <w:tc>
          <w:tcPr>
            <w:tcW w:w="8760" w:type="dxa"/>
            <w:vAlign w:val="bottom"/>
            <w:gridSpan w:val="4"/>
          </w:tcPr>
          <w:p>
            <w:pPr>
              <w:spacing w:after="0"/>
              <w:rPr>
                <w:sz w:val="18"/>
                <w:szCs w:val="18"/>
                <w:color w:val="auto"/>
              </w:rPr>
            </w:pPr>
          </w:p>
        </w:tc>
      </w:tr>
      <w:tr>
        <w:trPr>
          <w:trHeight w:val="217"/>
        </w:trPr>
        <w:tc>
          <w:tcPr>
            <w:tcW w:w="1260" w:type="dxa"/>
            <w:vAlign w:val="bottom"/>
          </w:tcPr>
          <w:p>
            <w:pPr>
              <w:spacing w:after="0" w:line="216" w:lineRule="exact"/>
              <w:rPr>
                <w:sz w:val="20"/>
                <w:szCs w:val="20"/>
                <w:color w:val="auto"/>
              </w:rPr>
            </w:pPr>
            <w:r>
              <w:rPr>
                <w:rFonts w:ascii="Arial" w:cs="Arial" w:eastAsia="Arial" w:hAnsi="Arial"/>
                <w:sz w:val="20"/>
                <w:szCs w:val="20"/>
                <w:color w:val="auto"/>
              </w:rPr>
              <w:t>32.2</w:t>
            </w:r>
          </w:p>
        </w:tc>
        <w:tc>
          <w:tcPr>
            <w:tcW w:w="9940" w:type="dxa"/>
            <w:vAlign w:val="bottom"/>
            <w:tcBorders>
              <w:bottom w:val="single" w:sz="8" w:color="0000EE"/>
            </w:tcBorders>
            <w:gridSpan w:val="4"/>
          </w:tcPr>
          <w:p>
            <w:pPr>
              <w:spacing w:after="0" w:line="216" w:lineRule="exact"/>
              <w:rPr>
                <w:rFonts w:ascii="Arial" w:cs="Arial" w:eastAsia="Arial" w:hAnsi="Arial"/>
                <w:sz w:val="20"/>
                <w:szCs w:val="20"/>
                <w:color w:val="0000EE"/>
                <w:w w:val="92"/>
              </w:rPr>
            </w:pPr>
            <w:hyperlink w:anchor="page206">
              <w:r>
                <w:rPr>
                  <w:rFonts w:ascii="Arial" w:cs="Arial" w:eastAsia="Arial" w:hAnsi="Arial"/>
                  <w:sz w:val="20"/>
                  <w:szCs w:val="20"/>
                  <w:color w:val="0000EE"/>
                  <w:w w:val="92"/>
                </w:rPr>
                <w:t>Certification of Chief Financial Officer under 18 U.S.C. §1350 pursuant to Section 906 of the Sarbanes-Oxley Act of 2002.</w:t>
              </w:r>
            </w:hyperlink>
          </w:p>
        </w:tc>
        <w:tc>
          <w:tcPr>
            <w:tcW w:w="40" w:type="dxa"/>
            <w:vAlign w:val="bottom"/>
          </w:tcPr>
          <w:p>
            <w:pPr>
              <w:spacing w:after="0"/>
              <w:rPr>
                <w:sz w:val="18"/>
                <w:szCs w:val="18"/>
                <w:color w:val="auto"/>
              </w:rPr>
            </w:pPr>
          </w:p>
        </w:tc>
      </w:tr>
      <w:tr>
        <w:trPr>
          <w:trHeight w:val="217"/>
        </w:trPr>
        <w:tc>
          <w:tcPr>
            <w:tcW w:w="1260" w:type="dxa"/>
            <w:vAlign w:val="bottom"/>
          </w:tcPr>
          <w:p>
            <w:pPr>
              <w:spacing w:after="0"/>
              <w:rPr>
                <w:sz w:val="18"/>
                <w:szCs w:val="18"/>
                <w:color w:val="auto"/>
              </w:rPr>
            </w:pPr>
          </w:p>
        </w:tc>
        <w:tc>
          <w:tcPr>
            <w:tcW w:w="1220" w:type="dxa"/>
            <w:vAlign w:val="bottom"/>
            <w:tcBorders>
              <w:bottom w:val="single" w:sz="8" w:color="0000EE"/>
            </w:tcBorders>
          </w:tcPr>
          <w:p>
            <w:pPr>
              <w:spacing w:after="0" w:line="216" w:lineRule="exact"/>
              <w:rPr>
                <w:rFonts w:ascii="Arial" w:cs="Arial" w:eastAsia="Arial" w:hAnsi="Arial"/>
                <w:sz w:val="20"/>
                <w:szCs w:val="20"/>
                <w:color w:val="0000EE"/>
                <w:w w:val="92"/>
              </w:rPr>
            </w:pPr>
            <w:hyperlink w:anchor="page206">
              <w:r>
                <w:rPr>
                  <w:rFonts w:ascii="Arial" w:cs="Arial" w:eastAsia="Arial" w:hAnsi="Arial"/>
                  <w:sz w:val="20"/>
                  <w:szCs w:val="20"/>
                  <w:color w:val="0000EE"/>
                  <w:w w:val="92"/>
                </w:rPr>
                <w:t>Filed herewith.</w:t>
              </w:r>
            </w:hyperlink>
          </w:p>
        </w:tc>
        <w:tc>
          <w:tcPr>
            <w:tcW w:w="8760" w:type="dxa"/>
            <w:vAlign w:val="bottom"/>
            <w:gridSpan w:val="4"/>
          </w:tcPr>
          <w:p>
            <w:pPr>
              <w:spacing w:after="0"/>
              <w:rPr>
                <w:sz w:val="18"/>
                <w:szCs w:val="18"/>
                <w:color w:val="auto"/>
              </w:rPr>
            </w:pPr>
          </w:p>
        </w:tc>
      </w:tr>
      <w:tr>
        <w:trPr>
          <w:trHeight w:val="242"/>
        </w:trPr>
        <w:tc>
          <w:tcPr>
            <w:tcW w:w="1260" w:type="dxa"/>
            <w:vAlign w:val="bottom"/>
          </w:tcPr>
          <w:p>
            <w:pPr>
              <w:spacing w:after="0"/>
              <w:rPr>
                <w:sz w:val="20"/>
                <w:szCs w:val="20"/>
                <w:color w:val="auto"/>
              </w:rPr>
            </w:pPr>
            <w:r>
              <w:rPr>
                <w:rFonts w:ascii="Arial" w:cs="Arial" w:eastAsia="Arial" w:hAnsi="Arial"/>
                <w:sz w:val="20"/>
                <w:szCs w:val="20"/>
                <w:color w:val="auto"/>
              </w:rPr>
              <w:t>101.INS</w:t>
            </w:r>
          </w:p>
        </w:tc>
        <w:tc>
          <w:tcPr>
            <w:tcW w:w="9980" w:type="dxa"/>
            <w:vAlign w:val="bottom"/>
            <w:gridSpan w:val="5"/>
          </w:tcPr>
          <w:p>
            <w:pPr>
              <w:spacing w:after="0"/>
              <w:rPr>
                <w:sz w:val="20"/>
                <w:szCs w:val="20"/>
                <w:color w:val="auto"/>
              </w:rPr>
            </w:pPr>
            <w:r>
              <w:rPr>
                <w:rFonts w:ascii="Arial" w:cs="Arial" w:eastAsia="Arial" w:hAnsi="Arial"/>
                <w:sz w:val="20"/>
                <w:szCs w:val="20"/>
                <w:color w:val="auto"/>
                <w:w w:val="94"/>
              </w:rPr>
              <w:t>Inline XBRL Instance Document – the instance document does not appear in the Interactive Data File because its XBRL</w:t>
            </w:r>
          </w:p>
        </w:tc>
      </w:tr>
      <w:tr>
        <w:trPr>
          <w:trHeight w:val="237"/>
        </w:trPr>
        <w:tc>
          <w:tcPr>
            <w:tcW w:w="1260" w:type="dxa"/>
            <w:vAlign w:val="bottom"/>
          </w:tcPr>
          <w:p>
            <w:pPr>
              <w:spacing w:after="0"/>
              <w:rPr>
                <w:sz w:val="20"/>
                <w:szCs w:val="20"/>
                <w:color w:val="auto"/>
              </w:rPr>
            </w:pPr>
          </w:p>
        </w:tc>
        <w:tc>
          <w:tcPr>
            <w:tcW w:w="9980" w:type="dxa"/>
            <w:vAlign w:val="bottom"/>
            <w:gridSpan w:val="5"/>
          </w:tcPr>
          <w:p>
            <w:pPr>
              <w:spacing w:after="0"/>
              <w:rPr>
                <w:sz w:val="20"/>
                <w:szCs w:val="20"/>
                <w:color w:val="auto"/>
              </w:rPr>
            </w:pPr>
            <w:r>
              <w:rPr>
                <w:rFonts w:ascii="Arial" w:cs="Arial" w:eastAsia="Arial" w:hAnsi="Arial"/>
                <w:sz w:val="20"/>
                <w:szCs w:val="20"/>
                <w:color w:val="auto"/>
              </w:rPr>
              <w:t>tags are embedded within the Inline XBRL document.</w:t>
            </w:r>
          </w:p>
        </w:tc>
      </w:tr>
      <w:tr>
        <w:trPr>
          <w:trHeight w:val="237"/>
        </w:trPr>
        <w:tc>
          <w:tcPr>
            <w:tcW w:w="1260" w:type="dxa"/>
            <w:vAlign w:val="bottom"/>
          </w:tcPr>
          <w:p>
            <w:pPr>
              <w:spacing w:after="0"/>
              <w:rPr>
                <w:sz w:val="20"/>
                <w:szCs w:val="20"/>
                <w:color w:val="auto"/>
              </w:rPr>
            </w:pPr>
            <w:r>
              <w:rPr>
                <w:rFonts w:ascii="Arial" w:cs="Arial" w:eastAsia="Arial" w:hAnsi="Arial"/>
                <w:sz w:val="20"/>
                <w:szCs w:val="20"/>
                <w:color w:val="auto"/>
              </w:rPr>
              <w:t>101.SCH</w:t>
            </w:r>
          </w:p>
        </w:tc>
        <w:tc>
          <w:tcPr>
            <w:tcW w:w="9980" w:type="dxa"/>
            <w:vAlign w:val="bottom"/>
            <w:gridSpan w:val="5"/>
          </w:tcPr>
          <w:p>
            <w:pPr>
              <w:spacing w:after="0"/>
              <w:rPr>
                <w:sz w:val="20"/>
                <w:szCs w:val="20"/>
                <w:color w:val="auto"/>
              </w:rPr>
            </w:pPr>
            <w:r>
              <w:rPr>
                <w:rFonts w:ascii="Arial" w:cs="Arial" w:eastAsia="Arial" w:hAnsi="Arial"/>
                <w:sz w:val="20"/>
                <w:szCs w:val="20"/>
                <w:color w:val="auto"/>
              </w:rPr>
              <w:t>Inline XBRL Taxonomy Extension Schema. Filed herewith.</w:t>
            </w:r>
          </w:p>
        </w:tc>
      </w:tr>
      <w:tr>
        <w:trPr>
          <w:trHeight w:val="237"/>
        </w:trPr>
        <w:tc>
          <w:tcPr>
            <w:tcW w:w="1260" w:type="dxa"/>
            <w:vAlign w:val="bottom"/>
          </w:tcPr>
          <w:p>
            <w:pPr>
              <w:spacing w:after="0"/>
              <w:rPr>
                <w:sz w:val="20"/>
                <w:szCs w:val="20"/>
                <w:color w:val="auto"/>
              </w:rPr>
            </w:pPr>
            <w:r>
              <w:rPr>
                <w:rFonts w:ascii="Arial" w:cs="Arial" w:eastAsia="Arial" w:hAnsi="Arial"/>
                <w:sz w:val="20"/>
                <w:szCs w:val="20"/>
                <w:color w:val="auto"/>
              </w:rPr>
              <w:t>101.CAL</w:t>
            </w:r>
          </w:p>
        </w:tc>
        <w:tc>
          <w:tcPr>
            <w:tcW w:w="9980" w:type="dxa"/>
            <w:vAlign w:val="bottom"/>
            <w:gridSpan w:val="5"/>
          </w:tcPr>
          <w:p>
            <w:pPr>
              <w:spacing w:after="0"/>
              <w:rPr>
                <w:sz w:val="20"/>
                <w:szCs w:val="20"/>
                <w:color w:val="auto"/>
              </w:rPr>
            </w:pPr>
            <w:r>
              <w:rPr>
                <w:rFonts w:ascii="Arial" w:cs="Arial" w:eastAsia="Arial" w:hAnsi="Arial"/>
                <w:sz w:val="20"/>
                <w:szCs w:val="20"/>
                <w:color w:val="auto"/>
              </w:rPr>
              <w:t>Inline XBRL Taxonomy Extension Calculation Linkbase. Filed herewith.</w:t>
            </w:r>
          </w:p>
        </w:tc>
      </w:tr>
      <w:tr>
        <w:trPr>
          <w:trHeight w:val="237"/>
        </w:trPr>
        <w:tc>
          <w:tcPr>
            <w:tcW w:w="1260" w:type="dxa"/>
            <w:vAlign w:val="bottom"/>
          </w:tcPr>
          <w:p>
            <w:pPr>
              <w:spacing w:after="0"/>
              <w:rPr>
                <w:sz w:val="20"/>
                <w:szCs w:val="20"/>
                <w:color w:val="auto"/>
              </w:rPr>
            </w:pPr>
            <w:r>
              <w:rPr>
                <w:rFonts w:ascii="Arial" w:cs="Arial" w:eastAsia="Arial" w:hAnsi="Arial"/>
                <w:sz w:val="20"/>
                <w:szCs w:val="20"/>
                <w:color w:val="auto"/>
              </w:rPr>
              <w:t>101.LAB</w:t>
            </w:r>
          </w:p>
        </w:tc>
        <w:tc>
          <w:tcPr>
            <w:tcW w:w="9980" w:type="dxa"/>
            <w:vAlign w:val="bottom"/>
            <w:gridSpan w:val="5"/>
          </w:tcPr>
          <w:p>
            <w:pPr>
              <w:spacing w:after="0"/>
              <w:rPr>
                <w:sz w:val="20"/>
                <w:szCs w:val="20"/>
                <w:color w:val="auto"/>
              </w:rPr>
            </w:pPr>
            <w:r>
              <w:rPr>
                <w:rFonts w:ascii="Arial" w:cs="Arial" w:eastAsia="Arial" w:hAnsi="Arial"/>
                <w:sz w:val="20"/>
                <w:szCs w:val="20"/>
                <w:color w:val="auto"/>
              </w:rPr>
              <w:t>Inline XBRL Taxonomy Extension Label Linkbase. Filed herewith.</w:t>
            </w:r>
          </w:p>
        </w:tc>
      </w:tr>
      <w:tr>
        <w:trPr>
          <w:trHeight w:val="237"/>
        </w:trPr>
        <w:tc>
          <w:tcPr>
            <w:tcW w:w="1260" w:type="dxa"/>
            <w:vAlign w:val="bottom"/>
          </w:tcPr>
          <w:p>
            <w:pPr>
              <w:spacing w:after="0"/>
              <w:rPr>
                <w:sz w:val="20"/>
                <w:szCs w:val="20"/>
                <w:color w:val="auto"/>
              </w:rPr>
            </w:pPr>
            <w:r>
              <w:rPr>
                <w:rFonts w:ascii="Arial" w:cs="Arial" w:eastAsia="Arial" w:hAnsi="Arial"/>
                <w:sz w:val="20"/>
                <w:szCs w:val="20"/>
                <w:color w:val="auto"/>
              </w:rPr>
              <w:t>101.PRE</w:t>
            </w:r>
          </w:p>
        </w:tc>
        <w:tc>
          <w:tcPr>
            <w:tcW w:w="9980" w:type="dxa"/>
            <w:vAlign w:val="bottom"/>
            <w:gridSpan w:val="5"/>
          </w:tcPr>
          <w:p>
            <w:pPr>
              <w:spacing w:after="0"/>
              <w:rPr>
                <w:sz w:val="20"/>
                <w:szCs w:val="20"/>
                <w:color w:val="auto"/>
              </w:rPr>
            </w:pPr>
            <w:r>
              <w:rPr>
                <w:rFonts w:ascii="Arial" w:cs="Arial" w:eastAsia="Arial" w:hAnsi="Arial"/>
                <w:sz w:val="20"/>
                <w:szCs w:val="20"/>
                <w:color w:val="auto"/>
              </w:rPr>
              <w:t>Inline XBRL Taxonomy Extension Presentation Linkbase. Filed herewith.</w:t>
            </w:r>
          </w:p>
        </w:tc>
      </w:tr>
      <w:tr>
        <w:trPr>
          <w:trHeight w:val="255"/>
        </w:trPr>
        <w:tc>
          <w:tcPr>
            <w:tcW w:w="1260" w:type="dxa"/>
            <w:vAlign w:val="bottom"/>
          </w:tcPr>
          <w:p>
            <w:pPr>
              <w:spacing w:after="0"/>
              <w:rPr>
                <w:sz w:val="20"/>
                <w:szCs w:val="20"/>
                <w:color w:val="auto"/>
              </w:rPr>
            </w:pPr>
            <w:r>
              <w:rPr>
                <w:rFonts w:ascii="Arial" w:cs="Arial" w:eastAsia="Arial" w:hAnsi="Arial"/>
                <w:sz w:val="20"/>
                <w:szCs w:val="20"/>
                <w:color w:val="auto"/>
              </w:rPr>
              <w:t>101.DEF</w:t>
            </w:r>
          </w:p>
        </w:tc>
        <w:tc>
          <w:tcPr>
            <w:tcW w:w="9980" w:type="dxa"/>
            <w:vAlign w:val="bottom"/>
            <w:gridSpan w:val="5"/>
          </w:tcPr>
          <w:p>
            <w:pPr>
              <w:spacing w:after="0"/>
              <w:rPr>
                <w:sz w:val="20"/>
                <w:szCs w:val="20"/>
                <w:color w:val="auto"/>
              </w:rPr>
            </w:pPr>
            <w:r>
              <w:rPr>
                <w:rFonts w:ascii="Arial" w:cs="Arial" w:eastAsia="Arial" w:hAnsi="Arial"/>
                <w:sz w:val="20"/>
                <w:szCs w:val="20"/>
                <w:color w:val="auto"/>
              </w:rPr>
              <w:t>Inline XBRL Taxonomy Definition Linkbase. Filed herewith.</w:t>
            </w:r>
          </w:p>
        </w:tc>
      </w:tr>
    </w:tbl>
    <w:p>
      <w:pPr>
        <w:ind w:left="1400" w:hanging="1262"/>
        <w:spacing w:after="0" w:line="256" w:lineRule="auto"/>
        <w:tabs>
          <w:tab w:leader="none" w:pos="140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cover page from M&amp;T Bank Corporation’s Annual Report on Form 10-K for the year ended December 31, 2019 has been formatted in Inline XBRL.</w:t>
      </w:r>
    </w:p>
    <w:p>
      <w:pPr>
        <w:spacing w:after="0" w:line="122" w:lineRule="exact"/>
        <w:rPr>
          <w:rFonts w:ascii="Arial" w:cs="Arial" w:eastAsia="Arial" w:hAnsi="Arial"/>
          <w:sz w:val="20"/>
          <w:szCs w:val="20"/>
          <w:color w:val="auto"/>
        </w:rPr>
      </w:pPr>
    </w:p>
    <w:p>
      <w:pPr>
        <w:ind w:left="600"/>
        <w:spacing w:after="0"/>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8"/>
          <w:szCs w:val="18"/>
          <w:i w:val="1"/>
          <w:iCs w:val="1"/>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13601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7">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22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(c) Additional financial statement schedules. None.</w:t>
      </w:r>
    </w:p>
    <w:p>
      <w:pPr>
        <w:spacing w:after="0" w:line="318"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16.</w:t>
      </w:r>
      <w:r>
        <w:rPr>
          <w:sz w:val="20"/>
          <w:szCs w:val="20"/>
          <w:color w:val="auto"/>
        </w:rPr>
        <w:tab/>
      </w:r>
      <w:r>
        <w:rPr>
          <w:rFonts w:ascii="Arial" w:cs="Arial" w:eastAsia="Arial" w:hAnsi="Arial"/>
          <w:sz w:val="18"/>
          <w:szCs w:val="18"/>
          <w:b w:val="1"/>
          <w:bCs w:val="1"/>
          <w:i w:val="1"/>
          <w:iCs w:val="1"/>
          <w:color w:val="auto"/>
        </w:rPr>
        <w:t>Form 10-K Summary.</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75830" cy="419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8">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420"/>
          </w:cols>
          <w:pgMar w:left="240" w:top="317" w:right="239" w:bottom="1440" w:gutter="0" w:footer="0" w:header="0"/>
        </w:sectPr>
      </w:pPr>
    </w:p>
    <w:bookmarkStart w:id="199" w:name="page200"/>
    <w:bookmarkEnd w:id="199"/>
    <w:p>
      <w:pPr>
        <w:jc w:val="center"/>
        <w:ind w:right="-199"/>
        <w:spacing w:after="0"/>
        <w:rPr>
          <w:sz w:val="20"/>
          <w:szCs w:val="20"/>
          <w:color w:val="auto"/>
        </w:rPr>
      </w:pPr>
      <w:r>
        <w:rPr>
          <w:rFonts w:ascii="Arial" w:cs="Arial" w:eastAsia="Arial" w:hAnsi="Arial"/>
          <w:sz w:val="20"/>
          <w:szCs w:val="20"/>
          <w:b w:val="1"/>
          <w:bCs w:val="1"/>
          <w:color w:val="auto"/>
        </w:rPr>
        <w:t>Signatures</w:t>
      </w:r>
    </w:p>
    <w:p>
      <w:pPr>
        <w:spacing w:after="0" w:line="221"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 on the 19</w:t>
      </w:r>
      <w:r>
        <w:rPr>
          <w:rFonts w:ascii="Arial" w:cs="Arial" w:eastAsia="Arial" w:hAnsi="Arial"/>
          <w:sz w:val="17"/>
          <w:szCs w:val="17"/>
          <w:color w:val="auto"/>
        </w:rPr>
        <w:t>th</w:t>
      </w:r>
      <w:r>
        <w:rPr>
          <w:rFonts w:ascii="Arial" w:cs="Arial" w:eastAsia="Arial" w:hAnsi="Arial"/>
          <w:sz w:val="20"/>
          <w:szCs w:val="20"/>
          <w:color w:val="auto"/>
        </w:rPr>
        <w:t xml:space="preserve"> day of February, 2020.</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M&amp;T BANK CORPORATION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6"/>
              </w:rPr>
              <w:t>/</w:t>
            </w:r>
            <w:r>
              <w:rPr>
                <w:rFonts w:ascii="Arial" w:cs="Arial" w:eastAsia="Arial" w:hAnsi="Arial"/>
                <w:sz w:val="13"/>
                <w:szCs w:val="13"/>
                <w:color w:val="auto"/>
                <w:w w:val="86"/>
              </w:rPr>
              <w:t>S</w:t>
            </w:r>
            <w:r>
              <w:rPr>
                <w:rFonts w:ascii="Arial" w:cs="Arial" w:eastAsia="Arial" w:hAnsi="Arial"/>
                <w:sz w:val="20"/>
                <w:szCs w:val="20"/>
                <w:color w:val="auto"/>
                <w:w w:val="86"/>
              </w:rPr>
              <w:t>/ René F. Jones</w:t>
            </w:r>
          </w:p>
        </w:tc>
      </w:tr>
      <w:tr>
        <w:trPr>
          <w:trHeight w:val="216"/>
        </w:trPr>
        <w:tc>
          <w:tcPr>
            <w:tcW w:w="500" w:type="dxa"/>
            <w:vAlign w:val="bottom"/>
          </w:tcPr>
          <w:p>
            <w:pPr>
              <w:spacing w:after="0"/>
              <w:rPr>
                <w:sz w:val="18"/>
                <w:szCs w:val="18"/>
                <w:color w:val="auto"/>
              </w:rPr>
            </w:pPr>
          </w:p>
        </w:tc>
        <w:tc>
          <w:tcPr>
            <w:tcW w:w="4640" w:type="dxa"/>
            <w:vAlign w:val="bottom"/>
          </w:tcPr>
          <w:p>
            <w:pPr>
              <w:jc w:val="center"/>
              <w:spacing w:after="0" w:line="216" w:lineRule="exact"/>
              <w:rPr>
                <w:sz w:val="20"/>
                <w:szCs w:val="20"/>
                <w:color w:val="auto"/>
              </w:rPr>
            </w:pPr>
            <w:r>
              <w:rPr>
                <w:rFonts w:ascii="Arial" w:cs="Arial" w:eastAsia="Arial" w:hAnsi="Arial"/>
                <w:sz w:val="20"/>
                <w:szCs w:val="20"/>
                <w:color w:val="auto"/>
                <w:w w:val="86"/>
              </w:rPr>
              <w:t>René F. Jones</w:t>
            </w:r>
          </w:p>
        </w:tc>
      </w:tr>
      <w:tr>
        <w:trPr>
          <w:trHeight w:val="237"/>
        </w:trPr>
        <w:tc>
          <w:tcPr>
            <w:tcW w:w="50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20"/>
                <w:szCs w:val="20"/>
                <w:i w:val="1"/>
                <w:iCs w:val="1"/>
                <w:color w:val="auto"/>
                <w:w w:val="92"/>
              </w:rPr>
              <w:t>Chairman of the Board and</w:t>
            </w:r>
          </w:p>
        </w:tc>
      </w:tr>
      <w:tr>
        <w:trPr>
          <w:trHeight w:val="257"/>
        </w:trPr>
        <w:tc>
          <w:tcPr>
            <w:tcW w:w="500" w:type="dxa"/>
            <w:vAlign w:val="bottom"/>
          </w:tcPr>
          <w:p>
            <w:pPr>
              <w:spacing w:after="0"/>
              <w:rPr>
                <w:sz w:val="22"/>
                <w:szCs w:val="22"/>
                <w:color w:val="auto"/>
              </w:rPr>
            </w:pPr>
          </w:p>
        </w:tc>
        <w:tc>
          <w:tcPr>
            <w:tcW w:w="4640" w:type="dxa"/>
            <w:vAlign w:val="bottom"/>
          </w:tcPr>
          <w:p>
            <w:pPr>
              <w:jc w:val="center"/>
              <w:spacing w:after="0"/>
              <w:rPr>
                <w:sz w:val="20"/>
                <w:szCs w:val="20"/>
                <w:color w:val="auto"/>
              </w:rPr>
            </w:pPr>
            <w:r>
              <w:rPr>
                <w:rFonts w:ascii="Arial" w:cs="Arial" w:eastAsia="Arial" w:hAnsi="Arial"/>
                <w:sz w:val="20"/>
                <w:szCs w:val="20"/>
                <w:i w:val="1"/>
                <w:iCs w:val="1"/>
                <w:color w:val="auto"/>
                <w:w w:val="92"/>
              </w:rPr>
              <w:t>Chief Executive Officer</w:t>
            </w:r>
          </w:p>
        </w:tc>
      </w:tr>
    </w:tbl>
    <w:p>
      <w:pPr>
        <w:spacing w:after="0" w:line="229" w:lineRule="exact"/>
        <w:rPr>
          <w:sz w:val="20"/>
          <w:szCs w:val="20"/>
          <w:color w:val="auto"/>
        </w:rPr>
      </w:pPr>
    </w:p>
    <w:p>
      <w:pPr>
        <w:ind w:right="20" w:firstLine="598"/>
        <w:spacing w:after="0" w:line="275"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240" w:top="332" w:right="419" w:bottom="1440" w:gutter="0" w:footer="0" w:header="0"/>
        </w:sectPr>
      </w:pPr>
    </w:p>
    <w:p>
      <w:pPr>
        <w:spacing w:after="0" w:line="157" w:lineRule="exact"/>
        <w:rPr>
          <w:sz w:val="20"/>
          <w:szCs w:val="20"/>
          <w:color w:val="auto"/>
        </w:rPr>
      </w:pPr>
    </w:p>
    <w:p>
      <w:pPr>
        <w:ind w:left="2360"/>
        <w:spacing w:after="0"/>
        <w:rPr>
          <w:sz w:val="20"/>
          <w:szCs w:val="20"/>
          <w:color w:val="auto"/>
        </w:rPr>
      </w:pPr>
      <w:r>
        <w:rPr>
          <w:rFonts w:ascii="Arial" w:cs="Arial" w:eastAsia="Arial" w:hAnsi="Arial"/>
          <w:sz w:val="13"/>
          <w:szCs w:val="13"/>
          <w:b w:val="1"/>
          <w:bCs w:val="1"/>
          <w:u w:val="single" w:color="auto"/>
          <w:color w:val="auto"/>
        </w:rPr>
        <w:t>Signature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Principal Executive Officer:</w:t>
      </w:r>
    </w:p>
    <w:p>
      <w:pPr>
        <w:spacing w:after="0" w:line="361"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33286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9">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52" w:lineRule="exact"/>
        <w:rPr>
          <w:sz w:val="20"/>
          <w:szCs w:val="20"/>
          <w:color w:val="auto"/>
        </w:rPr>
      </w:pPr>
    </w:p>
    <w:p>
      <w:pPr>
        <w:ind w:left="2080"/>
        <w:spacing w:after="0"/>
        <w:rPr>
          <w:sz w:val="20"/>
          <w:szCs w:val="20"/>
          <w:color w:val="auto"/>
        </w:rPr>
      </w:pPr>
      <w:r>
        <w:rPr>
          <w:rFonts w:ascii="Arial" w:cs="Arial" w:eastAsia="Arial" w:hAnsi="Arial"/>
          <w:sz w:val="20"/>
          <w:szCs w:val="20"/>
          <w:color w:val="auto"/>
        </w:rPr>
        <w:t>René F. Jones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Principal Financial Officer:</w:t>
      </w:r>
    </w:p>
    <w:p>
      <w:pPr>
        <w:spacing w:after="0" w:line="343"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33286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0">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5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Darren J. King</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Principal Accounting Officer:</w:t>
      </w:r>
    </w:p>
    <w:p>
      <w:pPr>
        <w:spacing w:after="0" w:line="343"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Michael R. Spychala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33286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1">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52"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Michael R. Spychala</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 majority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33286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2">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Brent D. Baird</w:t>
      </w:r>
    </w:p>
    <w:p>
      <w:pPr>
        <w:spacing w:after="0" w:line="243"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C. Angela Bontempo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33286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3">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52"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C. Angela Bontempo</w:t>
      </w:r>
    </w:p>
    <w:p>
      <w:pPr>
        <w:spacing w:after="0" w:line="361"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/s/ Robert T.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33286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4">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52"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Robert T. Brady</w:t>
      </w:r>
    </w:p>
    <w:p>
      <w:pPr>
        <w:spacing w:after="0" w:line="36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T. Jefferson Cunningham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wp:posOffset>
            </wp:positionV>
            <wp:extent cx="33286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5">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75"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T. Jefferson Cunningham III</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020"/>
        <w:spacing w:after="0"/>
        <w:tabs>
          <w:tab w:leader="none" w:pos="4100" w:val="left"/>
        </w:tabs>
        <w:rPr>
          <w:sz w:val="20"/>
          <w:szCs w:val="20"/>
          <w:color w:val="auto"/>
        </w:rPr>
      </w:pPr>
      <w:r>
        <w:rPr>
          <w:rFonts w:ascii="Arial" w:cs="Arial" w:eastAsia="Arial" w:hAnsi="Arial"/>
          <w:sz w:val="13"/>
          <w:szCs w:val="13"/>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80" w:type="dxa"/>
            <w:vAlign w:val="bottom"/>
          </w:tcPr>
          <w:p>
            <w:pPr>
              <w:jc w:val="center"/>
              <w:ind w:right="479"/>
              <w:spacing w:after="0"/>
              <w:rPr>
                <w:sz w:val="20"/>
                <w:szCs w:val="20"/>
                <w:color w:val="auto"/>
              </w:rPr>
            </w:pPr>
            <w:r>
              <w:rPr>
                <w:rFonts w:ascii="Arial" w:cs="Arial" w:eastAsia="Arial" w:hAnsi="Arial"/>
                <w:sz w:val="20"/>
                <w:szCs w:val="20"/>
                <w:color w:val="auto"/>
                <w:w w:val="92"/>
              </w:rPr>
              <w:t>Chairman of the Board</w:t>
            </w:r>
          </w:p>
        </w:tc>
        <w:tc>
          <w:tcPr>
            <w:tcW w:w="2100" w:type="dxa"/>
            <w:vAlign w:val="bottom"/>
          </w:tcPr>
          <w:p>
            <w:pPr>
              <w:ind w:left="620"/>
              <w:spacing w:after="0"/>
              <w:rPr>
                <w:sz w:val="20"/>
                <w:szCs w:val="20"/>
                <w:color w:val="auto"/>
              </w:rPr>
            </w:pPr>
            <w:r>
              <w:rPr>
                <w:rFonts w:ascii="Arial" w:cs="Arial" w:eastAsia="Arial" w:hAnsi="Arial"/>
                <w:sz w:val="20"/>
                <w:szCs w:val="20"/>
                <w:color w:val="auto"/>
                <w:w w:val="89"/>
              </w:rPr>
              <w:t>February 19, 2020</w:t>
            </w:r>
          </w:p>
        </w:tc>
      </w:tr>
      <w:tr>
        <w:trPr>
          <w:trHeight w:val="257"/>
        </w:trPr>
        <w:tc>
          <w:tcPr>
            <w:tcW w:w="2880" w:type="dxa"/>
            <w:vAlign w:val="bottom"/>
          </w:tcPr>
          <w:p>
            <w:pPr>
              <w:jc w:val="center"/>
              <w:ind w:right="499"/>
              <w:spacing w:after="0"/>
              <w:rPr>
                <w:sz w:val="20"/>
                <w:szCs w:val="20"/>
                <w:color w:val="auto"/>
              </w:rPr>
            </w:pPr>
            <w:r>
              <w:rPr>
                <w:rFonts w:ascii="Arial" w:cs="Arial" w:eastAsia="Arial" w:hAnsi="Arial"/>
                <w:sz w:val="20"/>
                <w:szCs w:val="20"/>
                <w:color w:val="auto"/>
                <w:w w:val="94"/>
              </w:rPr>
              <w:t>and Chief Executive Officer</w:t>
            </w:r>
          </w:p>
        </w:tc>
        <w:tc>
          <w:tcPr>
            <w:tcW w:w="2100" w:type="dxa"/>
            <w:vAlign w:val="bottom"/>
          </w:tcPr>
          <w:p>
            <w:pPr>
              <w:spacing w:after="0"/>
              <w:rPr>
                <w:sz w:val="22"/>
                <w:szCs w:val="22"/>
                <w:color w:val="auto"/>
              </w:rPr>
            </w:pPr>
          </w:p>
        </w:tc>
      </w:tr>
      <w:tr>
        <w:trPr>
          <w:trHeight w:val="872"/>
        </w:trPr>
        <w:tc>
          <w:tcPr>
            <w:tcW w:w="2880" w:type="dxa"/>
            <w:vAlign w:val="bottom"/>
          </w:tcPr>
          <w:p>
            <w:pPr>
              <w:jc w:val="center"/>
              <w:ind w:right="479"/>
              <w:spacing w:after="0"/>
              <w:rPr>
                <w:sz w:val="20"/>
                <w:szCs w:val="20"/>
                <w:color w:val="auto"/>
              </w:rPr>
            </w:pPr>
            <w:r>
              <w:rPr>
                <w:rFonts w:ascii="Arial" w:cs="Arial" w:eastAsia="Arial" w:hAnsi="Arial"/>
                <w:sz w:val="20"/>
                <w:szCs w:val="20"/>
                <w:color w:val="auto"/>
                <w:w w:val="91"/>
              </w:rPr>
              <w:t>Executive Vice President</w:t>
            </w:r>
          </w:p>
        </w:tc>
        <w:tc>
          <w:tcPr>
            <w:tcW w:w="2100" w:type="dxa"/>
            <w:vAlign w:val="bottom"/>
          </w:tcPr>
          <w:p>
            <w:pPr>
              <w:ind w:left="620"/>
              <w:spacing w:after="0"/>
              <w:rPr>
                <w:sz w:val="20"/>
                <w:szCs w:val="20"/>
                <w:color w:val="auto"/>
              </w:rPr>
            </w:pPr>
            <w:r>
              <w:rPr>
                <w:rFonts w:ascii="Arial" w:cs="Arial" w:eastAsia="Arial" w:hAnsi="Arial"/>
                <w:sz w:val="20"/>
                <w:szCs w:val="20"/>
                <w:color w:val="auto"/>
                <w:w w:val="89"/>
              </w:rPr>
              <w:t>February 19, 2020</w:t>
            </w:r>
          </w:p>
        </w:tc>
      </w:tr>
      <w:tr>
        <w:trPr>
          <w:trHeight w:val="257"/>
        </w:trPr>
        <w:tc>
          <w:tcPr>
            <w:tcW w:w="2880" w:type="dxa"/>
            <w:vAlign w:val="bottom"/>
          </w:tcPr>
          <w:p>
            <w:pPr>
              <w:jc w:val="center"/>
              <w:ind w:right="479"/>
              <w:spacing w:after="0"/>
              <w:rPr>
                <w:sz w:val="20"/>
                <w:szCs w:val="20"/>
                <w:color w:val="auto"/>
              </w:rPr>
            </w:pPr>
            <w:r>
              <w:rPr>
                <w:rFonts w:ascii="Arial" w:cs="Arial" w:eastAsia="Arial" w:hAnsi="Arial"/>
                <w:sz w:val="20"/>
                <w:szCs w:val="20"/>
                <w:color w:val="auto"/>
                <w:w w:val="94"/>
              </w:rPr>
              <w:t>and Chief Financial Officer</w:t>
            </w:r>
          </w:p>
        </w:tc>
        <w:tc>
          <w:tcPr>
            <w:tcW w:w="2100" w:type="dxa"/>
            <w:vAlign w:val="bottom"/>
          </w:tcPr>
          <w:p>
            <w:pPr>
              <w:spacing w:after="0"/>
              <w:rPr>
                <w:sz w:val="22"/>
                <w:szCs w:val="22"/>
                <w:color w:val="auto"/>
              </w:rPr>
            </w:pPr>
          </w:p>
        </w:tc>
      </w:tr>
      <w:tr>
        <w:trPr>
          <w:trHeight w:val="872"/>
        </w:trPr>
        <w:tc>
          <w:tcPr>
            <w:tcW w:w="2880" w:type="dxa"/>
            <w:vAlign w:val="bottom"/>
          </w:tcPr>
          <w:p>
            <w:pPr>
              <w:jc w:val="center"/>
              <w:ind w:right="499"/>
              <w:spacing w:after="0"/>
              <w:rPr>
                <w:sz w:val="20"/>
                <w:szCs w:val="20"/>
                <w:color w:val="auto"/>
              </w:rPr>
            </w:pPr>
            <w:r>
              <w:rPr>
                <w:rFonts w:ascii="Arial" w:cs="Arial" w:eastAsia="Arial" w:hAnsi="Arial"/>
                <w:sz w:val="20"/>
                <w:szCs w:val="20"/>
                <w:color w:val="auto"/>
                <w:w w:val="89"/>
              </w:rPr>
              <w:t>Senior Vice President and</w:t>
            </w:r>
          </w:p>
        </w:tc>
        <w:tc>
          <w:tcPr>
            <w:tcW w:w="2100" w:type="dxa"/>
            <w:vAlign w:val="bottom"/>
          </w:tcPr>
          <w:p>
            <w:pPr>
              <w:ind w:left="620"/>
              <w:spacing w:after="0"/>
              <w:rPr>
                <w:sz w:val="20"/>
                <w:szCs w:val="20"/>
                <w:color w:val="auto"/>
              </w:rPr>
            </w:pPr>
            <w:r>
              <w:rPr>
                <w:rFonts w:ascii="Arial" w:cs="Arial" w:eastAsia="Arial" w:hAnsi="Arial"/>
                <w:sz w:val="20"/>
                <w:szCs w:val="20"/>
                <w:color w:val="auto"/>
                <w:w w:val="89"/>
              </w:rPr>
              <w:t>February 19, 2020</w:t>
            </w:r>
          </w:p>
        </w:tc>
      </w:tr>
      <w:tr>
        <w:trPr>
          <w:trHeight w:val="257"/>
        </w:trPr>
        <w:tc>
          <w:tcPr>
            <w:tcW w:w="2880" w:type="dxa"/>
            <w:vAlign w:val="bottom"/>
          </w:tcPr>
          <w:p>
            <w:pPr>
              <w:jc w:val="center"/>
              <w:ind w:right="479"/>
              <w:spacing w:after="0"/>
              <w:rPr>
                <w:sz w:val="20"/>
                <w:szCs w:val="20"/>
                <w:color w:val="auto"/>
              </w:rPr>
            </w:pPr>
            <w:r>
              <w:rPr>
                <w:rFonts w:ascii="Arial" w:cs="Arial" w:eastAsia="Arial" w:hAnsi="Arial"/>
                <w:sz w:val="20"/>
                <w:szCs w:val="20"/>
                <w:color w:val="auto"/>
                <w:w w:val="94"/>
              </w:rPr>
              <w:t>Controller</w:t>
            </w:r>
          </w:p>
        </w:tc>
        <w:tc>
          <w:tcPr>
            <w:tcW w:w="21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160"/>
        <w:spacing w:after="0"/>
        <w:rPr>
          <w:sz w:val="20"/>
          <w:szCs w:val="20"/>
          <w:color w:val="auto"/>
        </w:rPr>
      </w:pPr>
      <w:r>
        <w:rPr>
          <w:rFonts w:ascii="Arial" w:cs="Arial" w:eastAsia="Arial" w:hAnsi="Arial"/>
          <w:sz w:val="20"/>
          <w:szCs w:val="20"/>
          <w:color w:val="auto"/>
        </w:rPr>
        <w:t>February 19, 2020</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160"/>
        <w:spacing w:after="0"/>
        <w:rPr>
          <w:sz w:val="20"/>
          <w:szCs w:val="20"/>
          <w:color w:val="auto"/>
        </w:rPr>
      </w:pPr>
      <w:r>
        <w:rPr>
          <w:rFonts w:ascii="Arial" w:cs="Arial" w:eastAsia="Arial" w:hAnsi="Arial"/>
          <w:sz w:val="20"/>
          <w:szCs w:val="20"/>
          <w:color w:val="auto"/>
        </w:rPr>
        <w:t>February 19, 2020</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160"/>
        <w:spacing w:after="0"/>
        <w:rPr>
          <w:sz w:val="20"/>
          <w:szCs w:val="20"/>
          <w:color w:val="auto"/>
        </w:rPr>
      </w:pPr>
      <w:r>
        <w:rPr>
          <w:rFonts w:ascii="Arial" w:cs="Arial" w:eastAsia="Arial" w:hAnsi="Arial"/>
          <w:sz w:val="20"/>
          <w:szCs w:val="20"/>
          <w:color w:val="auto"/>
        </w:rPr>
        <w:t>February 19, 2020</w:t>
      </w:r>
    </w:p>
    <w:p>
      <w:pPr>
        <w:spacing w:after="0" w:line="502" w:lineRule="exact"/>
        <w:rPr>
          <w:sz w:val="20"/>
          <w:szCs w:val="20"/>
          <w:color w:val="auto"/>
        </w:rPr>
      </w:pPr>
    </w:p>
    <w:p>
      <w:pPr>
        <w:sectPr>
          <w:pgSz w:w="11900" w:h="16838" w:orient="portrait"/>
          <w:cols w:equalWidth="0" w:num="2">
            <w:col w:w="5380" w:space="720"/>
            <w:col w:w="5140"/>
          </w:cols>
          <w:pgMar w:left="240" w:top="332"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85725</wp:posOffset>
            </wp:positionV>
            <wp:extent cx="7275830" cy="419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6">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ectPr>
          <w:pgSz w:w="11900" w:h="16838" w:orient="portrait"/>
          <w:cols w:equalWidth="0" w:num="1">
            <w:col w:w="11240"/>
          </w:cols>
          <w:pgMar w:left="240" w:top="332" w:right="419" w:bottom="1440" w:gutter="0" w:footer="0" w:header="0"/>
          <w:type w:val="continuous"/>
        </w:sectPr>
      </w:pPr>
    </w:p>
    <w:bookmarkStart w:id="200" w:name="page201"/>
    <w:bookmarkEnd w:id="200"/>
    <w:tbl>
      <w:tblPr>
        <w:tblLayout w:type="fixed"/>
        <w:tblInd w:w="0" w:type="dxa"/>
        <w:tblCellMar>
          <w:top w:w="0" w:type="dxa"/>
          <w:left w:w="0" w:type="dxa"/>
          <w:bottom w:w="0" w:type="dxa"/>
          <w:right w:w="0" w:type="dxa"/>
        </w:tblCellMar>
      </w:tblPr>
      <w:tr>
        <w:trPr>
          <w:trHeight w:val="260"/>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/s/ Gary N. Geisel</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19, 2020</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2"/>
              </w:rPr>
              <w:t>Gary N. Geisel</w:t>
            </w:r>
          </w:p>
        </w:tc>
        <w:tc>
          <w:tcPr>
            <w:tcW w:w="5840" w:type="dxa"/>
            <w:vAlign w:val="bottom"/>
          </w:tcPr>
          <w:p>
            <w:pPr>
              <w:spacing w:after="0"/>
              <w:rPr>
                <w:sz w:val="24"/>
                <w:szCs w:val="24"/>
                <w:color w:val="auto"/>
              </w:rPr>
            </w:pPr>
          </w:p>
        </w:tc>
      </w:tr>
      <w:tr>
        <w:trPr>
          <w:trHeight w:val="594"/>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w:t>
            </w:r>
            <w:r>
              <w:rPr>
                <w:rFonts w:ascii="Arial" w:cs="Arial" w:eastAsia="Arial" w:hAnsi="Arial"/>
                <w:sz w:val="13"/>
                <w:szCs w:val="13"/>
                <w:color w:val="auto"/>
                <w:w w:val="92"/>
              </w:rPr>
              <w:t>S</w:t>
            </w:r>
            <w:r>
              <w:rPr>
                <w:rFonts w:ascii="Arial" w:cs="Arial" w:eastAsia="Arial" w:hAnsi="Arial"/>
                <w:sz w:val="20"/>
                <w:szCs w:val="20"/>
                <w:color w:val="auto"/>
                <w:w w:val="92"/>
              </w:rPr>
              <w:t>/ Richard S. Gold</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19, 2020</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2"/>
              </w:rPr>
              <w:t>Richard S. Gold</w:t>
            </w:r>
          </w:p>
        </w:tc>
        <w:tc>
          <w:tcPr>
            <w:tcW w:w="5840" w:type="dxa"/>
            <w:vAlign w:val="bottom"/>
          </w:tcPr>
          <w:p>
            <w:pPr>
              <w:spacing w:after="0"/>
              <w:rPr>
                <w:sz w:val="24"/>
                <w:szCs w:val="24"/>
                <w:color w:val="auto"/>
              </w:rPr>
            </w:pPr>
          </w:p>
        </w:tc>
      </w:tr>
      <w:tr>
        <w:trPr>
          <w:trHeight w:val="476"/>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3"/>
              </w:rPr>
              <w:t>/</w:t>
            </w:r>
            <w:r>
              <w:rPr>
                <w:rFonts w:ascii="Arial" w:cs="Arial" w:eastAsia="Arial" w:hAnsi="Arial"/>
                <w:sz w:val="13"/>
                <w:szCs w:val="13"/>
                <w:color w:val="auto"/>
                <w:w w:val="93"/>
              </w:rPr>
              <w:t>S</w:t>
            </w:r>
            <w:r>
              <w:rPr>
                <w:rFonts w:ascii="Arial" w:cs="Arial" w:eastAsia="Arial" w:hAnsi="Arial"/>
                <w:sz w:val="20"/>
                <w:szCs w:val="20"/>
                <w:color w:val="auto"/>
                <w:w w:val="93"/>
              </w:rPr>
              <w:t>/ Richard A. Grossi</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19, 2020</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3"/>
              </w:rPr>
              <w:t>Richard A. Grossi</w:t>
            </w:r>
          </w:p>
        </w:tc>
        <w:tc>
          <w:tcPr>
            <w:tcW w:w="5840" w:type="dxa"/>
            <w:vAlign w:val="bottom"/>
          </w:tcPr>
          <w:p>
            <w:pPr>
              <w:spacing w:after="0"/>
              <w:rPr>
                <w:sz w:val="24"/>
                <w:szCs w:val="24"/>
                <w:color w:val="auto"/>
              </w:rPr>
            </w:pPr>
          </w:p>
        </w:tc>
      </w:tr>
      <w:tr>
        <w:trPr>
          <w:trHeight w:val="489"/>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w:t>
            </w:r>
            <w:r>
              <w:rPr>
                <w:rFonts w:ascii="Arial" w:cs="Arial" w:eastAsia="Arial" w:hAnsi="Arial"/>
                <w:sz w:val="13"/>
                <w:szCs w:val="13"/>
                <w:color w:val="auto"/>
                <w:w w:val="91"/>
              </w:rPr>
              <w:t>S</w:t>
            </w:r>
            <w:r>
              <w:rPr>
                <w:rFonts w:ascii="Arial" w:cs="Arial" w:eastAsia="Arial" w:hAnsi="Arial"/>
                <w:sz w:val="20"/>
                <w:szCs w:val="20"/>
                <w:color w:val="auto"/>
                <w:w w:val="91"/>
              </w:rPr>
              <w:t>/ John D. Hawke, Jr.</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19, 2020</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1"/>
              </w:rPr>
              <w:t>John D. Hawke, Jr.</w:t>
            </w:r>
          </w:p>
        </w:tc>
        <w:tc>
          <w:tcPr>
            <w:tcW w:w="5840" w:type="dxa"/>
            <w:vAlign w:val="bottom"/>
          </w:tcPr>
          <w:p>
            <w:pPr>
              <w:spacing w:after="0"/>
              <w:rPr>
                <w:sz w:val="24"/>
                <w:szCs w:val="24"/>
                <w:color w:val="auto"/>
              </w:rPr>
            </w:pPr>
          </w:p>
        </w:tc>
      </w:tr>
      <w:tr>
        <w:trPr>
          <w:trHeight w:val="476"/>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6"/>
              </w:rPr>
              <w:t>/</w:t>
            </w:r>
            <w:r>
              <w:rPr>
                <w:rFonts w:ascii="Arial" w:cs="Arial" w:eastAsia="Arial" w:hAnsi="Arial"/>
                <w:sz w:val="13"/>
                <w:szCs w:val="13"/>
                <w:color w:val="auto"/>
                <w:w w:val="86"/>
              </w:rPr>
              <w:t>S</w:t>
            </w:r>
            <w:r>
              <w:rPr>
                <w:rFonts w:ascii="Arial" w:cs="Arial" w:eastAsia="Arial" w:hAnsi="Arial"/>
                <w:sz w:val="20"/>
                <w:szCs w:val="20"/>
                <w:color w:val="auto"/>
                <w:w w:val="86"/>
              </w:rPr>
              <w:t>/ René F. Jones</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19, 2020</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84"/>
              </w:rPr>
              <w:t>René F. Jones</w:t>
            </w:r>
          </w:p>
        </w:tc>
        <w:tc>
          <w:tcPr>
            <w:tcW w:w="5840" w:type="dxa"/>
            <w:vAlign w:val="bottom"/>
          </w:tcPr>
          <w:p>
            <w:pPr>
              <w:spacing w:after="0"/>
              <w:rPr>
                <w:sz w:val="24"/>
                <w:szCs w:val="24"/>
                <w:color w:val="auto"/>
              </w:rPr>
            </w:pPr>
          </w:p>
        </w:tc>
      </w:tr>
      <w:tr>
        <w:trPr>
          <w:trHeight w:val="476"/>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w:t>
            </w:r>
            <w:r>
              <w:rPr>
                <w:rFonts w:ascii="Arial" w:cs="Arial" w:eastAsia="Arial" w:hAnsi="Arial"/>
                <w:sz w:val="13"/>
                <w:szCs w:val="13"/>
                <w:color w:val="auto"/>
                <w:w w:val="91"/>
              </w:rPr>
              <w:t>S</w:t>
            </w:r>
            <w:r>
              <w:rPr>
                <w:rFonts w:ascii="Arial" w:cs="Arial" w:eastAsia="Arial" w:hAnsi="Arial"/>
                <w:sz w:val="20"/>
                <w:szCs w:val="20"/>
                <w:color w:val="auto"/>
                <w:w w:val="91"/>
              </w:rPr>
              <w:t>/ Richard H. Ledgett, Jr.</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19, 2020</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1"/>
              </w:rPr>
              <w:t>Richard H. Ledgett, Jr.</w:t>
            </w:r>
          </w:p>
        </w:tc>
        <w:tc>
          <w:tcPr>
            <w:tcW w:w="5840" w:type="dxa"/>
            <w:vAlign w:val="bottom"/>
          </w:tcPr>
          <w:p>
            <w:pPr>
              <w:spacing w:after="0"/>
              <w:rPr>
                <w:sz w:val="24"/>
                <w:szCs w:val="24"/>
                <w:color w:val="auto"/>
              </w:rPr>
            </w:pPr>
          </w:p>
        </w:tc>
      </w:tr>
      <w:tr>
        <w:trPr>
          <w:trHeight w:val="476"/>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4"/>
              </w:rPr>
              <w:t>/</w:t>
            </w:r>
            <w:r>
              <w:rPr>
                <w:rFonts w:ascii="Arial" w:cs="Arial" w:eastAsia="Arial" w:hAnsi="Arial"/>
                <w:sz w:val="13"/>
                <w:szCs w:val="13"/>
                <w:color w:val="auto"/>
                <w:w w:val="94"/>
              </w:rPr>
              <w:t>S</w:t>
            </w:r>
            <w:r>
              <w:rPr>
                <w:rFonts w:ascii="Arial" w:cs="Arial" w:eastAsia="Arial" w:hAnsi="Arial"/>
                <w:sz w:val="20"/>
                <w:szCs w:val="20"/>
                <w:color w:val="auto"/>
                <w:w w:val="94"/>
              </w:rPr>
              <w:t>/ Newton P. S. Merrill</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19, 2020</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3"/>
              </w:rPr>
              <w:t>Newton P. S. Merrill</w:t>
            </w:r>
          </w:p>
        </w:tc>
        <w:tc>
          <w:tcPr>
            <w:tcW w:w="5840" w:type="dxa"/>
            <w:vAlign w:val="bottom"/>
          </w:tcPr>
          <w:p>
            <w:pPr>
              <w:spacing w:after="0"/>
              <w:rPr>
                <w:sz w:val="24"/>
                <w:szCs w:val="24"/>
                <w:color w:val="auto"/>
              </w:rPr>
            </w:pPr>
          </w:p>
        </w:tc>
      </w:tr>
      <w:tr>
        <w:trPr>
          <w:trHeight w:val="594"/>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w:t>
            </w:r>
            <w:r>
              <w:rPr>
                <w:rFonts w:ascii="Arial" w:cs="Arial" w:eastAsia="Arial" w:hAnsi="Arial"/>
                <w:sz w:val="13"/>
                <w:szCs w:val="13"/>
                <w:color w:val="auto"/>
                <w:w w:val="90"/>
              </w:rPr>
              <w:t>S</w:t>
            </w:r>
            <w:r>
              <w:rPr>
                <w:rFonts w:ascii="Arial" w:cs="Arial" w:eastAsia="Arial" w:hAnsi="Arial"/>
                <w:sz w:val="20"/>
                <w:szCs w:val="20"/>
                <w:color w:val="auto"/>
                <w:w w:val="90"/>
              </w:rPr>
              <w:t>/ Kevin J. Pearson</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19, 2020</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89"/>
              </w:rPr>
              <w:t>Kevin J. Pearson</w:t>
            </w:r>
          </w:p>
        </w:tc>
        <w:tc>
          <w:tcPr>
            <w:tcW w:w="5840" w:type="dxa"/>
            <w:vAlign w:val="bottom"/>
          </w:tcPr>
          <w:p>
            <w:pPr>
              <w:spacing w:after="0"/>
              <w:rPr>
                <w:sz w:val="24"/>
                <w:szCs w:val="24"/>
                <w:color w:val="auto"/>
              </w:rPr>
            </w:pPr>
          </w:p>
        </w:tc>
      </w:tr>
      <w:tr>
        <w:trPr>
          <w:trHeight w:val="476"/>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4"/>
              </w:rPr>
              <w:t>/</w:t>
            </w:r>
            <w:r>
              <w:rPr>
                <w:rFonts w:ascii="Arial" w:cs="Arial" w:eastAsia="Arial" w:hAnsi="Arial"/>
                <w:sz w:val="13"/>
                <w:szCs w:val="13"/>
                <w:color w:val="auto"/>
                <w:w w:val="94"/>
              </w:rPr>
              <w:t>S</w:t>
            </w:r>
            <w:r>
              <w:rPr>
                <w:rFonts w:ascii="Arial" w:cs="Arial" w:eastAsia="Arial" w:hAnsi="Arial"/>
                <w:sz w:val="20"/>
                <w:szCs w:val="20"/>
                <w:color w:val="auto"/>
                <w:w w:val="94"/>
              </w:rPr>
              <w:t>/ Melinda R. Rich</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19, 2020</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4"/>
              </w:rPr>
              <w:t>Melinda R. Rich</w:t>
            </w:r>
          </w:p>
        </w:tc>
        <w:tc>
          <w:tcPr>
            <w:tcW w:w="5840" w:type="dxa"/>
            <w:vAlign w:val="bottom"/>
          </w:tcPr>
          <w:p>
            <w:pPr>
              <w:spacing w:after="0"/>
              <w:rPr>
                <w:sz w:val="24"/>
                <w:szCs w:val="24"/>
                <w:color w:val="auto"/>
              </w:rPr>
            </w:pPr>
          </w:p>
        </w:tc>
      </w:tr>
      <w:tr>
        <w:trPr>
          <w:trHeight w:val="476"/>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w:t>
            </w:r>
            <w:r>
              <w:rPr>
                <w:rFonts w:ascii="Arial" w:cs="Arial" w:eastAsia="Arial" w:hAnsi="Arial"/>
                <w:sz w:val="13"/>
                <w:szCs w:val="13"/>
                <w:color w:val="auto"/>
                <w:w w:val="90"/>
              </w:rPr>
              <w:t>S</w:t>
            </w:r>
            <w:r>
              <w:rPr>
                <w:rFonts w:ascii="Arial" w:cs="Arial" w:eastAsia="Arial" w:hAnsi="Arial"/>
                <w:sz w:val="20"/>
                <w:szCs w:val="20"/>
                <w:color w:val="auto"/>
                <w:w w:val="90"/>
              </w:rPr>
              <w:t>/ Robert E. Sadler, Jr.</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19, 2020</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89"/>
              </w:rPr>
              <w:t>Robert E. Sadler, Jr.</w:t>
            </w:r>
          </w:p>
        </w:tc>
        <w:tc>
          <w:tcPr>
            <w:tcW w:w="5840" w:type="dxa"/>
            <w:vAlign w:val="bottom"/>
          </w:tcPr>
          <w:p>
            <w:pPr>
              <w:spacing w:after="0"/>
              <w:rPr>
                <w:sz w:val="24"/>
                <w:szCs w:val="24"/>
                <w:color w:val="auto"/>
              </w:rPr>
            </w:pPr>
          </w:p>
        </w:tc>
      </w:tr>
      <w:tr>
        <w:trPr>
          <w:trHeight w:val="594"/>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w:t>
            </w:r>
            <w:r>
              <w:rPr>
                <w:rFonts w:ascii="Arial" w:cs="Arial" w:eastAsia="Arial" w:hAnsi="Arial"/>
                <w:sz w:val="13"/>
                <w:szCs w:val="13"/>
                <w:color w:val="auto"/>
                <w:w w:val="90"/>
              </w:rPr>
              <w:t>S</w:t>
            </w:r>
            <w:r>
              <w:rPr>
                <w:rFonts w:ascii="Arial" w:cs="Arial" w:eastAsia="Arial" w:hAnsi="Arial"/>
                <w:sz w:val="20"/>
                <w:szCs w:val="20"/>
                <w:color w:val="auto"/>
                <w:w w:val="90"/>
              </w:rPr>
              <w:t>/ Denis J. Salamone</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19, 2020</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89"/>
              </w:rPr>
              <w:t>Denis J. Salamone</w:t>
            </w:r>
          </w:p>
        </w:tc>
        <w:tc>
          <w:tcPr>
            <w:tcW w:w="5840" w:type="dxa"/>
            <w:vAlign w:val="bottom"/>
          </w:tcPr>
          <w:p>
            <w:pPr>
              <w:spacing w:after="0"/>
              <w:rPr>
                <w:sz w:val="24"/>
                <w:szCs w:val="24"/>
                <w:color w:val="auto"/>
              </w:rPr>
            </w:pPr>
          </w:p>
        </w:tc>
      </w:tr>
      <w:tr>
        <w:trPr>
          <w:trHeight w:val="607"/>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w:t>
            </w:r>
            <w:r>
              <w:rPr>
                <w:rFonts w:ascii="Arial" w:cs="Arial" w:eastAsia="Arial" w:hAnsi="Arial"/>
                <w:sz w:val="13"/>
                <w:szCs w:val="13"/>
                <w:color w:val="auto"/>
                <w:w w:val="90"/>
              </w:rPr>
              <w:t>S</w:t>
            </w:r>
            <w:r>
              <w:rPr>
                <w:rFonts w:ascii="Arial" w:cs="Arial" w:eastAsia="Arial" w:hAnsi="Arial"/>
                <w:sz w:val="20"/>
                <w:szCs w:val="20"/>
                <w:color w:val="auto"/>
                <w:w w:val="90"/>
              </w:rPr>
              <w:t>/ John R. Scannell</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19, 2020</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89"/>
              </w:rPr>
              <w:t>John R. Scannell</w:t>
            </w:r>
          </w:p>
        </w:tc>
        <w:tc>
          <w:tcPr>
            <w:tcW w:w="5840" w:type="dxa"/>
            <w:vAlign w:val="bottom"/>
          </w:tcPr>
          <w:p>
            <w:pPr>
              <w:spacing w:after="0"/>
              <w:rPr>
                <w:sz w:val="24"/>
                <w:szCs w:val="24"/>
                <w:color w:val="auto"/>
              </w:rPr>
            </w:pPr>
          </w:p>
        </w:tc>
      </w:tr>
      <w:tr>
        <w:trPr>
          <w:trHeight w:val="489"/>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w:t>
            </w:r>
            <w:r>
              <w:rPr>
                <w:rFonts w:ascii="Arial" w:cs="Arial" w:eastAsia="Arial" w:hAnsi="Arial"/>
                <w:sz w:val="13"/>
                <w:szCs w:val="13"/>
                <w:color w:val="auto"/>
                <w:w w:val="91"/>
              </w:rPr>
              <w:t>S</w:t>
            </w:r>
            <w:r>
              <w:rPr>
                <w:rFonts w:ascii="Arial" w:cs="Arial" w:eastAsia="Arial" w:hAnsi="Arial"/>
                <w:sz w:val="20"/>
                <w:szCs w:val="20"/>
                <w:color w:val="auto"/>
                <w:w w:val="91"/>
              </w:rPr>
              <w:t>/ David S. Scharfstein</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19, 2020</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1"/>
              </w:rPr>
              <w:t>David S. Scharfstein</w:t>
            </w:r>
          </w:p>
        </w:tc>
        <w:tc>
          <w:tcPr>
            <w:tcW w:w="5840" w:type="dxa"/>
            <w:vAlign w:val="bottom"/>
          </w:tcPr>
          <w:p>
            <w:pPr>
              <w:spacing w:after="0"/>
              <w:rPr>
                <w:sz w:val="24"/>
                <w:szCs w:val="24"/>
                <w:color w:val="auto"/>
              </w:rPr>
            </w:pPr>
          </w:p>
        </w:tc>
      </w:tr>
      <w:tr>
        <w:trPr>
          <w:trHeight w:val="489"/>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w:t>
            </w:r>
            <w:r>
              <w:rPr>
                <w:rFonts w:ascii="Arial" w:cs="Arial" w:eastAsia="Arial" w:hAnsi="Arial"/>
                <w:sz w:val="13"/>
                <w:szCs w:val="13"/>
                <w:color w:val="auto"/>
                <w:w w:val="92"/>
              </w:rPr>
              <w:t>S</w:t>
            </w:r>
            <w:r>
              <w:rPr>
                <w:rFonts w:ascii="Arial" w:cs="Arial" w:eastAsia="Arial" w:hAnsi="Arial"/>
                <w:sz w:val="20"/>
                <w:szCs w:val="20"/>
                <w:color w:val="auto"/>
                <w:w w:val="92"/>
              </w:rPr>
              <w:t>/ Herbert L. Washington</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19, 2020</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1"/>
              </w:rPr>
              <w:t>Herbert L. Washington</w:t>
            </w:r>
          </w:p>
        </w:tc>
        <w:tc>
          <w:tcPr>
            <w:tcW w:w="5840" w:type="dxa"/>
            <w:vAlign w:val="bottom"/>
          </w:tcPr>
          <w:p>
            <w:pPr>
              <w:spacing w:after="0"/>
              <w:rPr>
                <w:sz w:val="24"/>
                <w:szCs w:val="24"/>
                <w:color w:val="auto"/>
              </w:rPr>
            </w:pPr>
          </w:p>
        </w:tc>
      </w:tr>
      <w:tr>
        <w:trPr>
          <w:trHeight w:val="820"/>
        </w:trPr>
        <w:tc>
          <w:tcPr>
            <w:tcW w:w="5240" w:type="dxa"/>
            <w:vAlign w:val="bottom"/>
          </w:tcPr>
          <w:p>
            <w:pPr>
              <w:spacing w:after="0"/>
              <w:rPr>
                <w:sz w:val="24"/>
                <w:szCs w:val="24"/>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rPr>
              <w:t>201</w:t>
            </w:r>
          </w:p>
        </w:tc>
      </w:tr>
    </w:tbl>
    <w:p>
      <w:pPr>
        <w:sectPr>
          <w:pgSz w:w="11900" w:h="16838" w:orient="portrait"/>
          <w:cols w:equalWidth="0" w:num="1">
            <w:col w:w="11080"/>
          </w:cols>
          <w:pgMar w:left="240" w:top="336" w:right="579" w:bottom="1440" w:gutter="0" w:footer="0" w:header="0"/>
        </w:sectPr>
      </w:pPr>
    </w:p>
    <w:bookmarkStart w:id="201" w:name="page202"/>
    <w:bookmarkEnd w:id="201"/>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33-32044, 333-43175, 333-16077, 333-40640, 333-84384, 333-127406, 333-150122, 333-164015, 333-163992, 333-160769, 333-159795, 333-170740, 333-189099, 333-184504, 333-189097, 333-184411 and 333-231217) and Form S-3 (Nos. 333-227644) of M&amp;T Bank Corporation of our report dated February 19, 2020,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Buffalo, New York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2020</w:t>
      </w:r>
    </w:p>
    <w:p>
      <w:pPr>
        <w:sectPr>
          <w:pgSz w:w="11900" w:h="16838" w:orient="portrait"/>
          <w:cols w:equalWidth="0" w:num="1">
            <w:col w:w="11420"/>
          </w:cols>
          <w:pgMar w:left="240" w:top="122"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20"/>
          <w:szCs w:val="20"/>
          <w:b w:val="1"/>
          <w:bCs w:val="1"/>
          <w:color w:val="auto"/>
        </w:rPr>
        <w:t>EXHIBIT 31.1</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213" w:lineRule="exact"/>
        <w:rPr>
          <w:sz w:val="20"/>
          <w:szCs w:val="20"/>
          <w:color w:val="auto"/>
        </w:rPr>
      </w:pPr>
    </w:p>
    <w:p>
      <w:pPr>
        <w:ind w:left="460" w:hanging="455"/>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M&amp;T Bank Corporation;</w:t>
      </w:r>
    </w:p>
    <w:p>
      <w:pPr>
        <w:spacing w:after="0" w:line="213" w:lineRule="exact"/>
        <w:rPr>
          <w:rFonts w:ascii="Arial" w:cs="Arial" w:eastAsia="Arial" w:hAnsi="Arial"/>
          <w:sz w:val="18"/>
          <w:szCs w:val="18"/>
          <w:color w:val="auto"/>
        </w:rPr>
      </w:pPr>
    </w:p>
    <w:p>
      <w:pPr>
        <w:ind w:left="460" w:hanging="455"/>
        <w:spacing w:after="0" w:line="323"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460" w:hanging="455"/>
        <w:spacing w:after="0" w:line="261"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jc w:val="both"/>
        <w:ind w:left="460" w:hanging="455"/>
        <w:spacing w:after="0" w:line="252"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sz w:val="20"/>
          <w:szCs w:val="20"/>
          <w:color w:val="auto"/>
        </w:rPr>
      </w:pPr>
    </w:p>
    <w:p>
      <w:pPr>
        <w:jc w:val="both"/>
        <w:ind w:left="460" w:hanging="455"/>
        <w:spacing w:after="0" w:line="252"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460" w:hanging="455"/>
        <w:spacing w:after="0" w:line="252"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460" w:hanging="455"/>
        <w:spacing w:after="0" w:line="261"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18"/>
          <w:szCs w:val="18"/>
          <w:color w:val="auto"/>
        </w:rPr>
      </w:pPr>
    </w:p>
    <w:p>
      <w:pPr>
        <w:jc w:val="both"/>
        <w:ind w:left="460" w:hanging="455"/>
        <w:spacing w:after="0" w:line="252"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sz w:val="20"/>
          <w:szCs w:val="20"/>
          <w:color w:val="auto"/>
        </w:rPr>
      </w:pPr>
    </w:p>
    <w:p>
      <w:pPr>
        <w:ind w:left="460" w:hanging="455"/>
        <w:spacing w:after="0" w:line="323"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sz w:val="20"/>
          <w:szCs w:val="20"/>
          <w:color w:val="auto"/>
        </w:rPr>
      </w:pPr>
    </w:p>
    <w:p>
      <w:pPr>
        <w:ind w:left="460" w:hanging="455"/>
        <w:spacing w:after="0" w:line="261"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460" w:hanging="455"/>
        <w:spacing w:after="0" w:line="261"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2600"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auto"/>
                <w:w w:val="94"/>
              </w:rPr>
              <w:t>By</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René F. Jones</w:t>
            </w:r>
          </w:p>
        </w:tc>
      </w:tr>
      <w:tr>
        <w:trPr>
          <w:trHeight w:val="191"/>
        </w:trPr>
        <w:tc>
          <w:tcPr>
            <w:tcW w:w="220" w:type="dxa"/>
            <w:vAlign w:val="bottom"/>
          </w:tcPr>
          <w:p>
            <w:pPr>
              <w:spacing w:after="0"/>
              <w:rPr>
                <w:sz w:val="16"/>
                <w:szCs w:val="16"/>
                <w:color w:val="auto"/>
              </w:rPr>
            </w:pPr>
          </w:p>
        </w:tc>
        <w:tc>
          <w:tcPr>
            <w:tcW w:w="1940" w:type="dxa"/>
            <w:vAlign w:val="bottom"/>
          </w:tcPr>
          <w:p>
            <w:pPr>
              <w:jc w:val="center"/>
              <w:spacing w:after="0" w:line="191" w:lineRule="exact"/>
              <w:rPr>
                <w:sz w:val="20"/>
                <w:szCs w:val="20"/>
                <w:color w:val="auto"/>
              </w:rPr>
            </w:pPr>
            <w:r>
              <w:rPr>
                <w:rFonts w:ascii="Arial" w:cs="Arial" w:eastAsia="Arial" w:hAnsi="Arial"/>
                <w:sz w:val="18"/>
                <w:szCs w:val="18"/>
                <w:color w:val="auto"/>
                <w:w w:val="81"/>
              </w:rPr>
              <w:t>René F. Jones</w:t>
            </w:r>
          </w:p>
        </w:tc>
      </w:tr>
      <w:tr>
        <w:trPr>
          <w:trHeight w:val="210"/>
        </w:trPr>
        <w:tc>
          <w:tcPr>
            <w:tcW w:w="2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i w:val="1"/>
                <w:iCs w:val="1"/>
                <w:color w:val="auto"/>
                <w:w w:val="89"/>
              </w:rPr>
              <w:t>Chairman of the Board</w:t>
            </w:r>
          </w:p>
        </w:tc>
      </w:tr>
      <w:tr>
        <w:trPr>
          <w:trHeight w:val="210"/>
        </w:trPr>
        <w:tc>
          <w:tcPr>
            <w:tcW w:w="2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i w:val="1"/>
                <w:iCs w:val="1"/>
                <w:color w:val="auto"/>
                <w:w w:val="87"/>
              </w:rPr>
              <w:t>and Chief Executive</w:t>
            </w:r>
          </w:p>
        </w:tc>
      </w:tr>
      <w:tr>
        <w:trPr>
          <w:trHeight w:val="222"/>
        </w:trPr>
        <w:tc>
          <w:tcPr>
            <w:tcW w:w="22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i w:val="1"/>
                <w:iCs w:val="1"/>
                <w:color w:val="auto"/>
                <w:w w:val="94"/>
              </w:rPr>
              <w:t>Officer</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2020</w:t>
      </w:r>
    </w:p>
    <w:p>
      <w:pPr>
        <w:sectPr>
          <w:pgSz w:w="11900" w:h="16838" w:orient="portrait"/>
          <w:cols w:equalWidth="0" w:num="1">
            <w:col w:w="11420"/>
          </w:cols>
          <w:pgMar w:left="240" w:top="122"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20"/>
          <w:szCs w:val="20"/>
          <w:b w:val="1"/>
          <w:bCs w:val="1"/>
          <w:color w:val="auto"/>
        </w:rPr>
        <w:t>EXHIBIT 31.2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Darren J. King, certify that:</w:t>
      </w:r>
    </w:p>
    <w:p>
      <w:pPr>
        <w:spacing w:after="0" w:line="213" w:lineRule="exact"/>
        <w:rPr>
          <w:sz w:val="20"/>
          <w:szCs w:val="20"/>
          <w:color w:val="auto"/>
        </w:rPr>
      </w:pPr>
    </w:p>
    <w:p>
      <w:pPr>
        <w:ind w:left="460" w:hanging="455"/>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M&amp;T Bank Corporation;</w:t>
      </w:r>
    </w:p>
    <w:p>
      <w:pPr>
        <w:spacing w:after="0" w:line="213" w:lineRule="exact"/>
        <w:rPr>
          <w:rFonts w:ascii="Arial" w:cs="Arial" w:eastAsia="Arial" w:hAnsi="Arial"/>
          <w:sz w:val="18"/>
          <w:szCs w:val="18"/>
          <w:color w:val="auto"/>
        </w:rPr>
      </w:pPr>
    </w:p>
    <w:p>
      <w:pPr>
        <w:ind w:left="460" w:hanging="455"/>
        <w:spacing w:after="0" w:line="323"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460" w:hanging="455"/>
        <w:spacing w:after="0" w:line="261"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jc w:val="both"/>
        <w:ind w:left="460" w:hanging="455"/>
        <w:spacing w:after="0" w:line="252"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sz w:val="20"/>
          <w:szCs w:val="20"/>
          <w:color w:val="auto"/>
        </w:rPr>
      </w:pPr>
    </w:p>
    <w:p>
      <w:pPr>
        <w:jc w:val="both"/>
        <w:ind w:left="460" w:hanging="455"/>
        <w:spacing w:after="0" w:line="252"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460" w:hanging="455"/>
        <w:spacing w:after="0" w:line="252"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460" w:hanging="455"/>
        <w:spacing w:after="0" w:line="261"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18"/>
          <w:szCs w:val="18"/>
          <w:color w:val="auto"/>
        </w:rPr>
      </w:pPr>
    </w:p>
    <w:p>
      <w:pPr>
        <w:jc w:val="both"/>
        <w:ind w:left="460" w:hanging="455"/>
        <w:spacing w:after="0" w:line="252"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sz w:val="20"/>
          <w:szCs w:val="20"/>
          <w:color w:val="auto"/>
        </w:rPr>
      </w:pPr>
    </w:p>
    <w:p>
      <w:pPr>
        <w:ind w:left="460" w:hanging="455"/>
        <w:spacing w:after="0" w:line="323"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sz w:val="20"/>
          <w:szCs w:val="20"/>
          <w:color w:val="auto"/>
        </w:rPr>
      </w:pPr>
    </w:p>
    <w:p>
      <w:pPr>
        <w:ind w:left="460" w:hanging="455"/>
        <w:spacing w:after="0" w:line="261"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460" w:hanging="455"/>
        <w:spacing w:after="0" w:line="261"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540" w:type="dxa"/>
        <w:tblCellMar>
          <w:top w:w="0" w:type="dxa"/>
          <w:left w:w="0" w:type="dxa"/>
          <w:bottom w:w="0" w:type="dxa"/>
          <w:right w:w="0" w:type="dxa"/>
        </w:tblCellMar>
      </w:tblPr>
      <w:tr>
        <w:trPr>
          <w:trHeight w:val="222"/>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Darren J. King</w:t>
            </w:r>
          </w:p>
        </w:tc>
      </w:tr>
      <w:tr>
        <w:trPr>
          <w:trHeight w:val="191"/>
        </w:trPr>
        <w:tc>
          <w:tcPr>
            <w:tcW w:w="300" w:type="dxa"/>
            <w:vAlign w:val="bottom"/>
          </w:tcPr>
          <w:p>
            <w:pPr>
              <w:spacing w:after="0"/>
              <w:rPr>
                <w:sz w:val="16"/>
                <w:szCs w:val="16"/>
                <w:color w:val="auto"/>
              </w:rPr>
            </w:pPr>
          </w:p>
        </w:tc>
        <w:tc>
          <w:tcPr>
            <w:tcW w:w="1940" w:type="dxa"/>
            <w:vAlign w:val="bottom"/>
          </w:tcPr>
          <w:p>
            <w:pPr>
              <w:jc w:val="center"/>
              <w:spacing w:after="0" w:line="191" w:lineRule="exact"/>
              <w:rPr>
                <w:sz w:val="20"/>
                <w:szCs w:val="20"/>
                <w:color w:val="auto"/>
              </w:rPr>
            </w:pPr>
            <w:r>
              <w:rPr>
                <w:rFonts w:ascii="Arial" w:cs="Arial" w:eastAsia="Arial" w:hAnsi="Arial"/>
                <w:sz w:val="18"/>
                <w:szCs w:val="18"/>
                <w:color w:val="auto"/>
                <w:w w:val="90"/>
              </w:rPr>
              <w:t>Darren J. King</w:t>
            </w:r>
          </w:p>
        </w:tc>
      </w:tr>
      <w:tr>
        <w:trPr>
          <w:trHeight w:val="210"/>
        </w:trPr>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i w:val="1"/>
                <w:iCs w:val="1"/>
                <w:color w:val="auto"/>
                <w:w w:val="86"/>
              </w:rPr>
              <w:t>Executive Vice President</w:t>
            </w:r>
          </w:p>
        </w:tc>
      </w:tr>
      <w:tr>
        <w:trPr>
          <w:trHeight w:val="210"/>
        </w:trPr>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i w:val="1"/>
                <w:iCs w:val="1"/>
                <w:color w:val="auto"/>
                <w:w w:val="90"/>
              </w:rPr>
              <w:t>and Chief Financial</w:t>
            </w:r>
          </w:p>
        </w:tc>
      </w:tr>
      <w:tr>
        <w:trPr>
          <w:trHeight w:val="222"/>
        </w:trPr>
        <w:tc>
          <w:tcPr>
            <w:tcW w:w="3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i w:val="1"/>
                <w:iCs w:val="1"/>
                <w:color w:val="auto"/>
                <w:w w:val="94"/>
              </w:rPr>
              <w:t>Officer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2020</w:t>
      </w:r>
    </w:p>
    <w:p>
      <w:pPr>
        <w:sectPr>
          <w:pgSz w:w="11900" w:h="16838" w:orient="portrait"/>
          <w:cols w:equalWidth="0" w:num="1">
            <w:col w:w="11420"/>
          </w:cols>
          <w:pgMar w:left="240" w:top="122"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 UNDER 18 U.S.C. §1350</w:t>
      </w:r>
    </w:p>
    <w:p>
      <w:pPr>
        <w:spacing w:after="0" w:line="21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 René F. Jones, Chairman of the Board and Chief Executive Officer of M&amp;T Bank Corporation, certify, pursuant to Section 906 of the Sarbanes-Oxley Act of 2002, 18 U.S.C. Section 1350, that:</w:t>
      </w:r>
    </w:p>
    <w:p>
      <w:pPr>
        <w:spacing w:after="0" w:line="180" w:lineRule="exact"/>
        <w:rPr>
          <w:sz w:val="20"/>
          <w:szCs w:val="20"/>
          <w:color w:val="auto"/>
        </w:rPr>
      </w:pPr>
    </w:p>
    <w:p>
      <w:pPr>
        <w:ind w:firstLine="354"/>
        <w:spacing w:after="0" w:line="261" w:lineRule="auto"/>
        <w:tabs>
          <w:tab w:leader="none" w:pos="6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Annual Report on Form 10-K of M&amp;T Bank Corporation for the annual period ended December 31, 2019 (the “Report”) fully complies with the requirements of Section 13(a) or 15(d) of the Securities Exchange Act of 1934 (15 U.S.C. 78m or 78o(d)); and</w:t>
      </w:r>
    </w:p>
    <w:p>
      <w:pPr>
        <w:spacing w:after="0" w:line="180" w:lineRule="exact"/>
        <w:rPr>
          <w:rFonts w:ascii="Arial" w:cs="Arial" w:eastAsia="Arial" w:hAnsi="Arial"/>
          <w:sz w:val="18"/>
          <w:szCs w:val="18"/>
          <w:color w:val="auto"/>
        </w:rPr>
      </w:pPr>
    </w:p>
    <w:p>
      <w:pPr>
        <w:ind w:firstLine="354"/>
        <w:spacing w:after="0" w:line="261" w:lineRule="auto"/>
        <w:tabs>
          <w:tab w:leader="none" w:pos="63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80" w:lineRule="exact"/>
        <w:rPr>
          <w:sz w:val="20"/>
          <w:szCs w:val="20"/>
          <w:color w:val="auto"/>
        </w:rPr>
      </w:pPr>
    </w:p>
    <w:p>
      <w:pPr>
        <w:jc w:val="both"/>
        <w:ind w:firstLine="349"/>
        <w:spacing w:after="0" w:line="261"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391" w:lineRule="exact"/>
        <w:rPr>
          <w:sz w:val="20"/>
          <w:szCs w:val="20"/>
          <w:color w:val="auto"/>
        </w:rPr>
      </w:pPr>
    </w:p>
    <w:p>
      <w:pPr>
        <w:jc w:val="center"/>
        <w:ind w:right="6800"/>
        <w:spacing w:after="0"/>
        <w:rPr>
          <w:sz w:val="20"/>
          <w:szCs w:val="20"/>
          <w:color w:val="auto"/>
        </w:rPr>
      </w:pPr>
      <w:r>
        <w:rPr>
          <w:rFonts w:ascii="Arial" w:cs="Arial" w:eastAsia="Arial" w:hAnsi="Arial"/>
          <w:sz w:val="18"/>
          <w:szCs w:val="18"/>
          <w:color w:val="auto"/>
        </w:rPr>
        <w:t>/s/ René F.</w:t>
      </w:r>
    </w:p>
    <w:p>
      <w:pPr>
        <w:spacing w:after="0" w:line="15" w:lineRule="exact"/>
        <w:rPr>
          <w:sz w:val="20"/>
          <w:szCs w:val="20"/>
          <w:color w:val="auto"/>
        </w:rPr>
      </w:pPr>
    </w:p>
    <w:p>
      <w:pPr>
        <w:jc w:val="center"/>
        <w:ind w:right="6800"/>
        <w:spacing w:after="0"/>
        <w:rPr>
          <w:sz w:val="20"/>
          <w:szCs w:val="20"/>
          <w:color w:val="auto"/>
        </w:rPr>
      </w:pPr>
      <w:r>
        <w:rPr>
          <w:rFonts w:ascii="Arial" w:cs="Arial" w:eastAsia="Arial" w:hAnsi="Arial"/>
          <w:sz w:val="18"/>
          <w:szCs w:val="18"/>
          <w:color w:val="auto"/>
        </w:rPr>
        <w:t>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2540</wp:posOffset>
            </wp:positionV>
            <wp:extent cx="7677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7">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René F. Jones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2020</w:t>
      </w:r>
    </w:p>
    <w:p>
      <w:pPr>
        <w:spacing w:after="0" w:line="213" w:lineRule="exact"/>
        <w:rPr>
          <w:sz w:val="20"/>
          <w:szCs w:val="20"/>
          <w:color w:val="auto"/>
        </w:rPr>
      </w:pPr>
    </w:p>
    <w:p>
      <w:pPr>
        <w:jc w:val="both"/>
        <w:ind w:firstLine="349"/>
        <w:spacing w:after="0" w:line="299"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2"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20"/>
          <w:szCs w:val="20"/>
          <w:b w:val="1"/>
          <w:bCs w:val="1"/>
          <w:color w:val="auto"/>
        </w:rPr>
        <w:t>EXHIBIT 32.2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 UNDER 18 U.S.C. §1350</w:t>
      </w:r>
    </w:p>
    <w:p>
      <w:pPr>
        <w:spacing w:after="0" w:line="21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 Darren J. King, Executive Vice President and Chief Financial Officer of M&amp;T Bank Corporation, certify, pursuant to Section 906 of the Sarbanes-Oxley Act of 2002, 18 U.S.C. Section 1350, that:</w:t>
      </w:r>
    </w:p>
    <w:p>
      <w:pPr>
        <w:spacing w:after="0" w:line="180" w:lineRule="exact"/>
        <w:rPr>
          <w:sz w:val="20"/>
          <w:szCs w:val="20"/>
          <w:color w:val="auto"/>
        </w:rPr>
      </w:pPr>
    </w:p>
    <w:p>
      <w:pPr>
        <w:ind w:firstLine="354"/>
        <w:spacing w:after="0" w:line="261" w:lineRule="auto"/>
        <w:tabs>
          <w:tab w:leader="none" w:pos="6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Annual Report on Form 10-K of M&amp;T Bank Corporation for the annual period ended December 31, 2019 (the “Report”) fully complies with the requirements of Section 13(a) or 15(d) of the Securities Exchange Act of 1934 (15 U.S.C. 78m or 78o(d)); and</w:t>
      </w:r>
    </w:p>
    <w:p>
      <w:pPr>
        <w:spacing w:after="0" w:line="180" w:lineRule="exact"/>
        <w:rPr>
          <w:rFonts w:ascii="Arial" w:cs="Arial" w:eastAsia="Arial" w:hAnsi="Arial"/>
          <w:sz w:val="18"/>
          <w:szCs w:val="18"/>
          <w:color w:val="auto"/>
        </w:rPr>
      </w:pPr>
    </w:p>
    <w:p>
      <w:pPr>
        <w:ind w:firstLine="354"/>
        <w:spacing w:after="0" w:line="261" w:lineRule="auto"/>
        <w:tabs>
          <w:tab w:leader="none" w:pos="63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80" w:lineRule="exact"/>
        <w:rPr>
          <w:sz w:val="20"/>
          <w:szCs w:val="20"/>
          <w:color w:val="auto"/>
        </w:rPr>
      </w:pPr>
    </w:p>
    <w:p>
      <w:pPr>
        <w:jc w:val="both"/>
        <w:ind w:firstLine="349"/>
        <w:spacing w:after="0" w:line="261"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391" w:lineRule="exact"/>
        <w:rPr>
          <w:sz w:val="20"/>
          <w:szCs w:val="20"/>
          <w:color w:val="auto"/>
        </w:rPr>
      </w:pPr>
    </w:p>
    <w:p>
      <w:pPr>
        <w:jc w:val="center"/>
        <w:ind w:right="6500"/>
        <w:spacing w:after="0"/>
        <w:rPr>
          <w:sz w:val="20"/>
          <w:szCs w:val="20"/>
          <w:color w:val="auto"/>
        </w:rPr>
      </w:pPr>
      <w:r>
        <w:rPr>
          <w:rFonts w:ascii="Arial" w:cs="Arial" w:eastAsia="Arial" w:hAnsi="Arial"/>
          <w:sz w:val="18"/>
          <w:szCs w:val="18"/>
          <w:color w:val="auto"/>
        </w:rPr>
        <w:t>/s/ Darren J.</w:t>
      </w:r>
    </w:p>
    <w:p>
      <w:pPr>
        <w:spacing w:after="0" w:line="15" w:lineRule="exact"/>
        <w:rPr>
          <w:sz w:val="20"/>
          <w:szCs w:val="20"/>
          <w:color w:val="auto"/>
        </w:rPr>
      </w:pPr>
    </w:p>
    <w:p>
      <w:pPr>
        <w:jc w:val="center"/>
        <w:ind w:right="6500"/>
        <w:spacing w:after="0"/>
        <w:rPr>
          <w:sz w:val="20"/>
          <w:szCs w:val="20"/>
          <w:color w:val="auto"/>
        </w:rPr>
      </w:pPr>
      <w:r>
        <w:rPr>
          <w:rFonts w:ascii="Arial" w:cs="Arial" w:eastAsia="Arial" w:hAnsi="Arial"/>
          <w:sz w:val="18"/>
          <w:szCs w:val="18"/>
          <w:color w:val="auto"/>
        </w:rPr>
        <w:t>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2540</wp:posOffset>
            </wp:positionV>
            <wp:extent cx="8178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8">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8"/>
          <w:szCs w:val="18"/>
          <w:color w:val="auto"/>
        </w:rPr>
        <w:t>Darren J. King</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2020</w:t>
      </w:r>
    </w:p>
    <w:p>
      <w:pPr>
        <w:spacing w:after="0" w:line="213" w:lineRule="exact"/>
        <w:rPr>
          <w:sz w:val="20"/>
          <w:szCs w:val="20"/>
          <w:color w:val="auto"/>
        </w:rPr>
      </w:pPr>
    </w:p>
    <w:p>
      <w:pPr>
        <w:jc w:val="both"/>
        <w:ind w:firstLine="349"/>
        <w:spacing w:after="0" w:line="299"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1."/>
      <w:numFmt w:val="upperLetter"/>
      <w:start w:val="9"/>
    </w:lvl>
  </w:abstractNum>
  <w:abstractNum w:abstractNumId="3">
    <w:nsid w:val="77465F01"/>
    <w:multiLevelType w:val="hybridMultilevel"/>
    <w:lvl w:ilvl="0">
      <w:lvlJc w:val="left"/>
      <w:lvlText w:val="%1."/>
      <w:numFmt w:val="upperLetter"/>
      <w:start w:val="35"/>
    </w:lvl>
  </w:abstractNum>
  <w:abstractNum w:abstractNumId="4">
    <w:nsid w:val="7724C67E"/>
    <w:multiLevelType w:val="hybridMultilevel"/>
    <w:lvl w:ilvl="0">
      <w:lvlJc w:val="left"/>
      <w:lvlText w:val="%1."/>
      <w:numFmt w:val="upperLetter"/>
      <w:start w:val="61"/>
    </w:lvl>
  </w:abstractNum>
  <w:abstractNum w:abstractNumId="5">
    <w:nsid w:val="5C482A97"/>
    <w:multiLevelType w:val="hybridMultilevel"/>
    <w:lvl w:ilvl="0">
      <w:lvlJc w:val="left"/>
      <w:lvlText w:val="%1."/>
      <w:numFmt w:val="upperLetter"/>
      <w:start w:val="22"/>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1)"/>
      <w:numFmt w:val="lowerLetter"/>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1)"/>
      <w:numFmt w:val="decimal"/>
      <w:start w:val="1"/>
    </w:lvl>
  </w:abstractNum>
  <w:abstractNum w:abstractNumId="16">
    <w:nsid w:val="1D4ED43B"/>
    <w:multiLevelType w:val="hybridMultilevel"/>
    <w:lvl w:ilvl="0">
      <w:lvlJc w:val="left"/>
      <w:lvlText w:val="(%1)"/>
      <w:numFmt w:val="decimal"/>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1)"/>
      <w:numFmt w:val="lowerLetter"/>
      <w:start w:val="1"/>
    </w:lvl>
  </w:abstractNum>
  <w:abstractNum w:abstractNumId="20">
    <w:nsid w:val="7A6D8D3C"/>
    <w:multiLevelType w:val="hybridMultilevel"/>
    <w:lvl w:ilvl="0">
      <w:lvlJc w:val="left"/>
      <w:lvlText w:val="(%1)"/>
      <w:numFmt w:val="lowerLetter"/>
      <w:start w:val="1"/>
    </w:lvl>
  </w:abstractNum>
  <w:abstractNum w:abstractNumId="21">
    <w:nsid w:val="4B588F54"/>
    <w:multiLevelType w:val="hybridMultilevel"/>
    <w:lvl w:ilvl="0">
      <w:lvlJc w:val="left"/>
      <w:lvlText w:val="(%1)"/>
      <w:numFmt w:val="lowerLetter"/>
      <w:start w:val="1"/>
    </w:lvl>
  </w:abstractNum>
  <w:abstractNum w:abstractNumId="22">
    <w:nsid w:val="542289EC"/>
    <w:multiLevelType w:val="hybridMultilevel"/>
    <w:lvl w:ilvl="0">
      <w:lvlJc w:val="left"/>
      <w:lvlText w:val="(%1)"/>
      <w:numFmt w:val="lowerLetter"/>
      <w:start w:val="1"/>
    </w:lvl>
  </w:abstractNum>
  <w:abstractNum w:abstractNumId="23">
    <w:nsid w:val="6DE91B18"/>
    <w:multiLevelType w:val="hybridMultilevel"/>
    <w:lvl w:ilvl="0">
      <w:lvlJc w:val="left"/>
      <w:lvlText w:val="(%1)"/>
      <w:numFmt w:val="lowerLetter"/>
      <w:start w:val="1"/>
    </w:lvl>
  </w:abstractNum>
  <w:abstractNum w:abstractNumId="24">
    <w:nsid w:val="38437FDB"/>
    <w:multiLevelType w:val="hybridMultilevel"/>
    <w:lvl w:ilvl="0">
      <w:lvlJc w:val="left"/>
      <w:lvlText w:val="(%1)"/>
      <w:numFmt w:val="lowerLetter"/>
      <w:start w:val="1"/>
    </w:lvl>
  </w:abstractNum>
  <w:abstractNum w:abstractNumId="25">
    <w:nsid w:val="7644A45C"/>
    <w:multiLevelType w:val="hybridMultilevel"/>
    <w:lvl w:ilvl="0">
      <w:lvlJc w:val="left"/>
      <w:lvlText w:val="(%1)"/>
      <w:numFmt w:val="lowerLetter"/>
      <w:start w:val="1"/>
    </w:lvl>
  </w:abstractNum>
  <w:abstractNum w:abstractNumId="26">
    <w:nsid w:val="32FFF902"/>
    <w:multiLevelType w:val="hybridMultilevel"/>
    <w:lvl w:ilvl="0">
      <w:lvlJc w:val="left"/>
      <w:lvlText w:val="(%1)"/>
      <w:numFmt w:val="lowerLetter"/>
      <w:start w:val="1"/>
    </w:lvl>
  </w:abstractNum>
  <w:abstractNum w:abstractNumId="27">
    <w:nsid w:val="684A481A"/>
    <w:multiLevelType w:val="hybridMultilevel"/>
    <w:lvl w:ilvl="0">
      <w:lvlJc w:val="left"/>
      <w:lvlText w:val="(%1)"/>
      <w:numFmt w:val="lowerLetter"/>
      <w:start w:val="1"/>
    </w:lvl>
  </w:abstractNum>
  <w:abstractNum w:abstractNumId="28">
    <w:nsid w:val="579478FE"/>
    <w:multiLevelType w:val="hybridMultilevel"/>
    <w:lvl w:ilvl="0">
      <w:lvlJc w:val="left"/>
      <w:lvlText w:val="(%1)"/>
      <w:numFmt w:val="lowerRoman"/>
      <w:start w:val="1"/>
    </w:lvl>
  </w:abstractNum>
  <w:abstractNum w:abstractNumId="29">
    <w:nsid w:val="749ABB43"/>
    <w:multiLevelType w:val="hybridMultilevel"/>
    <w:lvl w:ilvl="0">
      <w:lvlJc w:val="left"/>
      <w:lvlText w:val="(%1)"/>
      <w:numFmt w:val="lowerRoman"/>
      <w:start w:val="5"/>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1)"/>
      <w:numFmt w:val="lowerLetter"/>
      <w:start w:val="1"/>
    </w:lvl>
  </w:abstractNum>
  <w:abstractNum w:abstractNumId="34">
    <w:nsid w:val="12E685FB"/>
    <w:multiLevelType w:val="hybridMultilevel"/>
    <w:lvl w:ilvl="0">
      <w:lvlJc w:val="left"/>
      <w:lvlText w:val="(%1)"/>
      <w:numFmt w:val="lowerLetter"/>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1)"/>
      <w:numFmt w:val="lowerLetter"/>
      <w:start w:val="1"/>
    </w:lvl>
  </w:abstractNum>
  <w:abstractNum w:abstractNumId="37">
    <w:nsid w:val="374A3FE6"/>
    <w:multiLevelType w:val="hybridMultilevel"/>
    <w:lvl w:ilvl="0">
      <w:lvlJc w:val="left"/>
      <w:lvlText w:val="(%1)"/>
      <w:numFmt w:val="lowerLetter"/>
      <w:start w:val="1"/>
    </w:lvl>
  </w:abstractNum>
  <w:abstractNum w:abstractNumId="38">
    <w:nsid w:val="4F4EF005"/>
    <w:multiLevelType w:val="hybridMultilevel"/>
    <w:lvl w:ilvl="0">
      <w:lvlJc w:val="left"/>
      <w:lvlText w:val="(%1)"/>
      <w:numFmt w:val="lowerLetter"/>
      <w:start w:val="2"/>
    </w:lvl>
  </w:abstractNum>
  <w:abstractNum w:abstractNumId="39">
    <w:nsid w:val="23F9C13C"/>
    <w:multiLevelType w:val="hybridMultilevel"/>
    <w:lvl w:ilvl="0">
      <w:lvlJc w:val="left"/>
      <w:lvlText w:val="(%1)"/>
      <w:numFmt w:val="lowerLetter"/>
      <w:start w:val="1"/>
    </w:lvl>
  </w:abstractNum>
  <w:abstractNum w:abstractNumId="40">
    <w:nsid w:val="649BB77C"/>
    <w:multiLevelType w:val="hybridMultilevel"/>
    <w:lvl w:ilvl="0">
      <w:lvlJc w:val="left"/>
      <w:lvlText w:val="(%1)"/>
      <w:numFmt w:val="lowerLetter"/>
      <w:start w:val="1"/>
    </w:lvl>
  </w:abstractNum>
  <w:abstractNum w:abstractNumId="41">
    <w:nsid w:val="275AC794"/>
    <w:multiLevelType w:val="hybridMultilevel"/>
    <w:lvl w:ilvl="0">
      <w:lvlJc w:val="left"/>
      <w:lvlText w:val="(%1)"/>
      <w:numFmt w:val="lowerLetter"/>
      <w:start w:val="1"/>
    </w:lvl>
  </w:abstractNum>
  <w:abstractNum w:abstractNumId="42">
    <w:nsid w:val="39386575"/>
    <w:multiLevelType w:val="hybridMultilevel"/>
    <w:lvl w:ilvl="0">
      <w:lvlJc w:val="left"/>
      <w:lvlText w:val="(%1)"/>
      <w:numFmt w:val="lowerLetter"/>
      <w:start w:val="1"/>
    </w:lvl>
  </w:abstractNum>
  <w:abstractNum w:abstractNumId="43">
    <w:nsid w:val="1CF10FD8"/>
    <w:multiLevelType w:val="hybridMultilevel"/>
    <w:lvl w:ilvl="0">
      <w:lvlJc w:val="left"/>
      <w:lvlText w:val="(%1)"/>
      <w:numFmt w:val="lowerLetter"/>
      <w:start w:val="3"/>
    </w:lvl>
  </w:abstractNum>
  <w:abstractNum w:abstractNumId="44">
    <w:nsid w:val="180115BE"/>
    <w:multiLevelType w:val="hybridMultilevel"/>
    <w:lvl w:ilvl="0">
      <w:lvlJc w:val="left"/>
      <w:lvlText w:val="(%1)"/>
      <w:numFmt w:val="lowerLetter"/>
      <w:start w:val="1"/>
    </w:lvl>
  </w:abstractNum>
  <w:abstractNum w:abstractNumId="45">
    <w:nsid w:val="235BA861"/>
    <w:multiLevelType w:val="hybridMultilevel"/>
    <w:lvl w:ilvl="0">
      <w:lvlJc w:val="left"/>
      <w:lvlText w:val="(%1)"/>
      <w:numFmt w:val="lowerLetter"/>
      <w:start w:val="1"/>
    </w:lvl>
  </w:abstractNum>
  <w:abstractNum w:abstractNumId="46">
    <w:nsid w:val="47398C89"/>
    <w:multiLevelType w:val="hybridMultilevel"/>
    <w:lvl w:ilvl="0">
      <w:lvlJc w:val="left"/>
      <w:lvlText w:val="(%1)"/>
      <w:numFmt w:val="lowerLetter"/>
      <w:start w:val="1"/>
    </w:lvl>
  </w:abstractNum>
  <w:abstractNum w:abstractNumId="47">
    <w:nsid w:val="354FE9F9"/>
    <w:multiLevelType w:val="hybridMultilevel"/>
    <w:lvl w:ilvl="0">
      <w:lvlJc w:val="left"/>
      <w:lvlText w:val="(%1)"/>
      <w:numFmt w:val="lowerLetter"/>
      <w:start w:val="1"/>
    </w:lvl>
  </w:abstractNum>
  <w:abstractNum w:abstractNumId="48">
    <w:nsid w:val="15B5AF5C"/>
    <w:multiLevelType w:val="hybridMultilevel"/>
    <w:lvl w:ilvl="0">
      <w:lvlJc w:val="left"/>
      <w:lvlText w:val="(%1)"/>
      <w:numFmt w:val="lowerLetter"/>
      <w:start w:val="1"/>
    </w:lvl>
  </w:abstractNum>
  <w:abstractNum w:abstractNumId="49">
    <w:nsid w:val="741226BB"/>
    <w:multiLevelType w:val="hybridMultilevel"/>
    <w:lvl w:ilvl="0">
      <w:lvlJc w:val="left"/>
      <w:lvlText w:val="(%1)"/>
      <w:numFmt w:val="lowerLetter"/>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1."/>
      <w:numFmt w:val="decimal"/>
      <w:start w:val="2"/>
    </w:lvl>
  </w:abstractNum>
  <w:abstractNum w:abstractNumId="52">
    <w:nsid w:val="3F6AB60F"/>
    <w:multiLevelType w:val="hybridMultilevel"/>
    <w:lvl w:ilvl="0">
      <w:lvlJc w:val="left"/>
      <w:lvlText w:val="(%1)"/>
      <w:numFmt w:val="lowerLetter"/>
      <w:start w:val="1"/>
    </w:lvl>
  </w:abstractNum>
  <w:abstractNum w:abstractNumId="53">
    <w:nsid w:val="61574095"/>
    <w:multiLevelType w:val="hybridMultilevel"/>
    <w:lvl w:ilvl="0">
      <w:lvlJc w:val="left"/>
      <w:lvlText w:val="(%1)"/>
      <w:numFmt w:val="lowerLetter"/>
      <w:start w:val="1"/>
    </w:lvl>
  </w:abstractNum>
  <w:abstractNum w:abstractNumId="54">
    <w:nsid w:val="7E0C57B1"/>
    <w:multiLevelType w:val="hybridMultilevel"/>
    <w:lvl w:ilvl="0">
      <w:lvlJc w:val="left"/>
      <w:lvlText w:val="(%1)"/>
      <w:numFmt w:val="lowerLetter"/>
      <w:start w:val="1"/>
    </w:lvl>
  </w:abstractNum>
  <w:abstractNum w:abstractNumId="55">
    <w:nsid w:val="77AE35EB"/>
    <w:multiLevelType w:val="hybridMultilevel"/>
    <w:lvl w:ilvl="0">
      <w:lvlJc w:val="left"/>
      <w:lvlText w:val="(%1)"/>
      <w:numFmt w:val="lowerLetter"/>
      <w:start w:val="1"/>
    </w:lvl>
  </w:abstractNum>
  <w:abstractNum w:abstractNumId="56">
    <w:nsid w:val="579BE4F1"/>
    <w:multiLevelType w:val="hybridMultilevel"/>
    <w:lvl w:ilvl="0">
      <w:lvlJc w:val="left"/>
      <w:lvlText w:val="(%1)"/>
      <w:numFmt w:val="lowerLetter"/>
      <w:start w:val="1"/>
    </w:lvl>
  </w:abstractNum>
  <w:abstractNum w:abstractNumId="57">
    <w:nsid w:val="310C50B3"/>
    <w:multiLevelType w:val="hybridMultilevel"/>
    <w:lvl w:ilvl="0">
      <w:lvlJc w:val="left"/>
      <w:lvlText w:val="(%1)"/>
      <w:numFmt w:val="lowerLetter"/>
      <w:start w:val="1"/>
    </w:lvl>
  </w:abstractNum>
  <w:abstractNum w:abstractNumId="58">
    <w:nsid w:val="5FF87E05"/>
    <w:multiLevelType w:val="hybridMultilevel"/>
    <w:lvl w:ilvl="0">
      <w:lvlJc w:val="left"/>
      <w:lvlText w:val="(%1)"/>
      <w:numFmt w:val="lowerLetter"/>
      <w:start w:val="1"/>
    </w:lvl>
  </w:abstractNum>
  <w:abstractNum w:abstractNumId="59">
    <w:nsid w:val="2F305DEF"/>
    <w:multiLevelType w:val="hybridMultilevel"/>
    <w:lvl w:ilvl="0">
      <w:lvlJc w:val="left"/>
      <w:lvlText w:val="%1"/>
      <w:numFmt w:val="decimal"/>
      <w:start w:val="104"/>
    </w:lvl>
    <w:lvl w:ilvl="1">
      <w:lvlJc w:val="left"/>
      <w:lvlText w:val="*"/>
      <w:numFmt w:val="bullet"/>
      <w:start w:val="1"/>
    </w:lvl>
  </w:abstractNum>
  <w:abstractNum w:abstractNumId="60">
    <w:nsid w:val="25A70BF7"/>
    <w:multiLevelType w:val="hybridMultilevel"/>
    <w:lvl w:ilvl="0">
      <w:lvlJc w:val="left"/>
      <w:lvlText w:val="%1."/>
      <w:numFmt w:val="decimal"/>
      <w:start w:val="1"/>
    </w:lvl>
  </w:abstractNum>
  <w:abstractNum w:abstractNumId="61">
    <w:nsid w:val="1DBABF00"/>
    <w:multiLevelType w:val="hybridMultilevel"/>
    <w:lvl w:ilvl="0">
      <w:lvlJc w:val="left"/>
      <w:lvlText w:val="%1)"/>
      <w:numFmt w:val="lowerLetter"/>
      <w:start w:val="1"/>
    </w:lvl>
  </w:abstractNum>
  <w:abstractNum w:abstractNumId="62">
    <w:nsid w:val="4AD084E9"/>
    <w:multiLevelType w:val="hybridMultilevel"/>
    <w:lvl w:ilvl="0">
      <w:lvlJc w:val="left"/>
      <w:lvlText w:val="%1."/>
      <w:numFmt w:val="decimal"/>
      <w:start w:val="5"/>
    </w:lvl>
  </w:abstractNum>
  <w:abstractNum w:abstractNumId="63">
    <w:nsid w:val="1F48EAA1"/>
    <w:multiLevelType w:val="hybridMultilevel"/>
    <w:lvl w:ilvl="0">
      <w:lvlJc w:val="left"/>
      <w:lvlText w:val="%1)"/>
      <w:numFmt w:val="lowerLetter"/>
      <w:start w:val="1"/>
    </w:lvl>
  </w:abstractNum>
  <w:abstractNum w:abstractNumId="64">
    <w:nsid w:val="1381823A"/>
    <w:multiLevelType w:val="hybridMultilevel"/>
    <w:lvl w:ilvl="0">
      <w:lvlJc w:val="left"/>
      <w:lvlText w:val="%1."/>
      <w:numFmt w:val="decimal"/>
      <w:start w:val="1"/>
    </w:lvl>
  </w:abstractNum>
  <w:abstractNum w:abstractNumId="65">
    <w:nsid w:val="5DB70AE5"/>
    <w:multiLevelType w:val="hybridMultilevel"/>
    <w:lvl w:ilvl="0">
      <w:lvlJc w:val="left"/>
      <w:lvlText w:val="%1)"/>
      <w:numFmt w:val="lowerLetter"/>
      <w:start w:val="1"/>
    </w:lvl>
  </w:abstractNum>
  <w:abstractNum w:abstractNumId="66">
    <w:nsid w:val="100F8FCA"/>
    <w:multiLevelType w:val="hybridMultilevel"/>
    <w:lvl w:ilvl="0">
      <w:lvlJc w:val="left"/>
      <w:lvlText w:val="%1."/>
      <w:numFmt w:val="decimal"/>
      <w:start w:val="5"/>
    </w:lvl>
  </w:abstractNum>
  <w:abstractNum w:abstractNumId="67">
    <w:nsid w:val="6590700B"/>
    <w:multiLevelType w:val="hybridMultilevel"/>
    <w:lvl w:ilvl="0">
      <w:lvlJc w:val="left"/>
      <w:lvlText w:val="%1)"/>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80" Type="http://schemas.openxmlformats.org/officeDocument/2006/relationships/image" Target="media/image259.png"/><Relationship Id="rId281" Type="http://schemas.openxmlformats.org/officeDocument/2006/relationships/image" Target="media/image260.png"/><Relationship Id="rId295" Type="http://schemas.openxmlformats.org/officeDocument/2006/relationships/image" Target="media/image261.png"/><Relationship Id="rId296" Type="http://schemas.openxmlformats.org/officeDocument/2006/relationships/image" Target="media/image262.png"/><Relationship Id="rId297" Type="http://schemas.openxmlformats.org/officeDocument/2006/relationships/image" Target="media/image263.png"/><Relationship Id="rId298" Type="http://schemas.openxmlformats.org/officeDocument/2006/relationships/image" Target="media/image264.png"/><Relationship Id="rId299" Type="http://schemas.openxmlformats.org/officeDocument/2006/relationships/image" Target="media/image265.png"/><Relationship Id="rId300" Type="http://schemas.openxmlformats.org/officeDocument/2006/relationships/image" Target="media/image266.png"/><Relationship Id="rId301" Type="http://schemas.openxmlformats.org/officeDocument/2006/relationships/image" Target="media/image267.png"/><Relationship Id="rId302" Type="http://schemas.openxmlformats.org/officeDocument/2006/relationships/image" Target="media/image268.png"/><Relationship Id="rId303" Type="http://schemas.openxmlformats.org/officeDocument/2006/relationships/image" Target="media/image269.png"/><Relationship Id="rId304" Type="http://schemas.openxmlformats.org/officeDocument/2006/relationships/image" Target="media/image270.png"/><Relationship Id="rId305" Type="http://schemas.openxmlformats.org/officeDocument/2006/relationships/image" Target="media/image271.png"/><Relationship Id="rId306" Type="http://schemas.openxmlformats.org/officeDocument/2006/relationships/image" Target="media/image272.png"/><Relationship Id="rId307" Type="http://schemas.openxmlformats.org/officeDocument/2006/relationships/image" Target="media/image273.png"/><Relationship Id="rId308" Type="http://schemas.openxmlformats.org/officeDocument/2006/relationships/image" Target="media/image274.png"/><Relationship Id="rId264" Type="http://schemas.openxmlformats.org/officeDocument/2006/relationships/hyperlink" Target="http://www.sec.gov/Archives/edgar/data/36270/000129993310004150/exhibit1.htm" TargetMode="External"/><Relationship Id="rId267" Type="http://schemas.openxmlformats.org/officeDocument/2006/relationships/hyperlink" Target="http://www.sec.gov/Archives/edgar/data/36270/000119312518124876/d575854dex32.htm" TargetMode="External"/><Relationship Id="rId268" Type="http://schemas.openxmlformats.org/officeDocument/2006/relationships/hyperlink" Target="http://www.sec.gov/Archives/edgar/data/36270/000095012311055474/l42806exv3w1.htm" TargetMode="External"/><Relationship Id="rId269" Type="http://schemas.openxmlformats.org/officeDocument/2006/relationships/hyperlink" Target="http://www.sec.gov/Archives/edgar/data/36270/000119312513164964/d525568dex31.htm" TargetMode="External"/><Relationship Id="rId270" Type="http://schemas.openxmlformats.org/officeDocument/2006/relationships/hyperlink" Target="http://www.sec.gov/Archives/edgar/data/36270/000119312514045840/d670446dex11.htm" TargetMode="External"/><Relationship Id="rId271" Type="http://schemas.openxmlformats.org/officeDocument/2006/relationships/hyperlink" Target="http://www.sec.gov/Archives/edgar/data/36270/000119312516751828/d243239dex31.htm" TargetMode="External"/><Relationship Id="rId272" Type="http://schemas.openxmlformats.org/officeDocument/2006/relationships/hyperlink" Target="http://www.sec.gov/Archives/edgar/data/36270/000119312519207015/d733995dex31.htm" TargetMode="External"/><Relationship Id="rId273" Type="http://schemas.openxmlformats.org/officeDocument/2006/relationships/hyperlink" Target="http://www.sec.gov/Archives/edgar/data/36270/0001047469-98-031118.txt" TargetMode="External"/><Relationship Id="rId274" Type="http://schemas.openxmlformats.org/officeDocument/2006/relationships/hyperlink" Target="http://www.sec.gov/Archives/edgar/data/36270/000156459017002016/mtb-ex102_1198.htm" TargetMode="External"/><Relationship Id="rId275" Type="http://schemas.openxmlformats.org/officeDocument/2006/relationships/hyperlink" Target="http://www.sec.gov/Archives/edgar/data/36270/000119312516569978/d174513dex101.htm" TargetMode="External"/><Relationship Id="rId276" Type="http://schemas.openxmlformats.org/officeDocument/2006/relationships/hyperlink" Target="http://www.sec.gov/Archives/edgar/data/36270/000156459019003467/mtb-ex104_442.htm" TargetMode="External"/><Relationship Id="rId277" Type="http://schemas.openxmlformats.org/officeDocument/2006/relationships/hyperlink" Target="http://www.sec.gov/Archives/edgar/data/36270/000156459019003467/mtb-ex105_441.htm" TargetMode="External"/><Relationship Id="rId278" Type="http://schemas.openxmlformats.org/officeDocument/2006/relationships/hyperlink" Target="http://www.sec.gov/Archives/edgar/data/36270/000119312516569978/d174513dex102.htm" TargetMode="External"/><Relationship Id="rId279" Type="http://schemas.openxmlformats.org/officeDocument/2006/relationships/hyperlink" Target="http://www.sec.gov/Archives/edgar/data/36270/000156459019003467/mtb-ex107_440.htm" TargetMode="External"/><Relationship Id="rId282" Type="http://schemas.openxmlformats.org/officeDocument/2006/relationships/hyperlink" Target="http://www.sec.gov/Archives/edgar/data/36270/000156459019003467/mtb-ex108_439.htm" TargetMode="External"/><Relationship Id="rId283" Type="http://schemas.openxmlformats.org/officeDocument/2006/relationships/hyperlink" Target="http://www.sec.gov/Archives/edgar/data/36270/000156459017002016/mtb-ex106_1199.htm" TargetMode="External"/><Relationship Id="rId284" Type="http://schemas.openxmlformats.org/officeDocument/2006/relationships/hyperlink" Target="http://www.sec.gov/Archives/edgar/data/36270/000119312512428478/d428043dex41.htm" TargetMode="External"/><Relationship Id="rId285" Type="http://schemas.openxmlformats.org/officeDocument/2006/relationships/hyperlink" Target="http://www.sec.gov/Archives/edgar/data/36270/000119312513071824/d440871dex1022.htm" TargetMode="External"/><Relationship Id="rId286" Type="http://schemas.openxmlformats.org/officeDocument/2006/relationships/hyperlink" Target="http://www.sec.gov/Archives/edgar/data/36270/000119312515077720/d843862ddef14a.htm" TargetMode="External"/><Relationship Id="rId287" Type="http://schemas.openxmlformats.org/officeDocument/2006/relationships/hyperlink" Target="http://www.sec.gov/Archives/edgar/data/36270/000119312514062812/d631624dex1025.htm" TargetMode="External"/><Relationship Id="rId288" Type="http://schemas.openxmlformats.org/officeDocument/2006/relationships/hyperlink" Target="http://www.sec.gov/Archives/edgar/data/36270/000119312514062812/d631624dex1026.htm" TargetMode="External"/><Relationship Id="rId289" Type="http://schemas.openxmlformats.org/officeDocument/2006/relationships/hyperlink" Target="http://www.sec.gov/Archives/edgar/data/36270/000119312514062812/d631624dex1027.htm" TargetMode="External"/><Relationship Id="rId290" Type="http://schemas.openxmlformats.org/officeDocument/2006/relationships/hyperlink" Target="http://www.sec.gov/Archives/edgar/data/36270/000119312514189500/d709160dex101.htm" TargetMode="External"/><Relationship Id="rId291" Type="http://schemas.openxmlformats.org/officeDocument/2006/relationships/hyperlink" Target="http://www.sec.gov/Archives/edgar/data/36270/000119312515362580/d47915dex46.htm" TargetMode="External"/><Relationship Id="rId292" Type="http://schemas.openxmlformats.org/officeDocument/2006/relationships/hyperlink" Target="http://www.sec.gov/Archives/edgar/data/36270/000119312515362580/d47915dex47.htm" TargetMode="External"/><Relationship Id="rId293" Type="http://schemas.openxmlformats.org/officeDocument/2006/relationships/hyperlink" Target="http://www.sec.gov/Archives/edgar/data/36270/000156459019006629/mtb-def14a_20190417.htm#APPENDIX_A" TargetMode="External"/><Relationship Id="rId294" Type="http://schemas.openxmlformats.org/officeDocument/2006/relationships/hyperlink" Target="http://www.sec.gov/Archives/edgar/data/36270/000156459019015404/mtb-ex101_26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2020-02-20T05:18:04Z</dcterms:created>
  <dcterms:modified xsi:type="dcterms:W3CDTF">2020-02-20T05:18:04Z</dcterms:modified>
</cp:coreProperties>
</file>