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One M &amp; T Plaza</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Buffalo, New York</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(716) 842-5445</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line="471"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0"/>
          <w:szCs w:val="20"/>
          <w:color w:val="auto"/>
        </w:rPr>
      </w:pPr>
    </w:p>
    <w:p>
      <w:pPr>
        <w:sectPr>
          <w:pgSz w:w="11900" w:h="16838" w:orient="portrait"/>
          <w:cols w:equalWidth="0" w:num="5">
            <w:col w:w="1620" w:space="300"/>
            <w:col w:w="160" w:space="100"/>
            <w:col w:w="5960" w:space="720"/>
            <w:col w:w="1980" w:space="4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5">
            <w:col w:w="8180" w:space="180"/>
            <w:col w:w="160" w:space="80"/>
            <w:col w:w="260" w:space="180"/>
            <w:col w:w="160" w:space="100"/>
            <w:col w:w="2120"/>
          </w:cols>
          <w:pgMar w:left="240" w:top="3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April 22, 2016: 158,999,014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March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Borders>
              <w:bottom w:val="single" w:sz="8" w:color="auto"/>
            </w:tcBorders>
            <w:gridSpan w:val="12"/>
          </w:tcPr>
          <w:p>
            <w:pPr>
              <w:spacing w:after="0"/>
              <w:rPr>
                <w:sz w:val="20"/>
                <w:szCs w:val="20"/>
                <w:color w:val="auto"/>
              </w:rPr>
            </w:pPr>
            <w:r>
              <w:rPr>
                <w:rFonts w:ascii="Arial" w:cs="Arial" w:eastAsia="Arial" w:hAnsi="Arial"/>
                <w:sz w:val="14"/>
                <w:szCs w:val="14"/>
                <w:color w:val="auto"/>
                <w:w w:val="94"/>
              </w:rPr>
              <w:t>Table of Contents of Information Required in Report</w:t>
            </w:r>
          </w:p>
        </w:tc>
        <w:tc>
          <w:tcPr>
            <w:tcW w:w="7980" w:type="dxa"/>
            <w:vAlign w:val="bottom"/>
            <w:gridSpan w:val="11"/>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4"/>
        </w:trPr>
        <w:tc>
          <w:tcPr>
            <w:tcW w:w="11040" w:type="dxa"/>
            <w:vAlign w:val="bottom"/>
            <w:gridSpan w:val="23"/>
          </w:tcPr>
          <w:p>
            <w:pPr>
              <w:spacing w:after="0"/>
              <w:rPr>
                <w:sz w:val="20"/>
                <w:szCs w:val="20"/>
                <w:color w:val="auto"/>
              </w:rPr>
            </w:pPr>
            <w:r>
              <w:rPr>
                <w:rFonts w:ascii="Arial" w:cs="Arial" w:eastAsia="Arial" w:hAnsi="Arial"/>
                <w:sz w:val="18"/>
                <w:szCs w:val="18"/>
                <w:color w:val="0000EE"/>
              </w:rPr>
              <w:t>Part I. FINANCIAL INFORMATION</w:t>
            </w:r>
          </w:p>
        </w:tc>
        <w:tc>
          <w:tcPr>
            <w:tcW w:w="280" w:type="dxa"/>
            <w:vAlign w:val="bottom"/>
          </w:tcPr>
          <w:p>
            <w:pPr>
              <w:spacing w:after="0"/>
              <w:rPr>
                <w:sz w:val="22"/>
                <w:szCs w:val="22"/>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Financial Statements.</w:t>
            </w:r>
          </w:p>
        </w:tc>
        <w:tc>
          <w:tcPr>
            <w:tcW w:w="8260" w:type="dxa"/>
            <w:vAlign w:val="bottom"/>
            <w:gridSpan w:val="13"/>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8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BALANCE SHEET - March 31, 2016 and December 31, 2015</w:t>
              </w:r>
            </w:hyperlink>
          </w:p>
        </w:tc>
        <w:tc>
          <w:tcPr>
            <w:tcW w:w="38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INCOME - Three months ended March 31, 2016 and 2015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COMPREHENSIVE INCOME - Three months ended March 31, 2016 and 2015</w:t>
              </w:r>
            </w:hyperlink>
          </w:p>
        </w:tc>
        <w:tc>
          <w:tcPr>
            <w:tcW w:w="12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CONSOLIDATED STATEMENT OF CASH FLOWS - Three months ended March 31, 2016 and 2015</w:t>
              </w:r>
            </w:hyperlink>
          </w:p>
        </w:tc>
        <w:tc>
          <w:tcPr>
            <w:tcW w:w="23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CONSOLIDATED STATEMENT OF CHANGES IN SHAREHOLDERS’ EQUITY - Three months ended March 31, 2016 and 2015</w:t>
              </w:r>
            </w:hyperlink>
          </w:p>
        </w:tc>
        <w:tc>
          <w:tcPr>
            <w:tcW w:w="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82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Controls and Procedures.</w:t>
              </w:r>
            </w:hyperlink>
          </w:p>
        </w:tc>
        <w:tc>
          <w:tcPr>
            <w:tcW w:w="80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24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5"/>
              </w:rPr>
              <w:t>Part II. OTHER INFORMATION</w:t>
            </w:r>
          </w:p>
        </w:tc>
        <w:tc>
          <w:tcPr>
            <w:tcW w:w="860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820" w:type="dxa"/>
            <w:vAlign w:val="bottom"/>
            <w:gridSpan w:val="2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4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Unregistered Sales of Equity Securities and Use of Proceeds.</w:t>
              </w:r>
            </w:hyperlink>
          </w:p>
        </w:tc>
        <w:tc>
          <w:tcPr>
            <w:tcW w:w="54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Defaults Upon Senior Securities.</w:t>
              </w:r>
            </w:hyperlink>
          </w:p>
        </w:tc>
        <w:tc>
          <w:tcPr>
            <w:tcW w:w="74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Mine Safety Disclosures.</w:t>
              </w:r>
            </w:hyperlink>
          </w:p>
        </w:tc>
        <w:tc>
          <w:tcPr>
            <w:tcW w:w="80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982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w:t>
              </w:r>
            </w:hyperlink>
          </w:p>
        </w:tc>
        <w:tc>
          <w:tcPr>
            <w:tcW w:w="846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70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 INDEX</w:t>
              </w:r>
            </w:hyperlink>
          </w:p>
        </w:tc>
        <w:tc>
          <w:tcPr>
            <w:tcW w:w="970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8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80" w:type="dxa"/>
            <w:vAlign w:val="bottom"/>
            <w:gridSpan w:val="15"/>
          </w:tcPr>
          <w:p>
            <w:pPr>
              <w:ind w:left="4340"/>
              <w:spacing w:after="0"/>
              <w:rPr>
                <w:sz w:val="20"/>
                <w:szCs w:val="20"/>
                <w:color w:val="auto"/>
              </w:rPr>
            </w:pPr>
            <w:r>
              <w:rPr>
                <w:rFonts w:ascii="Arial" w:cs="Arial" w:eastAsia="Arial" w:hAnsi="Arial"/>
                <w:sz w:val="18"/>
                <w:szCs w:val="18"/>
                <w:color w:val="auto"/>
              </w:rPr>
              <w:t>- 2 -</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0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color w:val="auto"/>
              </w:rPr>
              <w:t>March 31,</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91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71"/>
              <w:spacing w:after="0" w:line="154"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51"/>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1,178,175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9,545,181</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7,594,350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467,987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3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3"/>
              </w:rPr>
              <w:t>Investment securities (includes pledged securities that can be sold or repledged of $2,133,492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00" w:type="dxa"/>
            <w:vAlign w:val="bottom"/>
          </w:tcPr>
          <w:p>
            <w:pPr>
              <w:ind w:left="80"/>
              <w:spacing w:after="0"/>
              <w:rPr>
                <w:sz w:val="20"/>
                <w:szCs w:val="20"/>
                <w:color w:val="auto"/>
              </w:rPr>
            </w:pPr>
            <w:r>
              <w:rPr>
                <w:rFonts w:ascii="Arial" w:cs="Arial" w:eastAsia="Arial" w:hAnsi="Arial"/>
                <w:sz w:val="18"/>
                <w:szCs w:val="18"/>
                <w:color w:val="auto"/>
              </w:rPr>
              <w:t>at March 31, 2016; $2,136,712 at December 31, 2015)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9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6"/>
              </w:rPr>
              <w:t>Available for sale (cost: $11,937,326 at March 31, 2016; $12,138,636 at December 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12,200,647</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12,242,671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900" w:type="dxa"/>
            <w:vAlign w:val="bottom"/>
          </w:tcPr>
          <w:p>
            <w:pPr>
              <w:ind w:left="260"/>
              <w:spacing w:after="0" w:line="201" w:lineRule="exact"/>
              <w:rPr>
                <w:sz w:val="20"/>
                <w:szCs w:val="20"/>
                <w:color w:val="auto"/>
              </w:rPr>
            </w:pPr>
            <w:r>
              <w:rPr>
                <w:rFonts w:ascii="Arial" w:cs="Arial" w:eastAsia="Arial" w:hAnsi="Arial"/>
                <w:sz w:val="18"/>
                <w:szCs w:val="18"/>
                <w:color w:val="auto"/>
                <w:w w:val="94"/>
              </w:rPr>
              <w:t>Held to maturity (fair value: $2,769,343 at March 31, 2016; $2,864,147 at December 31,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320" w:type="dxa"/>
            <w:vAlign w:val="bottom"/>
            <w:gridSpan w:val="2"/>
          </w:tcPr>
          <w:p>
            <w:pPr>
              <w:ind w:left="86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2,730,611</w:t>
            </w: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(fair value: $536,062 at March 31, 2016; $554,059 at December 31, 2015)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536,062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00" w:type="dxa"/>
            <w:vAlign w:val="bottom"/>
          </w:tcPr>
          <w:p>
            <w:pPr>
              <w:ind w:left="62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15,467,320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15,656,439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Loans and leases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88,104,830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87,719,234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Unearned discount</w:t>
            </w:r>
          </w:p>
        </w:tc>
        <w:tc>
          <w:tcPr>
            <w:tcW w:w="10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(232,364)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87,872,466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87,489,499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(962,752)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(955,992)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86,909,714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86,533,507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662,891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4,593,112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127,949</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5,673,303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00" w:type="dxa"/>
            <w:vAlign w:val="bottom"/>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124,625,632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122,787,884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29,709,218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Interest-checking deposits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2,848,126</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48,649,114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12,841,331</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166,787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00" w:type="dxa"/>
            <w:vAlign w:val="bottom"/>
          </w:tcPr>
          <w:p>
            <w:pPr>
              <w:ind w:left="620"/>
              <w:spacing w:after="0"/>
              <w:rPr>
                <w:sz w:val="20"/>
                <w:szCs w:val="20"/>
                <w:color w:val="auto"/>
              </w:rPr>
            </w:pPr>
            <w:r>
              <w:rPr>
                <w:rFonts w:ascii="Arial" w:cs="Arial" w:eastAsia="Arial" w:hAnsi="Arial"/>
                <w:sz w:val="18"/>
                <w:szCs w:val="18"/>
                <w:color w:val="auto"/>
              </w:rPr>
              <w:t>Total deposits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94,214,576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91,957,841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206,709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Other short-term borrowings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1,560,117</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1,948,142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10,341,035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108,270,579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106,614,595</w:t>
            </w:r>
          </w:p>
        </w:tc>
        <w:tc>
          <w:tcPr>
            <w:tcW w:w="0" w:type="dxa"/>
            <w:vAlign w:val="bottom"/>
          </w:tcPr>
          <w:p>
            <w:pPr>
              <w:spacing w:after="0"/>
              <w:rPr>
                <w:sz w:val="1"/>
                <w:szCs w:val="1"/>
                <w:color w:val="auto"/>
              </w:rPr>
            </w:pPr>
          </w:p>
        </w:tc>
      </w:tr>
      <w:tr>
        <w:trPr>
          <w:trHeight w:val="209"/>
        </w:trPr>
        <w:tc>
          <w:tcPr>
            <w:tcW w:w="18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w w:val="94"/>
              </w:rPr>
              <w:t>Preferred stock, $1.00 par, 1,000,000 shares authorized; Issued and outstanding: Liquidation</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00" w:type="dxa"/>
            <w:vAlign w:val="bottom"/>
          </w:tcPr>
          <w:p>
            <w:pPr>
              <w:ind w:left="80"/>
              <w:spacing w:after="0"/>
              <w:rPr>
                <w:sz w:val="20"/>
                <w:szCs w:val="20"/>
                <w:color w:val="auto"/>
              </w:rPr>
            </w:pPr>
            <w:r>
              <w:rPr>
                <w:rFonts w:ascii="Arial" w:cs="Arial" w:eastAsia="Arial" w:hAnsi="Arial"/>
                <w:sz w:val="18"/>
                <w:szCs w:val="18"/>
                <w:color w:val="auto"/>
                <w:w w:val="92"/>
              </w:rPr>
              <w:t>preference of $1,000 per share: 731,500 shares at March 31, 2016 and December 31, 2015;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00" w:type="dxa"/>
            <w:vAlign w:val="bottom"/>
          </w:tcPr>
          <w:p>
            <w:pPr>
              <w:ind w:left="80"/>
              <w:spacing w:after="0"/>
              <w:rPr>
                <w:sz w:val="20"/>
                <w:szCs w:val="20"/>
                <w:color w:val="auto"/>
              </w:rPr>
            </w:pPr>
            <w:r>
              <w:rPr>
                <w:rFonts w:ascii="Arial" w:cs="Arial" w:eastAsia="Arial" w:hAnsi="Arial"/>
                <w:sz w:val="18"/>
                <w:szCs w:val="18"/>
                <w:color w:val="auto"/>
                <w:w w:val="91"/>
              </w:rPr>
              <w:t>Liquidation preference of $10,000 per share: 50,000 shares at March 31, 2016 and December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320" w:type="dxa"/>
            <w:vAlign w:val="bottom"/>
            <w:gridSpan w:val="2"/>
          </w:tcPr>
          <w:p>
            <w:pPr>
              <w:ind w:left="500"/>
              <w:spacing w:after="0"/>
              <w:rPr>
                <w:sz w:val="20"/>
                <w:szCs w:val="20"/>
                <w:color w:val="auto"/>
              </w:rPr>
            </w:pPr>
            <w:r>
              <w:rPr>
                <w:rFonts w:ascii="Arial" w:cs="Arial" w:eastAsia="Arial" w:hAnsi="Arial"/>
                <w:sz w:val="18"/>
                <w:szCs w:val="18"/>
                <w:color w:val="auto"/>
              </w:rPr>
              <w:t>31, 2015</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1,231,500</w:t>
            </w: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73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Common stock, $.50 par, 250,000,000 shares authorized, 159,963,737 shares issued at March</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31, 2016; 159,563,512 shares issued at December 31, 2015</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79,982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w w:val="90"/>
              </w:rPr>
              <w:t>Common stock issuable, 33,391 shares at March 31, 2016; 36,644 shares at December 31, 2015</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2,180</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6,683,499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8,596,752</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8,430,502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(150,189)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(251,627)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Treasury stock - common, at cost - 841,082 shares at March 31, 2016</w:t>
            </w:r>
          </w:p>
        </w:tc>
        <w:tc>
          <w:tcPr>
            <w:tcW w:w="10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(88,671)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16,355,053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00" w:type="dxa"/>
            <w:vAlign w:val="bottom"/>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124,625,632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122,787,884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9"/>
              </w:rPr>
              <w:t>In thousands, except per share</w:t>
            </w:r>
          </w:p>
        </w:tc>
        <w:tc>
          <w:tcPr>
            <w:tcW w:w="760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4"/>
                <w:szCs w:val="14"/>
                <w:color w:val="auto"/>
                <w:w w:val="97"/>
              </w:rPr>
              <w:t>Three months ended March 31</w:t>
            </w:r>
          </w:p>
        </w:tc>
        <w:tc>
          <w:tcPr>
            <w:tcW w:w="0" w:type="dxa"/>
            <w:vAlign w:val="bottom"/>
          </w:tcPr>
          <w:p>
            <w:pPr>
              <w:spacing w:after="0"/>
              <w:rPr>
                <w:sz w:val="1"/>
                <w:szCs w:val="1"/>
                <w:color w:val="auto"/>
              </w:rPr>
            </w:pPr>
          </w:p>
        </w:tc>
      </w:tr>
      <w:tr>
        <w:trPr>
          <w:trHeight w:val="174"/>
        </w:trPr>
        <w:tc>
          <w:tcPr>
            <w:tcW w:w="1940" w:type="dxa"/>
            <w:vAlign w:val="bottom"/>
            <w:gridSpan w:val="2"/>
            <w:vMerge w:val="continue"/>
          </w:tcPr>
          <w:p>
            <w:pPr>
              <w:spacing w:after="0"/>
              <w:rPr>
                <w:sz w:val="15"/>
                <w:szCs w:val="15"/>
                <w:color w:val="auto"/>
              </w:rPr>
            </w:pPr>
          </w:p>
        </w:tc>
        <w:tc>
          <w:tcPr>
            <w:tcW w:w="7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0"/>
              <w:spacing w:after="0" w:line="154"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5"/>
                <w:szCs w:val="15"/>
                <w:color w:val="auto"/>
              </w:rPr>
            </w:pPr>
          </w:p>
        </w:tc>
        <w:tc>
          <w:tcPr>
            <w:tcW w:w="760" w:type="dxa"/>
            <w:vAlign w:val="bottom"/>
          </w:tcPr>
          <w:p>
            <w:pPr>
              <w:jc w:val="right"/>
              <w:ind w:right="150"/>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CCEEFF"/>
            </w:tcBorders>
            <w:shd w:val="clear" w:color="auto" w:fill="CCEEFF"/>
          </w:tcPr>
          <w:p>
            <w:pPr>
              <w:spacing w:after="0"/>
              <w:rPr>
                <w:sz w:val="17"/>
                <w:szCs w:val="17"/>
                <w:color w:val="auto"/>
              </w:rPr>
            </w:pPr>
          </w:p>
        </w:tc>
        <w:tc>
          <w:tcPr>
            <w:tcW w:w="7600" w:type="dxa"/>
            <w:vAlign w:val="bottom"/>
            <w:tcBorders>
              <w:top w:val="single" w:sz="8" w:color="CCEEFF"/>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Loans and leases, including fees</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863,385</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647,179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Fully taxable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98,015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Exempt from federal taxes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at banks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interest income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972,834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738,087</w:t>
            </w: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0" w:type="dxa"/>
            <w:vAlign w:val="bottom"/>
          </w:tcPr>
          <w:p>
            <w:pPr>
              <w:ind w:left="160"/>
              <w:spacing w:after="0"/>
              <w:rPr>
                <w:sz w:val="20"/>
                <w:szCs w:val="20"/>
                <w:color w:val="auto"/>
              </w:rPr>
            </w:pPr>
            <w:r>
              <w:rPr>
                <w:rFonts w:ascii="Arial" w:cs="Arial" w:eastAsia="Arial" w:hAnsi="Arial"/>
                <w:sz w:val="18"/>
                <w:szCs w:val="18"/>
                <w:color w:val="auto"/>
              </w:rPr>
              <w:t>Interest-checking deposits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24,322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2,162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64,048</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0" w:type="dxa"/>
            <w:vAlign w:val="bottom"/>
          </w:tcPr>
          <w:p>
            <w:pPr>
              <w:ind w:left="880"/>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100,870</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Net interest income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871,964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credit losses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822,964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621,588</w:t>
            </w: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7600" w:type="dxa"/>
            <w:vAlign w:val="bottom"/>
          </w:tcPr>
          <w:p>
            <w:pPr>
              <w:ind w:left="160"/>
              <w:spacing w:after="0"/>
              <w:rPr>
                <w:sz w:val="20"/>
                <w:szCs w:val="20"/>
                <w:color w:val="auto"/>
              </w:rPr>
            </w:pPr>
            <w:r>
              <w:rPr>
                <w:rFonts w:ascii="Arial" w:cs="Arial" w:eastAsia="Arial" w:hAnsi="Arial"/>
                <w:sz w:val="18"/>
                <w:szCs w:val="18"/>
                <w:color w:val="auto"/>
              </w:rPr>
              <w:t>Mortgage banking revenues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82,063</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102,405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102,344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Trust income</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111,077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123,734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Brokerage services income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Trading account and foreign exchange gains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7,458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bank investment securities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Other revenues from operations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101,922</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income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420,933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440,203</w:t>
            </w: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760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431,785</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and net occupancy</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74,178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Printing, postage and supplies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11,986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core deposit and other intangible assets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FDIC assessments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25,225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costs of operations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220,602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202,969</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0" w:type="dxa"/>
            <w:vAlign w:val="bottom"/>
          </w:tcPr>
          <w:p>
            <w:pPr>
              <w:ind w:left="880"/>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776,095</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467,802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375,416</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169,274</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298,528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241,613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0" w:type="dxa"/>
            <w:vAlign w:val="bottom"/>
            <w:vMerge w:val="restart"/>
          </w:tcPr>
          <w:p>
            <w:pPr>
              <w:ind w:left="160"/>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275,744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8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275,748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218,837</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8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Cash dividends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common shares outstanding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ind w:left="8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158,734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132,049</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159,181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132,769</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Pr>
          <w:p>
            <w:pPr>
              <w:ind w:left="3620"/>
              <w:spacing w:after="0"/>
              <w:rPr>
                <w:sz w:val="20"/>
                <w:szCs w:val="20"/>
                <w:color w:val="auto"/>
              </w:rPr>
            </w:pPr>
            <w:r>
              <w:rPr>
                <w:rFonts w:ascii="Arial" w:cs="Arial" w:eastAsia="Arial" w:hAnsi="Arial"/>
                <w:sz w:val="18"/>
                <w:szCs w:val="18"/>
                <w:color w:val="auto"/>
              </w:rPr>
              <w:t>- 4 -</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960" w:type="dxa"/>
            <w:vAlign w:val="bottom"/>
          </w:tcPr>
          <w:p>
            <w:pPr>
              <w:spacing w:after="0"/>
              <w:rPr>
                <w:sz w:val="14"/>
                <w:szCs w:val="14"/>
                <w:color w:val="auto"/>
              </w:rPr>
            </w:pPr>
          </w:p>
        </w:tc>
        <w:tc>
          <w:tcPr>
            <w:tcW w:w="2040" w:type="dxa"/>
            <w:vAlign w:val="bottom"/>
            <w:gridSpan w:val="7"/>
          </w:tcPr>
          <w:p>
            <w:pPr>
              <w:jc w:val="right"/>
              <w:ind w:right="200"/>
              <w:spacing w:after="0"/>
              <w:rPr>
                <w:sz w:val="20"/>
                <w:szCs w:val="20"/>
                <w:color w:val="auto"/>
              </w:rPr>
            </w:pPr>
            <w:r>
              <w:rPr>
                <w:rFonts w:ascii="Arial" w:cs="Arial" w:eastAsia="Arial" w:hAnsi="Arial"/>
                <w:sz w:val="14"/>
                <w:szCs w:val="14"/>
                <w:color w:val="auto"/>
                <w:w w:val="95"/>
              </w:rPr>
              <w:t>Three months ended March 31</w:t>
            </w:r>
          </w:p>
        </w:tc>
        <w:tc>
          <w:tcPr>
            <w:tcW w:w="0" w:type="dxa"/>
            <w:vAlign w:val="bottom"/>
          </w:tcPr>
          <w:p>
            <w:pPr>
              <w:spacing w:after="0"/>
              <w:rPr>
                <w:sz w:val="1"/>
                <w:szCs w:val="1"/>
                <w:color w:val="auto"/>
              </w:rPr>
            </w:pPr>
          </w:p>
        </w:tc>
      </w:tr>
      <w:tr>
        <w:trPr>
          <w:trHeight w:val="161"/>
        </w:trPr>
        <w:tc>
          <w:tcPr>
            <w:tcW w:w="5420" w:type="dxa"/>
            <w:vAlign w:val="bottom"/>
            <w:gridSpan w:val="3"/>
            <w:vMerge w:val="continue"/>
          </w:tcPr>
          <w:p>
            <w:pPr>
              <w:spacing w:after="0"/>
              <w:rPr>
                <w:sz w:val="13"/>
                <w:szCs w:val="13"/>
                <w:color w:val="auto"/>
              </w:rPr>
            </w:pPr>
          </w:p>
        </w:tc>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52"/>
              <w:spacing w:after="0" w:line="154" w:lineRule="exact"/>
              <w:rPr>
                <w:sz w:val="20"/>
                <w:szCs w:val="20"/>
                <w:color w:val="auto"/>
              </w:rPr>
            </w:pPr>
            <w:r>
              <w:rPr>
                <w:rFonts w:ascii="Arial" w:cs="Arial" w:eastAsia="Arial" w:hAnsi="Arial"/>
                <w:sz w:val="14"/>
                <w:szCs w:val="14"/>
                <w:color w:val="auto"/>
              </w:rPr>
              <w:t>2016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298,528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 and reclassification adjustments: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gains on investment securities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Cash flow hedges adjustments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Defined benefit plans liability adjustments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Total other comprehensive income</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101,438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700"/>
              <w:spacing w:after="0"/>
              <w:rPr>
                <w:sz w:val="20"/>
                <w:szCs w:val="20"/>
                <w:color w:val="auto"/>
              </w:rPr>
            </w:pPr>
            <w:r>
              <w:rPr>
                <w:rFonts w:ascii="Arial" w:cs="Arial" w:eastAsia="Arial" w:hAnsi="Arial"/>
                <w:sz w:val="18"/>
                <w:szCs w:val="18"/>
                <w:i w:val="1"/>
                <w:iCs w:val="1"/>
                <w:color w:val="auto"/>
              </w:rPr>
              <w:t>Total comprehensive income</w:t>
            </w:r>
          </w:p>
        </w:tc>
        <w:tc>
          <w:tcPr>
            <w:tcW w:w="39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399,966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960" w:type="dxa"/>
            <w:vAlign w:val="bottom"/>
            <w:vMerge w:val="restart"/>
          </w:tcPr>
          <w:p>
            <w:pPr>
              <w:jc w:val="right"/>
              <w:ind w:right="3430"/>
              <w:spacing w:after="0"/>
              <w:rPr>
                <w:sz w:val="20"/>
                <w:szCs w:val="20"/>
                <w:color w:val="auto"/>
              </w:rPr>
            </w:pPr>
            <w:r>
              <w:rPr>
                <w:rFonts w:ascii="Arial" w:cs="Arial" w:eastAsia="Arial" w:hAnsi="Arial"/>
                <w:sz w:val="18"/>
                <w:szCs w:val="18"/>
                <w:color w:val="auto"/>
              </w:rPr>
              <w:t>- 5 -</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jc w:val="right"/>
              <w:ind w:right="120"/>
              <w:spacing w:after="0"/>
              <w:rPr>
                <w:sz w:val="20"/>
                <w:szCs w:val="20"/>
                <w:color w:val="auto"/>
              </w:rPr>
            </w:pPr>
            <w:r>
              <w:rPr>
                <w:rFonts w:ascii="Arial" w:cs="Arial" w:eastAsia="Arial" w:hAnsi="Arial"/>
                <w:sz w:val="14"/>
                <w:szCs w:val="14"/>
                <w:color w:val="auto"/>
                <w:w w:val="95"/>
              </w:rPr>
              <w:t>Three months ended March 31</w:t>
            </w:r>
          </w:p>
        </w:tc>
        <w:tc>
          <w:tcPr>
            <w:tcW w:w="0" w:type="dxa"/>
            <w:vAlign w:val="bottom"/>
          </w:tcPr>
          <w:p>
            <w:pPr>
              <w:spacing w:after="0"/>
              <w:rPr>
                <w:sz w:val="1"/>
                <w:szCs w:val="1"/>
                <w:color w:val="auto"/>
              </w:rPr>
            </w:pPr>
          </w:p>
        </w:tc>
      </w:tr>
      <w:tr>
        <w:trPr>
          <w:trHeight w:val="154"/>
        </w:trPr>
        <w:tc>
          <w:tcPr>
            <w:tcW w:w="2460" w:type="dxa"/>
            <w:vAlign w:val="bottom"/>
            <w:gridSpan w:val="3"/>
            <w:vMerge w:val="continue"/>
          </w:tcPr>
          <w:p>
            <w:pPr>
              <w:spacing w:after="0"/>
              <w:rPr>
                <w:sz w:val="13"/>
                <w:szCs w:val="13"/>
                <w:color w:val="auto"/>
              </w:rPr>
            </w:pPr>
          </w:p>
        </w:tc>
        <w:tc>
          <w:tcPr>
            <w:tcW w:w="6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3"/>
                <w:szCs w:val="13"/>
                <w:color w:val="auto"/>
              </w:rPr>
            </w:pPr>
          </w:p>
        </w:tc>
        <w:tc>
          <w:tcPr>
            <w:tcW w:w="840" w:type="dxa"/>
            <w:vAlign w:val="bottom"/>
          </w:tcPr>
          <w:p>
            <w:pPr>
              <w:jc w:val="right"/>
              <w:ind w:right="190"/>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w:t>
            </w:r>
          </w:p>
        </w:tc>
        <w:tc>
          <w:tcPr>
            <w:tcW w:w="6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298,528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Provision for credit losses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Depreciation and amortization of premises and equipment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27,141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Amortization of capitalized servicing rights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Amortization of core deposit and other intangible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12,319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Provision for deferred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50,075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Asset write-downs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8,940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gain on sales of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Net change in accrued interest receivable, payable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change in other accrued income and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Net change in loans originated for sale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change in trading account assets and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448,220</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 investing</w:t>
            </w:r>
          </w:p>
        </w:tc>
        <w:tc>
          <w:tcPr>
            <w:tcW w:w="6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investment securities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Available for sale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Proceeds from maturities of investment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Available for sale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511,549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Held to maturity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132,636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investment securities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Available for sale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(311,302)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(1,871,491)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Held to maturity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in loans and leases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(439,712)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Net (increase) decrease in interest-bearing deposits at banks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(1,950,831)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Net decrease in loan servicing advances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37,600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Net cash used by investing activities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(2,015,275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(1,802,336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 financing</w:t>
            </w:r>
          </w:p>
        </w:tc>
        <w:tc>
          <w:tcPr>
            <w:tcW w:w="6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deposits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2,264,623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Net increase (decrease) in short-term borrowings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(343,838)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long-term borrowings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Payments on long-term borrowings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(317,187)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treasury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Dividends paid - common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(112,000)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 - preferred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1,377,190</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(189,865)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1,368,040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1,178,175</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Supplemental disclosure of cash</w:t>
            </w:r>
          </w:p>
        </w:tc>
        <w:tc>
          <w:tcPr>
            <w:tcW w:w="6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flow information</w:t>
            </w: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received during the period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968,223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Interest paid during the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146,568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 (refunded) during the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(86,146)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88,578</w:t>
            </w: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Arial" w:cs="Arial" w:eastAsia="Arial" w:hAnsi="Arial"/>
                <w:sz w:val="18"/>
                <w:szCs w:val="18"/>
                <w:color w:val="auto"/>
              </w:rPr>
              <w:t>Supplemental schedule of</w:t>
            </w:r>
          </w:p>
        </w:tc>
        <w:tc>
          <w:tcPr>
            <w:tcW w:w="6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3"/>
            <w:vMerge w:val="continue"/>
          </w:tcPr>
          <w:p>
            <w:pPr>
              <w:spacing w:after="0"/>
              <w:rPr>
                <w:sz w:val="17"/>
                <w:szCs w:val="17"/>
                <w:color w:val="auto"/>
              </w:rPr>
            </w:pPr>
          </w:p>
        </w:tc>
        <w:tc>
          <w:tcPr>
            <w:tcW w:w="6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noncash investing and</w:t>
            </w:r>
          </w:p>
        </w:tc>
        <w:tc>
          <w:tcPr>
            <w:tcW w:w="6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6400" w:type="dxa"/>
            <w:vAlign w:val="bottom"/>
          </w:tcPr>
          <w:p>
            <w:pPr>
              <w:ind w:left="120"/>
              <w:spacing w:after="0"/>
              <w:rPr>
                <w:sz w:val="20"/>
                <w:szCs w:val="20"/>
                <w:color w:val="auto"/>
              </w:rPr>
            </w:pPr>
            <w:r>
              <w:rPr>
                <w:rFonts w:ascii="Arial" w:cs="Arial" w:eastAsia="Arial" w:hAnsi="Arial"/>
                <w:sz w:val="18"/>
                <w:szCs w:val="18"/>
                <w:color w:val="auto"/>
              </w:rPr>
              <w:t>Real estate acquired in settlement of loans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33,737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Securitization of residential mortgage loans allocated to</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Available-for-sale investment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8,452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Capitalized servicing rights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0" w:type="dxa"/>
            <w:vAlign w:val="bottom"/>
          </w:tcPr>
          <w:p>
            <w:pPr>
              <w:ind w:left="3100"/>
              <w:spacing w:after="0"/>
              <w:rPr>
                <w:sz w:val="20"/>
                <w:szCs w:val="20"/>
                <w:color w:val="auto"/>
              </w:rPr>
            </w:pPr>
            <w:r>
              <w:rPr>
                <w:rFonts w:ascii="Arial" w:cs="Arial" w:eastAsia="Arial" w:hAnsi="Arial"/>
                <w:sz w:val="18"/>
                <w:szCs w:val="18"/>
                <w:color w:val="auto"/>
              </w:rPr>
              <w:t>- 6 -</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Accumulated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Common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40" w:type="dxa"/>
            <w:vAlign w:val="bottom"/>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Preferred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1"/>
              </w:rPr>
              <w:t>Common</w:t>
            </w:r>
          </w:p>
        </w:tc>
        <w:tc>
          <w:tcPr>
            <w:tcW w:w="1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stock</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paid-in</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income</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Treasury</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60"/>
              <w:spacing w:after="0" w:line="154" w:lineRule="exact"/>
              <w:rPr>
                <w:sz w:val="20"/>
                <w:szCs w:val="20"/>
                <w:color w:val="auto"/>
              </w:rPr>
            </w:pPr>
            <w:r>
              <w:rPr>
                <w:rFonts w:ascii="Arial" w:cs="Arial" w:eastAsia="Arial" w:hAnsi="Arial"/>
                <w:sz w:val="14"/>
                <w:szCs w:val="14"/>
                <w:color w:val="auto"/>
              </w:rPr>
              <w:t>stock</w:t>
            </w:r>
          </w:p>
        </w:tc>
        <w:tc>
          <w:tcPr>
            <w:tcW w:w="560" w:type="dxa"/>
            <w:vAlign w:val="bottom"/>
          </w:tcPr>
          <w:p>
            <w:pPr>
              <w:jc w:val="right"/>
              <w:ind w:right="51"/>
              <w:spacing w:after="0" w:line="154" w:lineRule="exact"/>
              <w:rPr>
                <w:sz w:val="20"/>
                <w:szCs w:val="20"/>
                <w:color w:val="auto"/>
              </w:rPr>
            </w:pPr>
            <w:r>
              <w:rPr>
                <w:rFonts w:ascii="Arial" w:cs="Arial" w:eastAsia="Arial" w:hAnsi="Arial"/>
                <w:sz w:val="14"/>
                <w:szCs w:val="14"/>
                <w:color w:val="auto"/>
              </w:rPr>
              <w:t>stock</w:t>
            </w:r>
          </w:p>
        </w:tc>
        <w:tc>
          <w:tcPr>
            <w:tcW w:w="180" w:type="dxa"/>
            <w:vAlign w:val="bottom"/>
          </w:tcPr>
          <w:p>
            <w:pPr>
              <w:spacing w:after="0"/>
              <w:rPr>
                <w:sz w:val="15"/>
                <w:szCs w:val="15"/>
                <w:color w:val="auto"/>
              </w:rPr>
            </w:pPr>
          </w:p>
        </w:tc>
        <w:tc>
          <w:tcPr>
            <w:tcW w:w="74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9"/>
              </w:rPr>
              <w:t>issuable</w:t>
            </w:r>
          </w:p>
        </w:tc>
        <w:tc>
          <w:tcPr>
            <w:tcW w:w="9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capital</w:t>
            </w:r>
          </w:p>
        </w:tc>
        <w:tc>
          <w:tcPr>
            <w:tcW w:w="100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1"/>
              </w:rPr>
              <w:t>(loss), net</w:t>
            </w:r>
          </w:p>
        </w:tc>
        <w:tc>
          <w:tcPr>
            <w:tcW w:w="920" w:type="dxa"/>
            <w:vAlign w:val="bottom"/>
            <w:gridSpan w:val="2"/>
          </w:tcPr>
          <w:p>
            <w:pPr>
              <w:ind w:left="200"/>
              <w:spacing w:after="0" w:line="154" w:lineRule="exact"/>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1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2015</w:t>
            </w:r>
          </w:p>
        </w:tc>
        <w:tc>
          <w:tcPr>
            <w:tcW w:w="2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Balance - January 1, 2015</w:t>
            </w: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$1,231,500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66,157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2,608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3,409,506</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7,807,119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(180,994)</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12,335,896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241,613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28,503</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270,116</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(20,318)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Exercise of 2,315 Series A stock warrants into 904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of common stock</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expense, net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Exercises of stock options, net</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19,378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purchase plan</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Directors’ stock plan</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Deferred compensation plans, net, including</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dividend equivalents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$.70 per share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(93,569)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Balance - March 31, 2015</w:t>
            </w: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1,231,500</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66,455</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3,445,707</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7,934,820</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(152,491)</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12,528,301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Balance - January 1, 2016</w:t>
            </w: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$1,231,500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79,782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2,364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6,680,768</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8,430,502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(251,627)</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16,173,289</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298,528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101,438</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399,966</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(20,318)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expense, net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745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Exercises of stock options, net</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2,335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265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purchase plan</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Directors’ stock plan</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Deferred compensation plans, net, including</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dividend equivalents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$.70 per share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(111,937)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(111,937)</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Balance - March 31, 2016</w:t>
            </w: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1,231,500</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79,982</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6,683,499</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8,596,752</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(150,189)</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16,355,053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93"/>
              </w:rPr>
              <w:t>- 7 -</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2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2015 (“2015 Annual Report”). In the opinion of management, all adjustments necessary for a fair presentation have been made and were all of a normal recurring nature.</w:t>
      </w:r>
    </w:p>
    <w:p>
      <w:pPr>
        <w:spacing w:after="0" w:line="3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1, 2015, M&amp;T completed the acquisition of Hudson City Bancorp, Inc. (“Hudson City”), headquartered in Paramus, New Jersey. On that date, Hudson City Savings Bank, the banking subsidiary of Hudson City, was merged into M&amp;T Bank, a wholly owned banking subsidiary of M&amp;T. Hudson City Savings Bank operated 135 banking offices in New Jersey, Connecticut and New York at the date of acquisition. The results of operations acquired in the Hudson City transaction have been included in the Company’s financial results since November 1, 2015. After application of the election, allocation and proration procedures contained in the merger agreement with Hudson City, M&amp;T paid $2.1 billion in cash and issued 25,953,950 shares of M&amp;T common stock in exchange for Hudson City shares outstanding at the time of the acquisition. The purchase price was approximately $5.2 billion based on the cash paid to Hudson City shareholders, the fair value of M&amp;T stock exchanged and the estimated fair value of Hudson City stock awards converted into M&amp;T stock awards. The acquisition of Hudson City expanded the Company’s presence in New Jersey, Connecticut and New York, and management expects that the Company will benefit from greater geographic diversity and the advantages of scale associated with a larger company.</w:t>
      </w:r>
    </w:p>
    <w:p>
      <w:pPr>
        <w:spacing w:after="0" w:line="16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Hudson City transaction has been accounted for using the acquisition method of accounting and, accordingly, assets acquired, liabilities assumed and consideration exchanged were recorded at estimated fair value on the acquisition date. The consideration paid for Hudson City’s common equity and the amounts of identifiable assets acquired and liabilities assumed as of the acquisition date were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7,568,934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7,929,014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19,015,013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1,079,787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Core deposit intangible</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identifiable assets</w:t>
            </w:r>
          </w:p>
        </w:tc>
        <w:tc>
          <w:tcPr>
            <w:tcW w:w="3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36,699,320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17,879,589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13,211,598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31,496,212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5,203,108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0" w:type="dxa"/>
            <w:vAlign w:val="bottom"/>
            <w:gridSpan w:val="2"/>
          </w:tcPr>
          <w:p>
            <w:pPr>
              <w:spacing w:after="0"/>
              <w:rPr>
                <w:sz w:val="20"/>
                <w:szCs w:val="20"/>
                <w:color w:val="auto"/>
              </w:rPr>
            </w:pPr>
            <w:r>
              <w:rPr>
                <w:rFonts w:ascii="Arial" w:cs="Arial" w:eastAsia="Arial" w:hAnsi="Arial"/>
                <w:sz w:val="18"/>
                <w:szCs w:val="18"/>
                <w:color w:val="auto"/>
              </w:rPr>
              <w:t>Cash paid</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2,064,284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issued (25,953,950 shares)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3,110,581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Common stock awards converted</w:t>
            </w:r>
          </w:p>
        </w:tc>
        <w:tc>
          <w:tcPr>
            <w:tcW w:w="3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consideration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5,203,108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60" w:type="dxa"/>
            <w:vAlign w:val="bottom"/>
            <w:vMerge w:val="restart"/>
          </w:tcPr>
          <w:p>
            <w:pPr>
              <w:jc w:val="right"/>
              <w:ind w:right="2650"/>
              <w:spacing w:after="0"/>
              <w:rPr>
                <w:sz w:val="20"/>
                <w:szCs w:val="20"/>
                <w:color w:val="auto"/>
              </w:rPr>
            </w:pPr>
            <w:r>
              <w:rPr>
                <w:rFonts w:ascii="Arial" w:cs="Arial" w:eastAsia="Arial" w:hAnsi="Arial"/>
                <w:sz w:val="18"/>
                <w:szCs w:val="18"/>
                <w:color w:val="auto"/>
              </w:rPr>
              <w:t>- 8 -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early November 2015, the Company sold $5.8 billion of investment securities obtained in the acquisition and repaid $10.6 billion of borrowings assumed in the transaction. In connection with the acquisition, the Company recorded approximately $1.1 billion of goodwill and $132 million of core deposit intangible. The core deposit intangible asset is being amortized over a period of 7 years using an accelerated method.</w:t>
      </w:r>
    </w:p>
    <w:p>
      <w:pPr>
        <w:spacing w:after="0" w:line="16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presents certain pro forma information as if Hudson City had been included in the Company’s results of operations in the first quarter of 2015. These results combine the historical results of Hudson City into the Company’s consolidated statement of income and, while certain adjustments were made for the estimated impact of certain fair valuation adjustments and other acquisition-related activity, they are not indicative of what would have occurred had the acquisition taken place as indicated. In particular, no adjustments have been made to eliminate the impact of gains on securities transactions of $7 million during the three months ended March 31, 2015 that may not have been recognized had the investment securities been recorded at fair value. Additionally, the Company expects to achieve operating cost savings and other business synergies as a result of the acquisition which are not reflected in the pro forma amounts that follow.</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20" w:type="dxa"/>
            <w:vAlign w:val="bottom"/>
            <w:gridSpan w:val="2"/>
          </w:tcPr>
          <w:p>
            <w:pPr>
              <w:jc w:val="center"/>
              <w:ind w:left="2696"/>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revenues(a)</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285,237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the Hudson City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Hudson City employees); travel costs; and other costs of completing the transaction and commencing operations in new markets and offices. The Company expects that there will be additional merger-related expenses in 2016.</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summary of merger-related expenses included in the consolidated statement of income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92"/>
              </w:rPr>
              <w:t>Three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76"/>
              <w:spacing w:after="0" w:line="149" w:lineRule="exact"/>
              <w:rPr>
                <w:sz w:val="20"/>
                <w:szCs w:val="20"/>
                <w:color w:val="auto"/>
              </w:rPr>
            </w:pPr>
            <w:r>
              <w:rPr>
                <w:rFonts w:ascii="Arial" w:cs="Arial" w:eastAsia="Arial" w:hAnsi="Arial"/>
                <w:sz w:val="14"/>
                <w:szCs w:val="14"/>
                <w:color w:val="auto"/>
                <w:w w:val="87"/>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96"/>
              <w:spacing w:after="0" w:line="149" w:lineRule="exact"/>
              <w:rPr>
                <w:sz w:val="20"/>
                <w:szCs w:val="20"/>
                <w:color w:val="auto"/>
              </w:rPr>
            </w:pPr>
            <w:r>
              <w:rPr>
                <w:rFonts w:ascii="Arial" w:cs="Arial" w:eastAsia="Arial" w:hAnsi="Arial"/>
                <w:sz w:val="14"/>
                <w:szCs w:val="14"/>
                <w:color w:val="auto"/>
                <w:w w:val="96"/>
              </w:rPr>
              <w:t>March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4"/>
                <w:szCs w:val="14"/>
                <w:color w:val="auto"/>
                <w:w w:val="89"/>
              </w:rPr>
              <w:t>2016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92"/>
              </w:rPr>
              <w:t>(in thousands)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1380" w:type="dxa"/>
            <w:vAlign w:val="bottom"/>
            <w:vMerge w:val="restart"/>
          </w:tcPr>
          <w:p>
            <w:pPr>
              <w:spacing w:after="0"/>
              <w:rPr>
                <w:sz w:val="6"/>
                <w:szCs w:val="6"/>
                <w:color w:val="auto"/>
              </w:rPr>
            </w:pPr>
          </w:p>
        </w:tc>
        <w:tc>
          <w:tcPr>
            <w:tcW w:w="4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cost of operations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16,012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23,162</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spacing w:after="0"/>
              <w:rPr>
                <w:sz w:val="20"/>
                <w:szCs w:val="20"/>
                <w:color w:val="auto"/>
              </w:rPr>
            </w:pPr>
            <w:r>
              <w:rPr>
                <w:rFonts w:ascii="Arial" w:cs="Arial" w:eastAsia="Arial" w:hAnsi="Arial"/>
                <w:sz w:val="18"/>
                <w:szCs w:val="18"/>
                <w:color w:val="auto"/>
              </w:rPr>
              <w:t>There were no merger-related expenses during the first quarter of 2015.</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08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 securities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gridSpan w:val="4"/>
          </w:tcPr>
          <w:p>
            <w:pPr>
              <w:spacing w:after="0"/>
              <w:rPr>
                <w:sz w:val="20"/>
                <w:szCs w:val="20"/>
                <w:color w:val="auto"/>
              </w:rPr>
            </w:pPr>
            <w:r>
              <w:rPr>
                <w:rFonts w:ascii="Arial" w:cs="Arial" w:eastAsia="Arial" w:hAnsi="Arial"/>
                <w:sz w:val="18"/>
                <w:szCs w:val="18"/>
                <w:color w:val="auto"/>
                <w:w w:val="94"/>
              </w:rPr>
              <w:t>The amortized cost and estimated fair value of investment securities were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Gross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Amortized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cost</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gains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color w:val="auto"/>
              </w:rPr>
              <w:t>losses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6"/>
          </w:tcPr>
          <w:p>
            <w:pPr>
              <w:jc w:val="right"/>
              <w:ind w:right="316"/>
              <w:spacing w:after="0" w:line="142" w:lineRule="exact"/>
              <w:rPr>
                <w:sz w:val="20"/>
                <w:szCs w:val="20"/>
                <w:color w:val="auto"/>
              </w:rPr>
            </w:pPr>
            <w:r>
              <w:rPr>
                <w:rFonts w:ascii="Arial" w:cs="Arial" w:eastAsia="Arial" w:hAnsi="Arial"/>
                <w:sz w:val="14"/>
                <w:szCs w:val="14"/>
                <w:color w:val="auto"/>
              </w:rPr>
              <w:t>(in thousands)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201,002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202,192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5,356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tcPr>
          <w:p>
            <w:pPr>
              <w:ind w:left="360"/>
              <w:spacing w:after="0"/>
              <w:rPr>
                <w:sz w:val="20"/>
                <w:szCs w:val="20"/>
                <w:color w:val="auto"/>
              </w:rPr>
            </w:pPr>
            <w:r>
              <w:rPr>
                <w:rFonts w:ascii="Arial" w:cs="Arial" w:eastAsia="Arial" w:hAnsi="Arial"/>
                <w:sz w:val="18"/>
                <w:szCs w:val="18"/>
                <w:color w:val="auto"/>
              </w:rPr>
              <w:t>Government issued or guaranteed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11,490,181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265,879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11,750,062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Privately issued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Collateralized debt obligations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28,483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18,170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45,040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136,968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25,667</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75,271</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85,132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11,937,326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297,018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12,200,647</w:t>
            </w: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103,408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103,962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Government issued or guaranteed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2,445,563</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2,521,941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tcPr>
          <w:p>
            <w:pPr>
              <w:ind w:left="360"/>
              <w:spacing w:after="0"/>
              <w:rPr>
                <w:sz w:val="20"/>
                <w:szCs w:val="20"/>
                <w:color w:val="auto"/>
              </w:rPr>
            </w:pPr>
            <w:r>
              <w:rPr>
                <w:rFonts w:ascii="Arial" w:cs="Arial" w:eastAsia="Arial" w:hAnsi="Arial"/>
                <w:sz w:val="18"/>
                <w:szCs w:val="18"/>
                <w:color w:val="auto"/>
              </w:rPr>
              <w:t>Privately issued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175,467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137,267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6,173</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2,730,611</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81,182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2,769,343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536,062</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536,062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15,203,999</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378,200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76,147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15,506,052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80" w:type="dxa"/>
            <w:vAlign w:val="bottom"/>
            <w:gridSpan w:val="3"/>
            <w:vMerge w:val="restart"/>
          </w:tcPr>
          <w:p>
            <w:pPr>
              <w:jc w:val="right"/>
              <w:ind w:right="390"/>
              <w:spacing w:after="0"/>
              <w:rPr>
                <w:sz w:val="20"/>
                <w:szCs w:val="20"/>
                <w:color w:val="auto"/>
              </w:rPr>
            </w:pPr>
            <w:r>
              <w:rPr>
                <w:rFonts w:ascii="Arial" w:cs="Arial" w:eastAsia="Arial" w:hAnsi="Arial"/>
                <w:sz w:val="18"/>
                <w:szCs w:val="18"/>
                <w:color w:val="auto"/>
              </w:rPr>
              <w:t>- 10 -</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0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62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securities, continued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Gross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8"/>
              </w:rPr>
              <w:t>Amortized</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unrealized</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cost</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gains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299,997</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146</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72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11,592,959</w:t>
            </w: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142,370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48,701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11,686,628</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Privately issued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28,438</w:t>
            </w: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20,143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47,393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118,880</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73,795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10,230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83,671</w:t>
            </w: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12,138,636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174,699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12,242,671</w:t>
            </w:r>
          </w:p>
        </w:tc>
      </w:tr>
      <w:tr>
        <w:trPr>
          <w:trHeight w:val="223"/>
        </w:trPr>
        <w:tc>
          <w:tcPr>
            <w:tcW w:w="300" w:type="dxa"/>
            <w:vAlign w:val="bottom"/>
          </w:tcPr>
          <w:p>
            <w:pPr>
              <w:spacing w:after="0"/>
              <w:rPr>
                <w:sz w:val="19"/>
                <w:szCs w:val="19"/>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118,431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119,013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2,553,612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50,936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2,596,731</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Privately issued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181,091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2,104</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41,367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141,828</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w:t>
            </w: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2,859,709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54,043</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2,864,147</w:t>
            </w:r>
          </w:p>
        </w:tc>
        <w:tc>
          <w:tcPr>
            <w:tcW w:w="10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554,059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554,059</w:t>
            </w:r>
          </w:p>
        </w:tc>
      </w:tr>
      <w:tr>
        <w:trPr>
          <w:trHeight w:val="223"/>
        </w:trPr>
        <w:tc>
          <w:tcPr>
            <w:tcW w:w="300" w:type="dxa"/>
            <w:vAlign w:val="bottom"/>
          </w:tcPr>
          <w:p>
            <w:pPr>
              <w:spacing w:after="0"/>
              <w:rPr>
                <w:sz w:val="19"/>
                <w:szCs w:val="19"/>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15,552,404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228,742</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120,269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15,660,877</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significant gross realized gains or losses from sales of investment securities for the quarters ended March 31, 2016 and 2015.</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2016, the amortized cost and estimated fair value of debt securities by contractual maturity were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w w:val="94"/>
              </w:rPr>
              <w:t>Amortized cost</w:t>
            </w:r>
          </w:p>
        </w:tc>
        <w:tc>
          <w:tcPr>
            <w:tcW w:w="4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3"/>
          </w:tcPr>
          <w:p>
            <w:pPr>
              <w:jc w:val="right"/>
              <w:ind w:right="6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760" w:type="dxa"/>
            <w:vAlign w:val="bottom"/>
            <w:gridSpan w:val="2"/>
          </w:tcPr>
          <w:p>
            <w:pPr>
              <w:ind w:left="2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371,809</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11,490,246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11,750,127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11,862,055</w:t>
            </w: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12,115,515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760" w:type="dxa"/>
            <w:vAlign w:val="bottom"/>
            <w:gridSpan w:val="2"/>
          </w:tcPr>
          <w:p>
            <w:pPr>
              <w:ind w:left="2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32,387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109,581</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2,621,030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2,730,611</w:t>
            </w: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vMerge w:val="restart"/>
          </w:tcPr>
          <w:p>
            <w:pPr>
              <w:jc w:val="right"/>
              <w:ind w:right="1780"/>
              <w:spacing w:after="0"/>
              <w:rPr>
                <w:sz w:val="20"/>
                <w:szCs w:val="20"/>
                <w:color w:val="auto"/>
              </w:rPr>
            </w:pPr>
            <w:r>
              <w:rPr>
                <w:rFonts w:ascii="Arial" w:cs="Arial" w:eastAsia="Arial" w:hAnsi="Arial"/>
                <w:sz w:val="18"/>
                <w:szCs w:val="18"/>
                <w:color w:val="auto"/>
              </w:rPr>
              <w:t>- 11 -</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investment securities that as of March 31, 2016 and December 31, 2015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4"/>
                <w:szCs w:val="14"/>
                <w:color w:val="auto"/>
              </w:rPr>
              <w:t>Less than 12 months</w:t>
            </w:r>
          </w:p>
        </w:tc>
        <w:tc>
          <w:tcPr>
            <w:tcW w:w="1940" w:type="dxa"/>
            <w:vAlign w:val="bottom"/>
            <w:gridSpan w:val="4"/>
          </w:tcPr>
          <w:p>
            <w:pPr>
              <w:jc w:val="right"/>
              <w:ind w:right="4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200"/>
              <w:spacing w:after="0" w:line="123" w:lineRule="exact"/>
              <w:rPr>
                <w:sz w:val="20"/>
                <w:szCs w:val="20"/>
                <w:color w:val="auto"/>
              </w:rPr>
            </w:pPr>
            <w:r>
              <w:rPr>
                <w:rFonts w:ascii="Arial" w:cs="Arial" w:eastAsia="Arial" w:hAnsi="Arial"/>
                <w:sz w:val="14"/>
                <w:szCs w:val="14"/>
                <w:color w:val="auto"/>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9"/>
              </w:rPr>
              <w:t>Unrealized</w:t>
            </w:r>
          </w:p>
        </w:tc>
        <w:tc>
          <w:tcPr>
            <w:tcW w:w="40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400"/>
              <w:spacing w:after="0" w:line="123" w:lineRule="exact"/>
              <w:rPr>
                <w:sz w:val="20"/>
                <w:szCs w:val="20"/>
                <w:color w:val="auto"/>
              </w:rPr>
            </w:pPr>
            <w:r>
              <w:rPr>
                <w:rFonts w:ascii="Arial" w:cs="Arial" w:eastAsia="Arial" w:hAnsi="Arial"/>
                <w:sz w:val="14"/>
                <w:szCs w:val="14"/>
                <w:color w:val="auto"/>
                <w:w w:val="99"/>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value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losses</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value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tcBorders>
              <w:top w:val="single" w:sz="8" w:color="auto"/>
            </w:tcBorders>
            <w:gridSpan w:val="3"/>
          </w:tcPr>
          <w:p>
            <w:pPr>
              <w:jc w:val="right"/>
              <w:ind w:right="432"/>
              <w:spacing w:after="0" w:line="142" w:lineRule="exact"/>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1,706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337,672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(1,959)</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1,233,329</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10,326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1,858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9,825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2,115</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363,989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1,325,788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(29,791)</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28,707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232,432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105,355</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346,600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(42,223)</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393,508</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1,672,388</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147,508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865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4,061,899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(48,534)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7,216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5,711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12,935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93,344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18,073</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4,246,991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(49,727)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104,154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42,913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459,983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228,867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112,155</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502,896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346,875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(47,469)</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4,749,887</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(51,863</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451,029</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60" w:type="dxa"/>
            <w:vAlign w:val="bottom"/>
            <w:vMerge w:val="restart"/>
          </w:tcPr>
          <w:p>
            <w:pPr>
              <w:jc w:val="right"/>
              <w:ind w:right="750"/>
              <w:spacing w:after="0"/>
              <w:rPr>
                <w:sz w:val="20"/>
                <w:szCs w:val="20"/>
                <w:color w:val="auto"/>
              </w:rPr>
            </w:pPr>
            <w:r>
              <w:rPr>
                <w:rFonts w:ascii="Arial" w:cs="Arial" w:eastAsia="Arial" w:hAnsi="Arial"/>
                <w:sz w:val="18"/>
                <w:szCs w:val="18"/>
                <w:color w:val="auto"/>
              </w:rPr>
              <w:t>- 12 -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 owned 538 individual investment securities with aggregate gross unrealized losses of $76 million at March 31, 2016. Based on a review of each of the securities in the investment securities portfolio at March 31, 2016, the Company concluded that it expected to recover the amortized cost basis of its investment. As of March 31, 2016, the Company does not intend to sell nor is it anticipated that it would be required to sell any of its impaired investment securities at a loss. At March 31, 2016, the Company has not identified events or changes in circumstances which may have a significant adverse effect on the fair value of the $536 million of cost method investment securities.</w:t>
      </w:r>
    </w:p>
    <w:p>
      <w:pPr>
        <w:spacing w:after="0" w:line="31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outstanding principal balance and the carrying amount of loans acquired at a discount that were recorded at fair value at the acquisition date that is included in the consolidated balance sheet were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jc w:val="right"/>
              <w:ind w:right="42"/>
              <w:spacing w:after="0"/>
              <w:rPr>
                <w:sz w:val="20"/>
                <w:szCs w:val="20"/>
                <w:color w:val="auto"/>
              </w:rPr>
            </w:pPr>
            <w:r>
              <w:rPr>
                <w:rFonts w:ascii="Arial" w:cs="Arial" w:eastAsia="Arial" w:hAnsi="Arial"/>
                <w:sz w:val="14"/>
                <w:szCs w:val="14"/>
                <w:color w:val="auto"/>
              </w:rPr>
              <w:t>March 31,</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20" w:type="dxa"/>
            <w:vAlign w:val="bottom"/>
            <w:gridSpan w:val="2"/>
          </w:tcPr>
          <w:p>
            <w:pPr>
              <w:jc w:val="right"/>
              <w:ind w:right="202"/>
              <w:spacing w:after="0"/>
              <w:rPr>
                <w:sz w:val="20"/>
                <w:szCs w:val="20"/>
                <w:color w:val="auto"/>
              </w:rPr>
            </w:pPr>
            <w:r>
              <w:rPr>
                <w:rFonts w:ascii="Arial" w:cs="Arial" w:eastAsia="Arial" w:hAnsi="Arial"/>
                <w:sz w:val="14"/>
                <w:szCs w:val="14"/>
                <w:color w:val="auto"/>
              </w:rPr>
              <w:t>2016</w:t>
            </w:r>
          </w:p>
        </w:tc>
        <w:tc>
          <w:tcPr>
            <w:tcW w:w="1240" w:type="dxa"/>
            <w:vAlign w:val="bottom"/>
            <w:gridSpan w:val="2"/>
          </w:tcPr>
          <w:p>
            <w:pPr>
              <w:jc w:val="right"/>
              <w:ind w:right="17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6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$2,918,333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Carrying amount:</w:t>
            </w:r>
          </w:p>
        </w:tc>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71,577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588,983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644,284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964,893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681,535</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2,306,988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Purchased impaired loans included in the table above totaled $716 million at March 31, 2016 and $768 million at December 31, 2015, representing less than 1% of the Company’s assets as of each date. A summary of changes in the accretable yield for loans acquired at a discount for the three-month periods ended March 31, 2016 and 2015 follows: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color w:val="auto"/>
                <w:w w:val="92"/>
              </w:rPr>
              <w:t>Three months ended March 31, 2016</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4"/>
                <w:szCs w:val="14"/>
                <w:color w:val="auto"/>
                <w:w w:val="92"/>
              </w:rPr>
              <w:t>Purchased</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380"/>
              <w:spacing w:after="0" w:line="123" w:lineRule="exact"/>
              <w:rPr>
                <w:sz w:val="20"/>
                <w:szCs w:val="20"/>
                <w:color w:val="auto"/>
              </w:rPr>
            </w:pPr>
            <w:r>
              <w:rPr>
                <w:rFonts w:ascii="Arial" w:cs="Arial" w:eastAsia="Arial" w:hAnsi="Arial"/>
                <w:sz w:val="14"/>
                <w:szCs w:val="14"/>
                <w:color w:val="auto"/>
                <w:w w:val="96"/>
              </w:rPr>
              <w:t>Other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impaired</w:t>
            </w:r>
          </w:p>
        </w:tc>
        <w:tc>
          <w:tcPr>
            <w:tcW w:w="2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acquired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2"/>
              </w:rPr>
              <w:t>(in thousands)</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$184,618</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296,434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481,052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3480" w:type="dxa"/>
            <w:vAlign w:val="bottom"/>
            <w:gridSpan w:val="3"/>
          </w:tcPr>
          <w:p>
            <w:pPr>
              <w:jc w:val="right"/>
              <w:ind w:right="100"/>
              <w:spacing w:after="0"/>
              <w:rPr>
                <w:sz w:val="20"/>
                <w:szCs w:val="20"/>
                <w:color w:val="auto"/>
              </w:rPr>
            </w:pPr>
            <w:r>
              <w:rPr>
                <w:rFonts w:ascii="Arial" w:cs="Arial" w:eastAsia="Arial" w:hAnsi="Arial"/>
                <w:sz w:val="18"/>
                <w:szCs w:val="18"/>
                <w:color w:val="auto"/>
              </w:rPr>
              <w:t>(14,062)</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(37,862)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(51,924)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3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5,664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Other (a)</w:t>
            </w:r>
          </w:p>
        </w:tc>
        <w:tc>
          <w:tcPr>
            <w:tcW w:w="2620" w:type="dxa"/>
            <w:vAlign w:val="bottom"/>
          </w:tcPr>
          <w:p>
            <w:pPr>
              <w:spacing w:after="0"/>
              <w:rPr>
                <w:sz w:val="19"/>
                <w:szCs w:val="19"/>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171,185</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269,017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440,202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20" w:type="dxa"/>
            <w:vAlign w:val="bottom"/>
            <w:vMerge w:val="restart"/>
          </w:tcPr>
          <w:p>
            <w:pPr>
              <w:jc w:val="right"/>
              <w:ind w:right="1630"/>
              <w:spacing w:after="0"/>
              <w:rPr>
                <w:sz w:val="20"/>
                <w:szCs w:val="20"/>
                <w:color w:val="auto"/>
              </w:rPr>
            </w:pPr>
            <w:r>
              <w:rPr>
                <w:rFonts w:ascii="Arial" w:cs="Arial" w:eastAsia="Arial" w:hAnsi="Arial"/>
                <w:sz w:val="18"/>
                <w:szCs w:val="18"/>
                <w:color w:val="auto"/>
              </w:rPr>
              <w:t>- 13 -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00" w:type="dxa"/>
            <w:vAlign w:val="bottom"/>
          </w:tcPr>
          <w:p>
            <w:pPr>
              <w:spacing w:after="0"/>
              <w:rPr>
                <w:sz w:val="14"/>
                <w:szCs w:val="14"/>
                <w:color w:val="auto"/>
              </w:rPr>
            </w:pPr>
          </w:p>
        </w:tc>
        <w:tc>
          <w:tcPr>
            <w:tcW w:w="2780" w:type="dxa"/>
            <w:vAlign w:val="bottom"/>
            <w:gridSpan w:val="7"/>
          </w:tcPr>
          <w:p>
            <w:pPr>
              <w:jc w:val="right"/>
              <w:ind w:right="380"/>
              <w:spacing w:after="0"/>
              <w:rPr>
                <w:sz w:val="20"/>
                <w:szCs w:val="20"/>
                <w:color w:val="auto"/>
              </w:rPr>
            </w:pPr>
            <w:r>
              <w:rPr>
                <w:rFonts w:ascii="Arial" w:cs="Arial" w:eastAsia="Arial" w:hAnsi="Arial"/>
                <w:sz w:val="14"/>
                <w:szCs w:val="14"/>
                <w:color w:val="auto"/>
              </w:rPr>
              <w:t>Three months ended March 31, 2015</w:t>
            </w:r>
          </w:p>
        </w:tc>
      </w:tr>
      <w:tr>
        <w:trPr>
          <w:trHeight w:val="123"/>
        </w:trPr>
        <w:tc>
          <w:tcPr>
            <w:tcW w:w="680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200"/>
              <w:spacing w:after="0" w:line="123" w:lineRule="exact"/>
              <w:rPr>
                <w:sz w:val="20"/>
                <w:szCs w:val="20"/>
                <w:color w:val="auto"/>
              </w:rPr>
            </w:pPr>
            <w:r>
              <w:rPr>
                <w:rFonts w:ascii="Arial" w:cs="Arial" w:eastAsia="Arial" w:hAnsi="Arial"/>
                <w:sz w:val="14"/>
                <w:szCs w:val="14"/>
                <w:color w:val="auto"/>
                <w:w w:val="86"/>
              </w:rPr>
              <w:t>Purchased</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40"/>
              <w:spacing w:after="0" w:line="123" w:lineRule="exact"/>
              <w:rPr>
                <w:sz w:val="20"/>
                <w:szCs w:val="20"/>
                <w:color w:val="auto"/>
              </w:rPr>
            </w:pPr>
            <w:r>
              <w:rPr>
                <w:rFonts w:ascii="Arial" w:cs="Arial" w:eastAsia="Arial" w:hAnsi="Arial"/>
                <w:sz w:val="14"/>
                <w:szCs w:val="14"/>
                <w:color w:val="auto"/>
              </w:rPr>
              <w:t>Other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8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impaired</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76"/>
        </w:trPr>
        <w:tc>
          <w:tcPr>
            <w:tcW w:w="68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74"/>
        </w:trPr>
        <w:tc>
          <w:tcPr>
            <w:tcW w:w="6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$76,518</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397,379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473,897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(5,206)</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(41,277)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(46,483)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Other (a)</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71,422</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357,895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429,317</w:t>
            </w:r>
          </w:p>
        </w:tc>
      </w:tr>
      <w:tr>
        <w:trPr>
          <w:trHeight w:val="20"/>
        </w:trPr>
        <w:tc>
          <w:tcPr>
            <w:tcW w:w="6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25"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March 31, 2016 and December 31,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Accruing</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loans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Accruing</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acquired at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loans past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 discount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4"/>
              </w:rPr>
              <w:t>30-89</w:t>
            </w: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due 90</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past due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Days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days or</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90 days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Purchased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60" w:type="dxa"/>
            <w:vAlign w:val="bottom"/>
            <w:vMerge w:val="restart"/>
          </w:tcPr>
          <w:p>
            <w:pPr>
              <w:spacing w:after="0"/>
              <w:rPr>
                <w:sz w:val="20"/>
                <w:szCs w:val="20"/>
                <w:color w:val="auto"/>
              </w:rPr>
            </w:pPr>
            <w:r>
              <w:rPr>
                <w:rFonts w:ascii="Arial" w:cs="Arial" w:eastAsia="Arial" w:hAnsi="Arial"/>
                <w:sz w:val="14"/>
                <w:szCs w:val="14"/>
                <w:color w:val="auto"/>
              </w:rPr>
              <w:t>March 31, 2016</w:t>
            </w:r>
          </w:p>
        </w:tc>
        <w:tc>
          <w:tcPr>
            <w:tcW w:w="108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past due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more(a)</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or more(b)</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impaired(c)</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top w:val="single" w:sz="8" w:color="auto"/>
            </w:tcBorders>
            <w:gridSpan w:val="3"/>
          </w:tcPr>
          <w:p>
            <w:pPr>
              <w:jc w:val="right"/>
              <w:ind w:right="257"/>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$20,911,645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30,495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279,790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21,226,577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Real estate:</w:t>
            </w: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23,740,729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149,108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171,256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24,149,527</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2200" w:type="dxa"/>
            <w:vAlign w:val="bottom"/>
            <w:gridSpan w:val="3"/>
          </w:tcPr>
          <w:p>
            <w:pPr>
              <w:jc w:val="right"/>
              <w:ind w:right="200"/>
              <w:spacing w:after="0"/>
              <w:rPr>
                <w:sz w:val="20"/>
                <w:szCs w:val="20"/>
                <w:color w:val="auto"/>
              </w:rPr>
            </w:pPr>
            <w:r>
              <w:rPr>
                <w:rFonts w:ascii="Arial" w:cs="Arial" w:eastAsia="Arial" w:hAnsi="Arial"/>
                <w:sz w:val="18"/>
                <w:szCs w:val="18"/>
                <w:color w:val="auto"/>
              </w:rPr>
              <w:t>1,747,261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15,304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640" w:type="dxa"/>
            <w:vAlign w:val="bottom"/>
          </w:tcPr>
          <w:p>
            <w:pPr>
              <w:jc w:val="right"/>
              <w:spacing w:after="0"/>
              <w:rPr>
                <w:sz w:val="20"/>
                <w:szCs w:val="20"/>
                <w:color w:val="auto"/>
              </w:rPr>
            </w:pPr>
            <w:r>
              <w:rPr>
                <w:rFonts w:ascii="Arial" w:cs="Arial" w:eastAsia="Arial" w:hAnsi="Arial"/>
                <w:sz w:val="18"/>
                <w:szCs w:val="18"/>
                <w:color w:val="auto"/>
              </w:rPr>
              <w:t>3,493</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23,516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32,458</w:t>
            </w:r>
          </w:p>
        </w:tc>
        <w:tc>
          <w:tcPr>
            <w:tcW w:w="860" w:type="dxa"/>
            <w:vAlign w:val="bottom"/>
          </w:tcPr>
          <w:p>
            <w:pPr>
              <w:jc w:val="right"/>
              <w:spacing w:after="0"/>
              <w:rPr>
                <w:sz w:val="20"/>
                <w:szCs w:val="20"/>
                <w:color w:val="auto"/>
              </w:rPr>
            </w:pPr>
            <w:r>
              <w:rPr>
                <w:rFonts w:ascii="Arial" w:cs="Arial" w:eastAsia="Arial" w:hAnsi="Arial"/>
                <w:sz w:val="18"/>
                <w:szCs w:val="18"/>
                <w:color w:val="auto"/>
              </w:rPr>
              <w:t>1,822,227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2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3,663,835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28,336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200" w:type="dxa"/>
            <w:vAlign w:val="bottom"/>
            <w:gridSpan w:val="3"/>
          </w:tcPr>
          <w:p>
            <w:pPr>
              <w:jc w:val="right"/>
              <w:ind w:right="200"/>
              <w:spacing w:after="0"/>
              <w:rPr>
                <w:sz w:val="20"/>
                <w:szCs w:val="20"/>
                <w:color w:val="auto"/>
              </w:rPr>
            </w:pPr>
            <w:r>
              <w:rPr>
                <w:rFonts w:ascii="Arial" w:cs="Arial" w:eastAsia="Arial" w:hAnsi="Arial"/>
                <w:sz w:val="18"/>
                <w:szCs w:val="18"/>
                <w:color w:val="auto"/>
              </w:rPr>
              <w:t>19,747,097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500,241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278,640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15,790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463,871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186,452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21,192,091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Residential-limited documentation</w:t>
            </w:r>
          </w:p>
        </w:tc>
        <w:tc>
          <w:tcPr>
            <w:tcW w:w="2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3,757,924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107,679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165,404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76,265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Consumer:</w:t>
            </w: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2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5,720,342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40,054</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15,898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2200" w:type="dxa"/>
            <w:vAlign w:val="bottom"/>
            <w:gridSpan w:val="3"/>
          </w:tcPr>
          <w:p>
            <w:pPr>
              <w:jc w:val="right"/>
              <w:ind w:right="200"/>
              <w:spacing w:after="0"/>
              <w:rPr>
                <w:sz w:val="20"/>
                <w:szCs w:val="20"/>
                <w:color w:val="auto"/>
              </w:rPr>
            </w:pPr>
            <w:r>
              <w:rPr>
                <w:rFonts w:ascii="Arial" w:cs="Arial" w:eastAsia="Arial" w:hAnsi="Arial"/>
                <w:sz w:val="18"/>
                <w:szCs w:val="18"/>
                <w:color w:val="auto"/>
              </w:rPr>
              <w:t>2,580,241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33,439</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14,817</w:t>
            </w:r>
          </w:p>
        </w:tc>
        <w:tc>
          <w:tcPr>
            <w:tcW w:w="860" w:type="dxa"/>
            <w:vAlign w:val="bottom"/>
          </w:tcPr>
          <w:p>
            <w:pPr>
              <w:jc w:val="right"/>
              <w:spacing w:after="0"/>
              <w:rPr>
                <w:sz w:val="20"/>
                <w:szCs w:val="20"/>
                <w:color w:val="auto"/>
              </w:rPr>
            </w:pPr>
            <w:r>
              <w:rPr>
                <w:rFonts w:ascii="Arial" w:cs="Arial" w:eastAsia="Arial" w:hAnsi="Arial"/>
                <w:sz w:val="18"/>
                <w:szCs w:val="18"/>
                <w:color w:val="auto"/>
              </w:rPr>
              <w:t>2,628,499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3,083,495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84,952,569</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929,395</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336,170</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61,767</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715,874</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876,691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87,872,466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- 14 -</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Accruing</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loans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Accruing</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acquired at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loans past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 discount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due 90</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past due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30-89 Days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days or</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90 days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Purchased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20" w:type="dxa"/>
            <w:vAlign w:val="bottom"/>
            <w:vMerge w:val="restart"/>
          </w:tcPr>
          <w:p>
            <w:pPr>
              <w:spacing w:after="0"/>
              <w:rPr>
                <w:sz w:val="20"/>
                <w:szCs w:val="20"/>
                <w:color w:val="auto"/>
              </w:rPr>
            </w:pPr>
            <w:r>
              <w:rPr>
                <w:rFonts w:ascii="Arial" w:cs="Arial" w:eastAsia="Arial" w:hAnsi="Arial"/>
                <w:sz w:val="14"/>
                <w:szCs w:val="14"/>
                <w:color w:val="auto"/>
              </w:rPr>
              <w:t>December 31, 2015</w:t>
            </w:r>
          </w:p>
        </w:tc>
        <w:tc>
          <w:tcPr>
            <w:tcW w:w="20" w:type="dxa"/>
            <w:vAlign w:val="bottom"/>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color w:val="auto"/>
              </w:rPr>
              <w:t>Current</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past due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more(a)</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or more(b)</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impaired(c)</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top w:val="single" w:sz="8" w:color="auto"/>
            </w:tcBorders>
            <w:gridSpan w:val="3"/>
          </w:tcPr>
          <w:p>
            <w:pPr>
              <w:jc w:val="right"/>
              <w:ind w:right="257"/>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$20,122,648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52,868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241,917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20,422,338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23,645,354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172,439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46,790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179,606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24,065,942</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1,507,856</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7,969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5,760</w:t>
            </w:r>
          </w:p>
        </w:tc>
        <w:tc>
          <w:tcPr>
            <w:tcW w:w="640" w:type="dxa"/>
            <w:vAlign w:val="bottom"/>
          </w:tcPr>
          <w:p>
            <w:pPr>
              <w:jc w:val="right"/>
              <w:spacing w:after="0"/>
              <w:rPr>
                <w:sz w:val="20"/>
                <w:szCs w:val="20"/>
                <w:color w:val="auto"/>
              </w:rPr>
            </w:pPr>
            <w:r>
              <w:rPr>
                <w:rFonts w:ascii="Arial" w:cs="Arial" w:eastAsia="Arial" w:hAnsi="Arial"/>
                <w:sz w:val="18"/>
                <w:szCs w:val="18"/>
                <w:color w:val="auto"/>
              </w:rPr>
              <w:t>6,925</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28,734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28,429</w:t>
            </w:r>
          </w:p>
        </w:tc>
        <w:tc>
          <w:tcPr>
            <w:tcW w:w="860" w:type="dxa"/>
            <w:vAlign w:val="bottom"/>
          </w:tcPr>
          <w:p>
            <w:pPr>
              <w:jc w:val="right"/>
              <w:spacing w:after="0"/>
              <w:rPr>
                <w:sz w:val="20"/>
                <w:szCs w:val="20"/>
                <w:color w:val="auto"/>
              </w:rPr>
            </w:pPr>
            <w:r>
              <w:rPr>
                <w:rFonts w:ascii="Arial" w:cs="Arial" w:eastAsia="Arial" w:hAnsi="Arial"/>
                <w:sz w:val="18"/>
                <w:szCs w:val="18"/>
                <w:color w:val="auto"/>
              </w:rPr>
              <w:t>1,585,673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3,428,939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65,932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20,507,551</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560,312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284,451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16,079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488,599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153,281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22,010,273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Residential-limited documentation</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3,885,073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137,289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175,518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5,805,222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45,604</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2,446,473</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56,181</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16,597</w:t>
            </w:r>
          </w:p>
        </w:tc>
        <w:tc>
          <w:tcPr>
            <w:tcW w:w="860" w:type="dxa"/>
            <w:vAlign w:val="bottom"/>
          </w:tcPr>
          <w:p>
            <w:pPr>
              <w:jc w:val="right"/>
              <w:spacing w:after="0"/>
              <w:rPr>
                <w:sz w:val="20"/>
                <w:szCs w:val="20"/>
                <w:color w:val="auto"/>
              </w:rPr>
            </w:pPr>
            <w:r>
              <w:rPr>
                <w:rFonts w:ascii="Arial" w:cs="Arial" w:eastAsia="Arial" w:hAnsi="Arial"/>
                <w:sz w:val="18"/>
                <w:szCs w:val="18"/>
                <w:color w:val="auto"/>
              </w:rPr>
              <w:t>2,519,257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3,051,435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36,702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84,400,551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1,135,296</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317,441</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68,473</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768,329</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799,409</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87,489,499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23" w:lineRule="exact"/>
        <w:rPr>
          <w:rFonts w:ascii="Arial" w:cs="Arial" w:eastAsia="Arial" w:hAnsi="Arial"/>
          <w:sz w:val="18"/>
          <w:szCs w:val="18"/>
          <w:i w:val="1"/>
          <w:iCs w:val="1"/>
          <w:color w:val="auto"/>
        </w:rPr>
      </w:pPr>
    </w:p>
    <w:p>
      <w:pPr>
        <w:ind w:left="460" w:right="360" w:hanging="452"/>
        <w:spacing w:after="0" w:line="250"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211" w:lineRule="exact"/>
        <w:rPr>
          <w:sz w:val="20"/>
          <w:szCs w:val="20"/>
          <w:color w:val="auto"/>
        </w:rPr>
      </w:pPr>
    </w:p>
    <w:p>
      <w:pPr>
        <w:ind w:right="880" w:firstLine="456"/>
        <w:spacing w:after="0" w:line="308" w:lineRule="auto"/>
        <w:rPr>
          <w:sz w:val="20"/>
          <w:szCs w:val="20"/>
          <w:color w:val="auto"/>
        </w:rPr>
      </w:pPr>
      <w:r>
        <w:rPr>
          <w:rFonts w:ascii="Arial" w:cs="Arial" w:eastAsia="Arial" w:hAnsi="Arial"/>
          <w:sz w:val="17"/>
          <w:szCs w:val="17"/>
          <w:color w:val="auto"/>
        </w:rPr>
        <w:t>One-to-four family residential mortgage loans held for sale were $269 million and $353 million at March 31, 2016 and December 31, 2015, respectively. Commercial mortgage loans held for sale were $128 million at March 31, 2016 and $39 million at December 31, 2015.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March 31, 2016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Commercial,</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Financial,</w:t>
            </w:r>
          </w:p>
        </w:tc>
        <w:tc>
          <w:tcPr>
            <w:tcW w:w="2000" w:type="dxa"/>
            <w:vAlign w:val="bottom"/>
            <w:gridSpan w:val="4"/>
          </w:tcPr>
          <w:p>
            <w:pPr>
              <w:jc w:val="right"/>
              <w:ind w:right="84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6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90"/>
              </w:rPr>
              <w:t>Leasing, etc.</w:t>
            </w:r>
          </w:p>
        </w:tc>
        <w:tc>
          <w:tcPr>
            <w:tcW w:w="10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2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89"/>
              </w:rPr>
              <w:t>Unallocated</w:t>
            </w: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8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6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$ 300,404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326,831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72,238</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178,320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78,199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955,992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0" w:type="dxa"/>
            <w:vAlign w:val="bottom"/>
            <w:gridSpan w:val="3"/>
          </w:tcPr>
          <w:p>
            <w:pPr>
              <w:jc w:val="right"/>
              <w:ind w:right="300"/>
              <w:spacing w:after="0"/>
              <w:rPr>
                <w:sz w:val="20"/>
                <w:szCs w:val="20"/>
                <w:color w:val="auto"/>
              </w:rPr>
            </w:pPr>
            <w:r>
              <w:rPr>
                <w:rFonts w:ascii="Arial" w:cs="Arial" w:eastAsia="Arial" w:hAnsi="Arial"/>
                <w:sz w:val="18"/>
                <w:szCs w:val="18"/>
                <w:color w:val="auto"/>
              </w:rPr>
              <w:t>24,364</w:t>
            </w:r>
          </w:p>
        </w:tc>
        <w:tc>
          <w:tcPr>
            <w:tcW w:w="720" w:type="dxa"/>
            <w:vAlign w:val="bottom"/>
          </w:tcPr>
          <w:p>
            <w:pPr>
              <w:jc w:val="right"/>
              <w:spacing w:after="0"/>
              <w:rPr>
                <w:sz w:val="20"/>
                <w:szCs w:val="20"/>
                <w:color w:val="auto"/>
              </w:rPr>
            </w:pPr>
            <w:r>
              <w:rPr>
                <w:rFonts w:ascii="Arial" w:cs="Arial" w:eastAsia="Arial" w:hAnsi="Arial"/>
                <w:sz w:val="18"/>
                <w:szCs w:val="18"/>
                <w:color w:val="auto"/>
              </w:rPr>
              <w:t>4,013</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1,218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19,893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3000" w:type="dxa"/>
            <w:vAlign w:val="bottom"/>
            <w:gridSpan w:val="3"/>
          </w:tcPr>
          <w:p>
            <w:pPr>
              <w:jc w:val="right"/>
              <w:ind w:right="240"/>
              <w:spacing w:after="0"/>
              <w:rPr>
                <w:sz w:val="20"/>
                <w:szCs w:val="20"/>
                <w:color w:val="auto"/>
              </w:rPr>
            </w:pPr>
            <w:r>
              <w:rPr>
                <w:rFonts w:ascii="Arial" w:cs="Arial" w:eastAsia="Arial" w:hAnsi="Arial"/>
                <w:sz w:val="18"/>
                <w:szCs w:val="18"/>
                <w:color w:val="auto"/>
              </w:rPr>
              <w:t>(6,149)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(1,272)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(6,972)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(44,319)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16,472</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(37,394)</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$ 323,866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331,985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68,371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160,819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962,752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00" w:type="dxa"/>
            <w:vAlign w:val="bottom"/>
            <w:gridSpan w:val="2"/>
          </w:tcPr>
          <w:p>
            <w:pPr>
              <w:jc w:val="right"/>
              <w:ind w:right="424"/>
              <w:spacing w:after="0"/>
              <w:rPr>
                <w:sz w:val="20"/>
                <w:szCs w:val="20"/>
                <w:color w:val="auto"/>
              </w:rPr>
            </w:pPr>
            <w:r>
              <w:rPr>
                <w:rFonts w:ascii="Arial" w:cs="Arial" w:eastAsia="Arial" w:hAnsi="Arial"/>
                <w:sz w:val="18"/>
                <w:szCs w:val="18"/>
                <w:color w:val="auto"/>
              </w:rPr>
              <w:t>- 15 -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three months ended March 31,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1980" w:type="dxa"/>
            <w:vAlign w:val="bottom"/>
            <w:gridSpan w:val="4"/>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Residential</w:t>
            </w:r>
          </w:p>
        </w:tc>
        <w:tc>
          <w:tcPr>
            <w:tcW w:w="30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7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$ 288,038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307,927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186,033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75,654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919,562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60" w:type="dxa"/>
            <w:vAlign w:val="bottom"/>
            <w:gridSpan w:val="3"/>
          </w:tcPr>
          <w:p>
            <w:pPr>
              <w:jc w:val="right"/>
              <w:ind w:right="320"/>
              <w:spacing w:after="0"/>
              <w:rPr>
                <w:sz w:val="20"/>
                <w:szCs w:val="20"/>
                <w:color w:val="auto"/>
              </w:rPr>
            </w:pPr>
            <w:r>
              <w:rPr>
                <w:rFonts w:ascii="Arial" w:cs="Arial" w:eastAsia="Arial" w:hAnsi="Arial"/>
                <w:sz w:val="18"/>
                <w:szCs w:val="18"/>
                <w:color w:val="auto"/>
              </w:rPr>
              <w:t>1,442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15,542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960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19,574</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482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(12,350)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(6,679)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(3,118)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(25,329)</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3,939</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5,774</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(19,555)</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$ 281,069</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317,375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60,741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186,052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921,373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Despite the above allocation, the allowance for credit losses is general in nature and is available to absorb losses from any loan or lease type.</w:t>
      </w:r>
    </w:p>
    <w:p>
      <w:pPr>
        <w:spacing w:after="0" w:line="2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March 31, 2016 and December 31, 2015 and for the three month periods ended March 31,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March 31, 2016</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Recorded</w:t>
            </w:r>
          </w:p>
        </w:tc>
        <w:tc>
          <w:tcPr>
            <w:tcW w:w="1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principal</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Related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principal</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balance</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allowance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investment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3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$204,786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223,269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58,714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179,037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195,821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86,612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97,912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19,600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85,974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95,855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6,581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8,296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2,358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2,678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3,548</w:t>
            </w:r>
          </w:p>
        </w:tc>
        <w:tc>
          <w:tcPr>
            <w:tcW w:w="640" w:type="dxa"/>
            <w:vAlign w:val="bottom"/>
          </w:tcPr>
          <w:p>
            <w:pPr>
              <w:jc w:val="right"/>
              <w:spacing w:after="0"/>
              <w:rPr>
                <w:sz w:val="20"/>
                <w:szCs w:val="20"/>
                <w:color w:val="auto"/>
              </w:rPr>
            </w:pPr>
            <w:r>
              <w:rPr>
                <w:rFonts w:ascii="Arial" w:cs="Arial" w:eastAsia="Arial" w:hAnsi="Arial"/>
                <w:sz w:val="18"/>
                <w:szCs w:val="18"/>
                <w:color w:val="auto"/>
              </w:rPr>
              <w:t>3,843</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77,579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95,679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79,558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Residential-limited documentation</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87,791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101,841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90,356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104,251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27,544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28,540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25,220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26,195</w:t>
            </w:r>
          </w:p>
        </w:tc>
        <w:tc>
          <w:tcPr>
            <w:tcW w:w="58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21,289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17,876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17,876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4,844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17,620</w:t>
            </w:r>
          </w:p>
        </w:tc>
        <w:tc>
          <w:tcPr>
            <w:tcW w:w="5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532,416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597,380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104,513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507,154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567,962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90,093</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20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105,342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126,130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93,190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110,735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92,733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106,710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101,340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116,230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28,938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49,177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27,651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47,246</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18,811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37,498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31,477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17,574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28,336</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19,621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30,940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Residential-limited documentation</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17,362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29,544</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377,395</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273,437</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367,741</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310,128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349,399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58,714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272,227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306,556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179,345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204,622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19,600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187,314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212,085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35,519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57,473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30,967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21,169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40,176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16,769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35,320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95,153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124,015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127,691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Residential-limited documentation</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105,153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131,385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108,770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135,364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27,544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28,540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25,220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26,195</w:t>
            </w:r>
          </w:p>
        </w:tc>
        <w:tc>
          <w:tcPr>
            <w:tcW w:w="58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21,289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17,876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17,876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4,844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17,620</w:t>
            </w:r>
          </w:p>
        </w:tc>
        <w:tc>
          <w:tcPr>
            <w:tcW w:w="5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813,176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974,775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104,513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780,591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935,703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60" w:type="dxa"/>
            <w:vAlign w:val="bottom"/>
            <w:vMerge w:val="restart"/>
          </w:tcPr>
          <w:p>
            <w:pPr>
              <w:jc w:val="right"/>
              <w:ind w:right="450"/>
              <w:spacing w:after="0"/>
              <w:rPr>
                <w:sz w:val="20"/>
                <w:szCs w:val="20"/>
                <w:color w:val="auto"/>
              </w:rPr>
            </w:pPr>
            <w:r>
              <w:rPr>
                <w:rFonts w:ascii="Arial" w:cs="Arial" w:eastAsia="Arial" w:hAnsi="Arial"/>
                <w:sz w:val="18"/>
                <w:szCs w:val="18"/>
                <w:color w:val="auto"/>
              </w:rPr>
              <w:t>- 17 -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6"/>
          </w:tcPr>
          <w:p>
            <w:pPr>
              <w:jc w:val="center"/>
              <w:ind w:left="325"/>
              <w:spacing w:after="0"/>
              <w:rPr>
                <w:sz w:val="20"/>
                <w:szCs w:val="20"/>
                <w:color w:val="auto"/>
              </w:rPr>
            </w:pPr>
            <w:r>
              <w:rPr>
                <w:rFonts w:ascii="Arial" w:cs="Arial" w:eastAsia="Arial" w:hAnsi="Arial"/>
                <w:sz w:val="14"/>
                <w:szCs w:val="14"/>
                <w:color w:val="auto"/>
                <w:w w:val="91"/>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gridSpan w:val="6"/>
          </w:tcPr>
          <w:p>
            <w:pPr>
              <w:jc w:val="center"/>
              <w:ind w:left="305"/>
              <w:spacing w:after="0"/>
              <w:rPr>
                <w:sz w:val="20"/>
                <w:szCs w:val="20"/>
                <w:color w:val="auto"/>
              </w:rPr>
            </w:pPr>
            <w:r>
              <w:rPr>
                <w:rFonts w:ascii="Arial" w:cs="Arial" w:eastAsia="Arial" w:hAnsi="Arial"/>
                <w:sz w:val="14"/>
                <w:szCs w:val="14"/>
                <w:color w:val="auto"/>
                <w:w w:val="94"/>
              </w:rPr>
              <w:t>March 31, 2016</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March 31, 2015</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jc w:val="right"/>
              <w:ind w:right="13"/>
              <w:spacing w:after="0" w:line="123"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91"/>
              </w:rPr>
              <w:t>Average</w:t>
            </w: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color w:val="auto"/>
                <w:w w:val="90"/>
              </w:rPr>
              <w:t>recognized</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Average</w:t>
            </w:r>
          </w:p>
        </w:tc>
        <w:tc>
          <w:tcPr>
            <w:tcW w:w="1220" w:type="dxa"/>
            <w:vAlign w:val="bottom"/>
            <w:gridSpan w:val="4"/>
          </w:tcPr>
          <w:p>
            <w:pPr>
              <w:jc w:val="right"/>
              <w:ind w:right="340"/>
              <w:spacing w:after="0"/>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10"/>
        </w:trPr>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0"/>
              </w:rPr>
              <w:t>recorded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investment</w:t>
            </w:r>
          </w:p>
        </w:tc>
        <w:tc>
          <w:tcPr>
            <w:tcW w:w="700" w:type="dxa"/>
            <w:vAlign w:val="bottom"/>
            <w:gridSpan w:val="3"/>
          </w:tcPr>
          <w:p>
            <w:pPr>
              <w:ind w:left="80"/>
              <w:spacing w:after="0"/>
              <w:rPr>
                <w:sz w:val="20"/>
                <w:szCs w:val="20"/>
                <w:color w:val="auto"/>
              </w:rPr>
            </w:pPr>
            <w:r>
              <w:rPr>
                <w:rFonts w:ascii="Arial" w:cs="Arial" w:eastAsia="Arial" w:hAnsi="Arial"/>
                <w:sz w:val="14"/>
                <w:szCs w:val="14"/>
                <w:color w:val="auto"/>
              </w:rPr>
              <w:t>Total</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basis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investment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color w:val="auto"/>
                <w:w w:val="99"/>
              </w:rPr>
              <w:t>(in thousands)</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$296,584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214,618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182,454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1,474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1,474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153,070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33,750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73,151</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16,868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25,540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96,788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1,372</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882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104,490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Residential-limited documentation</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107,473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1,472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125,654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26,019</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19,683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21,962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29,013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17,717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18,861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799,615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5,772</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3,825</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764,080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5,705</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loans and commercial real estate loans.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94"/>
              </w:rPr>
              <w:t>Commercial,</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1"/>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Builder and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Leasing, etc.</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$20,155,277</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23,138,987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1,700,088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3,631,947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791,510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839,284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89,681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279,790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171,256</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32,458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20,781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21,226,577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24,149,527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1,822,227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3,741,539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$19,442,183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23,098,856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1,497,465</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3,432,679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738,238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787,480</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59,779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241,917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28,429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16,363</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20,422,338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24,065,942</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1,585,673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3,545,696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$52 million and $24 million, respectively, at March 31, 2016 and $55 million and $21 million, respectively, at December 31, 2015. Residential real estate loans and home equity loans and lines of credit that were more than 150 days past due but did not require a partial charge-off because the net realizable value of the collateral exceeded the outstanding customer balance totaled $20 million and $32 million, respectively, at March 31, 2016 and $20 million and $28 million, respectively, at December 31, 2015.</w:t>
      </w:r>
    </w:p>
    <w:p>
      <w:pPr>
        <w:spacing w:after="0" w:line="17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1980" w:type="dxa"/>
            <w:vAlign w:val="bottom"/>
            <w:gridSpan w:val="5"/>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w w:val="90"/>
              </w:rPr>
              <w:t>Financial,</w:t>
            </w:r>
          </w:p>
        </w:tc>
        <w:tc>
          <w:tcPr>
            <w:tcW w:w="198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7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91"/>
              </w:rPr>
              <w:t>Commercial</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2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92"/>
              </w:rPr>
              <w:t>Consumer</w:t>
            </w: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040" w:type="dxa"/>
            <w:vAlign w:val="bottom"/>
            <w:gridSpan w:val="2"/>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58,714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20,611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11,348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13,615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264,652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308,897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55,970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145,841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775,360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Purchased impaired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2,477</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1,053</w:t>
            </w:r>
          </w:p>
        </w:tc>
        <w:tc>
          <w:tcPr>
            <w:tcW w:w="640" w:type="dxa"/>
            <w:vAlign w:val="bottom"/>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323,866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331,985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68,371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160,819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885,041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77,711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962,752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8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44,752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12,727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255,615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307,000</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57,624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163,511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300,404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72,238</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178,320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877,793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78,199</w:t>
            </w:r>
          </w:p>
        </w:tc>
        <w:tc>
          <w:tcPr>
            <w:tcW w:w="0" w:type="dxa"/>
            <w:vAlign w:val="bottom"/>
          </w:tcPr>
          <w:p>
            <w:pPr>
              <w:spacing w:after="0"/>
              <w:rPr>
                <w:sz w:val="1"/>
                <w:szCs w:val="1"/>
                <w:color w:val="auto"/>
              </w:rPr>
            </w:pPr>
          </w:p>
        </w:tc>
      </w:tr>
      <w:tr>
        <w:trPr>
          <w:trHeight w:val="331"/>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955,992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Commercial,</w:t>
            </w:r>
          </w:p>
        </w:tc>
        <w:tc>
          <w:tcPr>
            <w:tcW w:w="2140" w:type="dxa"/>
            <w:vAlign w:val="bottom"/>
            <w:gridSpan w:val="4"/>
            <w:vMerge w:val="restart"/>
          </w:tcPr>
          <w:p>
            <w:pPr>
              <w:ind w:left="64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6"/>
              </w:rPr>
              <w:t>Financial,</w:t>
            </w:r>
          </w:p>
        </w:tc>
        <w:tc>
          <w:tcPr>
            <w:tcW w:w="214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Commercial</w:t>
            </w: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Residential</w:t>
            </w:r>
          </w:p>
        </w:tc>
        <w:tc>
          <w:tcPr>
            <w:tcW w:w="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color w:val="auto"/>
                <w:w w:val="92"/>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310,128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235,039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200,306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66,709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20,914,684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29,395,659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24,470,057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11,564,010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86,344,410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Purchased impaired</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1,765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82,595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629,275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21,226,577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29,713,293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25,299,638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11,632,958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87,872,466</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4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272,227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234,132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207,949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20,148,209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28,863,130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25,398,037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11,532,121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85,941,497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100,049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664,117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20,422,338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29,197,311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26,270,103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11,599,747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87,489,499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80" w:type="dxa"/>
            <w:vAlign w:val="bottom"/>
            <w:vMerge w:val="restart"/>
          </w:tcPr>
          <w:p>
            <w:pPr>
              <w:jc w:val="right"/>
              <w:ind w:right="130"/>
              <w:spacing w:after="0"/>
              <w:rPr>
                <w:sz w:val="20"/>
                <w:szCs w:val="20"/>
                <w:color w:val="auto"/>
              </w:rPr>
            </w:pPr>
            <w:r>
              <w:rPr>
                <w:rFonts w:ascii="Arial" w:cs="Arial" w:eastAsia="Arial" w:hAnsi="Arial"/>
                <w:sz w:val="18"/>
                <w:szCs w:val="18"/>
                <w:color w:val="auto"/>
              </w:rPr>
              <w:t>- 20 -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40"/>
              <w:spacing w:after="0" w:line="123" w:lineRule="exact"/>
              <w:rPr>
                <w:sz w:val="20"/>
                <w:szCs w:val="20"/>
                <w:color w:val="auto"/>
              </w:rPr>
            </w:pPr>
            <w:r>
              <w:rPr>
                <w:rFonts w:ascii="Arial" w:cs="Arial" w:eastAsia="Arial" w:hAnsi="Arial"/>
                <w:sz w:val="14"/>
                <w:szCs w:val="14"/>
                <w:color w:val="auto"/>
                <w:w w:val="92"/>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March 31, 2016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Post-</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2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tcPr>
          <w:p>
            <w:pPr>
              <w:spacing w:after="0"/>
              <w:rPr>
                <w:sz w:val="12"/>
                <w:szCs w:val="12"/>
                <w:color w:val="auto"/>
              </w:rPr>
            </w:pPr>
          </w:p>
        </w:tc>
        <w:tc>
          <w:tcPr>
            <w:tcW w:w="46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11,571</w:t>
            </w:r>
          </w:p>
        </w:tc>
        <w:tc>
          <w:tcPr>
            <w:tcW w:w="6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12,721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1,150</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3,483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3,924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Residential-limited documentation</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34,904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36,143</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1,239</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color w:val="auto"/>
              </w:rPr>
              <w:t>Recorded investment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40"/>
              <w:spacing w:after="0" w:line="123" w:lineRule="exact"/>
              <w:rPr>
                <w:sz w:val="20"/>
                <w:szCs w:val="20"/>
                <w:color w:val="auto"/>
              </w:rPr>
            </w:pPr>
            <w:r>
              <w:rPr>
                <w:rFonts w:ascii="Arial" w:cs="Arial" w:eastAsia="Arial" w:hAnsi="Arial"/>
                <w:sz w:val="14"/>
                <w:szCs w:val="14"/>
                <w:color w:val="auto"/>
                <w:w w:val="95"/>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0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March 31, 2015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Post-</w:t>
            </w:r>
          </w:p>
        </w:tc>
        <w:tc>
          <w:tcPr>
            <w:tcW w:w="1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00" w:type="dxa"/>
            <w:vAlign w:val="bottom"/>
            <w:gridSpan w:val="3"/>
            <w:vMerge w:val="continue"/>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78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3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color w:val="auto"/>
                <w:w w:val="94"/>
              </w:rPr>
              <w:t>(dollars 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1,572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1,557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(2,166)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1,646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1,398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Residential-limited documentation</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18,002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(2,130)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2016 and 2015 and for which there was a subsequent payment default during the three-month periods ended March 31, 2016 and 2015, respectively, were not material.</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amount of foreclosed residential real estate property held by the Company was $169 million and $172 million at March 31, 2016 and December 31, 2015, respectively. There were $309 million and $315 million at March 31, 2016 and December 31, 2015, respectively, of loans secured by residential real estate that were in the process of foreclosure.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M&amp;T had $515 million of fixed and variable rate junior subordinated deferrable interest debentures (“Junior Subordinated Debentures”) outstanding at March 31, 2016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beginning in 2016 none of the securities are includable in M&amp;T’s Tier 1 regulatory capital, but do qualify for inclusion in Tier 2 regulatory capital.</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On April 15, 2015, M&amp;T redeemed all of the issued and outstanding Capital Securities issued by M&amp;T Capital Trust I, M&amp;T Capital Trust II and M&amp;T Capital Trust III, and the related Junior Subordinated Debentures held by those respective trusts. In the aggregate, $323 million of Junior Subordinated Debentures were redeemed.</w:t>
      </w:r>
    </w:p>
    <w:p>
      <w:pPr>
        <w:spacing w:after="0" w:line="17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Also included in long-term borrowings are agreements to repurchase securities of $1.9 billion at each of March 31, 2016 and December 31, 2015.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$2.1 billion and $2.0 billion at March 31, 2016 and December 31, 2015,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as of March 31, 2016 and December 31, 2015 is presented below: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right="228"/>
              <w:spacing w:after="0"/>
              <w:rPr>
                <w:sz w:val="20"/>
                <w:szCs w:val="20"/>
                <w:color w:val="auto"/>
              </w:rPr>
            </w:pPr>
            <w:r>
              <w:rPr>
                <w:rFonts w:ascii="Arial" w:cs="Arial" w:eastAsia="Arial" w:hAnsi="Arial"/>
                <w:sz w:val="14"/>
                <w:szCs w:val="14"/>
                <w:color w:val="auto"/>
                <w:w w:val="85"/>
              </w:rPr>
              <w:t>Shares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88"/>
              </w:rPr>
              <w:t>issued and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1"/>
              </w:rPr>
              <w:t>outstanding</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Carrying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Borders>
              <w:top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5"/>
              </w:rPr>
              <w:t>Fixed Rate Cumulative Perpetual Preferred Stock, $1,000 liquidation preference</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230,000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C (a)</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5"/>
              </w:rPr>
              <w:t>Fixed Rate Cumulative Perpetual Preferred Stock, $1,000 liquidation preference</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151,500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D (b)</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rPr>
              <w:t>Fixed Rate Non-cumulative Perpetual Preferred Stock, $10,000 liquidation</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preference 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E (c)</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rPr>
              <w:t>Fixed-to-Floating Rate Non-cumulative Perpetual Preferred Stock, $1,000</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liquidation preference 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350,000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20" w:hanging="452"/>
        <w:spacing w:after="0" w:line="258" w:lineRule="auto"/>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$73.86 per share issued in connection with the Series A preferred stock expire in 2018 and totaled 719,175 at March 31, 2016 and December 31, 2015, respectively.</w:t>
      </w:r>
    </w:p>
    <w:p>
      <w:pPr>
        <w:spacing w:after="0" w:line="1" w:lineRule="exact"/>
        <w:rPr>
          <w:rFonts w:ascii="Arial" w:cs="Arial" w:eastAsia="Arial" w:hAnsi="Arial"/>
          <w:sz w:val="18"/>
          <w:szCs w:val="18"/>
          <w:i w:val="1"/>
          <w:iCs w:val="1"/>
          <w:color w:val="auto"/>
        </w:rPr>
      </w:pPr>
    </w:p>
    <w:p>
      <w:pPr>
        <w:ind w:left="460" w:right="20" w:hanging="452"/>
        <w:spacing w:after="0" w:line="250" w:lineRule="auto"/>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 w:lineRule="exact"/>
        <w:rPr>
          <w:rFonts w:ascii="Arial" w:cs="Arial" w:eastAsia="Arial" w:hAnsi="Arial"/>
          <w:sz w:val="18"/>
          <w:szCs w:val="18"/>
          <w:i w:val="1"/>
          <w:iCs w:val="1"/>
          <w:color w:val="auto"/>
        </w:rPr>
      </w:pPr>
    </w:p>
    <w:p>
      <w:pPr>
        <w:ind w:left="460" w:hanging="452"/>
        <w:spacing w:after="0" w:line="254" w:lineRule="auto"/>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6.45% through February 14, 2024 and thereafter will be paid quarterly at a rate of the three-month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90"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In addition to the Series A warrants mentioned in (a) above, a warrant to purchase 95,383 shares of M&amp;T common stock at $518.96 per share was outstanding at March 31, 2016 and December 31, 2015. The obligation under that warrant was assumed by M&amp;T in an acquisition.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pension expense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center"/>
              <w:ind w:right="8"/>
              <w:spacing w:after="0"/>
              <w:rPr>
                <w:sz w:val="20"/>
                <w:szCs w:val="20"/>
                <w:color w:val="auto"/>
              </w:rPr>
            </w:pPr>
            <w:r>
              <w:rPr>
                <w:rFonts w:ascii="Arial" w:cs="Arial" w:eastAsia="Arial" w:hAnsi="Arial"/>
                <w:sz w:val="14"/>
                <w:szCs w:val="14"/>
                <w:color w:val="auto"/>
                <w:w w:val="91"/>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520"/>
              <w:spacing w:after="0" w:line="149" w:lineRule="exact"/>
              <w:rPr>
                <w:sz w:val="20"/>
                <w:szCs w:val="20"/>
                <w:color w:val="auto"/>
              </w:rPr>
            </w:pPr>
            <w:r>
              <w:rPr>
                <w:rFonts w:ascii="Arial" w:cs="Arial" w:eastAsia="Arial" w:hAnsi="Arial"/>
                <w:sz w:val="14"/>
                <w:szCs w:val="14"/>
                <w:color w:val="auto"/>
                <w:w w:val="90"/>
              </w:rPr>
              <w:t>Pension</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3"/>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w w:val="93"/>
              </w:rPr>
              <w:t>benefits</w:t>
            </w: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color w:val="auto"/>
                <w:w w:val="93"/>
              </w:rPr>
              <w:t>benefits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00" w:type="dxa"/>
            <w:vAlign w:val="bottom"/>
            <w:gridSpan w:val="6"/>
          </w:tcPr>
          <w:p>
            <w:pPr>
              <w:jc w:val="right"/>
              <w:ind w:right="328"/>
              <w:spacing w:after="0" w:line="123" w:lineRule="exact"/>
              <w:rPr>
                <w:sz w:val="20"/>
                <w:szCs w:val="20"/>
                <w:color w:val="auto"/>
              </w:rPr>
            </w:pPr>
            <w:r>
              <w:rPr>
                <w:rFonts w:ascii="Arial" w:cs="Arial" w:eastAsia="Arial" w:hAnsi="Arial"/>
                <w:sz w:val="14"/>
                <w:szCs w:val="14"/>
                <w:color w:val="auto"/>
                <w:w w:val="98"/>
              </w:rPr>
              <w:t>Three months ended March 31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6,000</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458</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w w:val="98"/>
              </w:rPr>
              <w:t>20,883</w:t>
            </w:r>
          </w:p>
        </w:tc>
        <w:tc>
          <w:tcPr>
            <w:tcW w:w="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17,775</w:t>
            </w: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w w:val="97"/>
              </w:rPr>
              <w:t>1,205</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(27,814)</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(23,575)</w:t>
            </w: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(1,525)</w:t>
            </w:r>
          </w:p>
        </w:tc>
        <w:tc>
          <w:tcPr>
            <w:tcW w:w="860" w:type="dxa"/>
            <w:vAlign w:val="bottom"/>
            <w:gridSpan w:val="2"/>
          </w:tcPr>
          <w:p>
            <w:pPr>
              <w:jc w:val="right"/>
              <w:ind w:right="268"/>
              <w:spacing w:after="0"/>
              <w:rPr>
                <w:sz w:val="20"/>
                <w:szCs w:val="20"/>
                <w:color w:val="auto"/>
              </w:rPr>
            </w:pPr>
            <w:r>
              <w:rPr>
                <w:rFonts w:ascii="Arial" w:cs="Arial" w:eastAsia="Arial" w:hAnsi="Arial"/>
                <w:sz w:val="18"/>
                <w:szCs w:val="18"/>
                <w:color w:val="auto"/>
              </w:rPr>
              <w:t>(350)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4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04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6,926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9,850</w:t>
            </w: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w w:val="97"/>
              </w:rPr>
              <w:t>1,313</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$17,690,000 and $16,750,000 for the three months ended March 31, 2016 and 2015, respectively.</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47" w:lineRule="exact"/>
        <w:rPr>
          <w:sz w:val="20"/>
          <w:szCs w:val="20"/>
          <w:color w:val="auto"/>
        </w:rPr>
      </w:pPr>
    </w:p>
    <w:p>
      <w:pPr>
        <w:jc w:val="center"/>
        <w:ind w:left="6680"/>
        <w:spacing w:after="0"/>
        <w:rPr>
          <w:sz w:val="20"/>
          <w:szCs w:val="20"/>
          <w:color w:val="auto"/>
        </w:rPr>
      </w:pPr>
      <w:r>
        <w:rPr>
          <w:rFonts w:ascii="Arial" w:cs="Arial" w:eastAsia="Arial" w:hAnsi="Arial"/>
          <w:sz w:val="14"/>
          <w:szCs w:val="14"/>
          <w:color w:val="auto"/>
        </w:rPr>
        <w:t>Three months ended</w:t>
      </w:r>
    </w:p>
    <w:p>
      <w:pPr>
        <w:jc w:val="center"/>
        <w:ind w:left="6680"/>
        <w:spacing w:after="0"/>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4"/>
              <w:spacing w:after="0" w:line="157" w:lineRule="exact"/>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tcPr>
          <w:p>
            <w:pPr>
              <w:jc w:val="right"/>
              <w:ind w:right="392"/>
              <w:spacing w:after="0" w:line="123"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color w:val="auto"/>
              </w:rPr>
              <w:t>except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298,528</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241,613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(20,318)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278,210</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221,295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2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275,744</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218,830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w w:val="92"/>
              </w:rPr>
              <w:t>Common shares outstanding (including common stock issuable) and unvested stock-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520"/>
              <w:spacing w:after="0"/>
              <w:rPr>
                <w:sz w:val="20"/>
                <w:szCs w:val="20"/>
                <w:color w:val="auto"/>
              </w:rPr>
            </w:pPr>
            <w:r>
              <w:rPr>
                <w:rFonts w:ascii="Arial" w:cs="Arial" w:eastAsia="Arial" w:hAnsi="Arial"/>
                <w:sz w:val="18"/>
                <w:szCs w:val="18"/>
                <w:color w:val="auto"/>
              </w:rPr>
              <w:t>based compensation awards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160,220</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133,542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331"/>
        </w:trPr>
        <w:tc>
          <w:tcPr>
            <w:tcW w:w="662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158,734</w:t>
            </w:r>
          </w:p>
        </w:tc>
        <w:tc>
          <w:tcPr>
            <w:tcW w:w="44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132,049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8"/>
          <w:szCs w:val="18"/>
          <w:b w:val="1"/>
          <w:bCs w:val="1"/>
          <w:color w:val="auto"/>
        </w:rPr>
        <w:t>Earnings per common share,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left="417"/>
              <w:spacing w:after="0" w:line="149" w:lineRule="exact"/>
              <w:rPr>
                <w:sz w:val="20"/>
                <w:szCs w:val="20"/>
                <w:color w:val="auto"/>
              </w:rPr>
            </w:pPr>
            <w:r>
              <w:rPr>
                <w:rFonts w:ascii="Arial" w:cs="Arial" w:eastAsia="Arial" w:hAnsi="Arial"/>
                <w:sz w:val="14"/>
                <w:szCs w:val="14"/>
                <w:color w:val="auto"/>
                <w:w w:val="92"/>
              </w:rPr>
              <w:t>March 31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2"/>
              <w:spacing w:after="0" w:line="123" w:lineRule="exact"/>
              <w:rPr>
                <w:sz w:val="20"/>
                <w:szCs w:val="20"/>
                <w:color w:val="auto"/>
              </w:rPr>
            </w:pPr>
            <w:r>
              <w:rPr>
                <w:rFonts w:ascii="Arial" w:cs="Arial" w:eastAsia="Arial" w:hAnsi="Arial"/>
                <w:sz w:val="14"/>
                <w:szCs w:val="14"/>
                <w:color w:val="auto"/>
                <w:w w:val="93"/>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except per share)</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278,210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(2,462)</w:t>
            </w:r>
          </w:p>
        </w:tc>
        <w:tc>
          <w:tcPr>
            <w:tcW w:w="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275,748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6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unvested stock-based compensation awards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160,220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(1,486)</w:t>
            </w:r>
          </w:p>
        </w:tc>
        <w:tc>
          <w:tcPr>
            <w:tcW w:w="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Plus: Incremental shares from assumed conversion of stock-based compensation</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awards and warrants to purchase common stock</w:t>
            </w:r>
          </w:p>
        </w:tc>
        <w:tc>
          <w:tcPr>
            <w:tcW w:w="3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46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159,181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132,769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2.8 million and 2.7 million common shares during the three-month periods ended March 31, 2016 and 2015, respectively, were not included in the computations of diluted earnings per common share because the effect on those periods would have been antidilutive.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4"/>
                <w:szCs w:val="14"/>
                <w:color w:val="auto"/>
              </w:rPr>
              <w:t>Investment Securities</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Defined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color w:val="auto"/>
                <w:w w:val="96"/>
              </w:rPr>
              <w:t>Total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With</w:t>
            </w: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All</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benefit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amount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Income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OTTI (a)</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other</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plans</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before tax</w:t>
            </w: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tax</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5"/>
          </w:tcPr>
          <w:p>
            <w:pPr>
              <w:jc w:val="right"/>
              <w:ind w:right="100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$ 16,359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62,849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(489,660)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(4,093)</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 (414,545)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162,918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(251,627)</w:t>
            </w: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 (losses), net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159,660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159,290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(62,680)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(83)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before reclassifications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159,660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159,207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96,557</w:t>
            </w:r>
          </w:p>
        </w:tc>
        <w:tc>
          <w:tcPr>
            <w:tcW w:w="0" w:type="dxa"/>
            <w:vAlign w:val="bottom"/>
          </w:tcPr>
          <w:p>
            <w:pPr>
              <w:spacing w:after="0"/>
              <w:rPr>
                <w:sz w:val="1"/>
                <w:szCs w:val="1"/>
                <w:color w:val="auto"/>
              </w:rPr>
            </w:pPr>
          </w:p>
        </w:tc>
      </w:tr>
      <w:tr>
        <w:trPr>
          <w:trHeight w:val="317"/>
        </w:trPr>
        <w:tc>
          <w:tcPr>
            <w:tcW w:w="5180" w:type="dxa"/>
            <w:vAlign w:val="bottom"/>
            <w:gridSpan w:val="2"/>
          </w:tcPr>
          <w:p>
            <w:pPr>
              <w:spacing w:after="0"/>
              <w:rPr>
                <w:sz w:val="20"/>
                <w:szCs w:val="20"/>
                <w:color w:val="auto"/>
              </w:rPr>
            </w:pPr>
            <w:r>
              <w:rPr>
                <w:rFonts w:ascii="Arial" w:cs="Arial" w:eastAsia="Arial" w:hAnsi="Arial"/>
                <w:sz w:val="18"/>
                <w:szCs w:val="18"/>
                <w:color w:val="auto"/>
                <w:w w:val="93"/>
              </w:rPr>
              <w:t>Amounts reclassified from accumulated other comprehensive income</w:t>
            </w: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that (increase) decrease net income:</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Accretion of unrealized holding losses on held-to-maturity</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(“HTM”) securities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 (b)</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Gains realized in net income</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(4)(c)</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net gain on terminated cash flow hedges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Amortization of prior service credit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(1,175)(e)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actuarial losses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8,300 (e)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160,624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167,257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101,438</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80" w:type="dxa"/>
            <w:vAlign w:val="bottom"/>
            <w:gridSpan w:val="2"/>
          </w:tcPr>
          <w:p>
            <w:pPr>
              <w:spacing w:after="0"/>
              <w:rPr>
                <w:sz w:val="20"/>
                <w:szCs w:val="20"/>
                <w:color w:val="auto"/>
              </w:rPr>
            </w:pPr>
            <w:r>
              <w:rPr>
                <w:rFonts w:ascii="Arial" w:cs="Arial" w:eastAsia="Arial" w:hAnsi="Arial"/>
                <w:sz w:val="18"/>
                <w:szCs w:val="18"/>
                <w:color w:val="auto"/>
              </w:rPr>
              <w:t>Balance - March 31, 2016</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$ 15,989</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223,473</w:t>
            </w:r>
          </w:p>
        </w:tc>
        <w:tc>
          <w:tcPr>
            <w:tcW w:w="1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(482,535)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(4,215)</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 (247,288)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97,099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(150,189)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- 28 -</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4780" w:type="dxa"/>
            <w:vAlign w:val="bottom"/>
          </w:tcPr>
          <w:p>
            <w:pPr>
              <w:ind w:left="300"/>
              <w:spacing w:after="0"/>
              <w:rPr>
                <w:sz w:val="20"/>
                <w:szCs w:val="20"/>
                <w:color w:val="auto"/>
              </w:rPr>
            </w:pPr>
            <w:r>
              <w:rPr>
                <w:rFonts w:ascii="Arial" w:cs="Arial" w:eastAsia="Arial" w:hAnsi="Arial"/>
                <w:sz w:val="18"/>
                <w:szCs w:val="18"/>
                <w:b w:val="1"/>
                <w:bCs w:val="1"/>
                <w:color w:val="auto"/>
              </w:rPr>
              <w:t>Comprehensive income, continued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Arial" w:cs="Arial" w:eastAsia="Arial" w:hAnsi="Arial"/>
                <w:sz w:val="14"/>
                <w:szCs w:val="14"/>
                <w:color w:val="auto"/>
              </w:rPr>
              <w:t>Investment Securities</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Defined</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Total</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With</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All</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benefit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9"/>
              </w:rPr>
              <w:t>amount</w:t>
            </w:r>
          </w:p>
        </w:tc>
        <w:tc>
          <w:tcPr>
            <w:tcW w:w="4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Income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OTTI (a)</w:t>
            </w:r>
          </w:p>
        </w:tc>
        <w:tc>
          <w:tcPr>
            <w:tcW w:w="86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plans</w:t>
            </w:r>
          </w:p>
        </w:tc>
        <w:tc>
          <w:tcPr>
            <w:tcW w:w="74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before tax</w:t>
            </w:r>
          </w:p>
        </w:tc>
        <w:tc>
          <w:tcPr>
            <w:tcW w:w="4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tax</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color w:val="auto"/>
              </w:rPr>
              <w:t>(in thousands)</w:t>
            </w:r>
          </w:p>
        </w:tc>
        <w:tc>
          <w:tcPr>
            <w:tcW w:w="4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2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201,828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(503,027)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(4,082)</w:t>
            </w:r>
          </w:p>
        </w:tc>
        <w:tc>
          <w:tcPr>
            <w:tcW w:w="12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1"/>
              </w:rPr>
              <w:t>$ (297,843)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116,849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(180,994)</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32,063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40,074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(3,732)</w:t>
            </w:r>
          </w:p>
        </w:tc>
        <w:tc>
          <w:tcPr>
            <w:tcW w:w="1220" w:type="dxa"/>
            <w:vAlign w:val="bottom"/>
            <w:gridSpan w:val="3"/>
          </w:tcPr>
          <w:p>
            <w:pPr>
              <w:jc w:val="right"/>
              <w:ind w:right="270"/>
              <w:spacing w:after="0"/>
              <w:rPr>
                <w:sz w:val="20"/>
                <w:szCs w:val="20"/>
                <w:color w:val="auto"/>
              </w:rPr>
            </w:pPr>
            <w:r>
              <w:rPr>
                <w:rFonts w:ascii="Arial" w:cs="Arial" w:eastAsia="Arial" w:hAnsi="Arial"/>
                <w:sz w:val="18"/>
                <w:szCs w:val="18"/>
                <w:color w:val="auto"/>
              </w:rPr>
              <w:t>(3,732)</w:t>
            </w:r>
          </w:p>
        </w:tc>
        <w:tc>
          <w:tcPr>
            <w:tcW w:w="640" w:type="dxa"/>
            <w:vAlign w:val="bottom"/>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on cash flow hedges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w w:val="96"/>
              </w:rPr>
              <w:t>Total other comprehensive income(loss) before reclassifications</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32,063</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(2,279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that (increase) decrease net income: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w w:val="95"/>
              </w:rPr>
              <w:t>Amortization of unrealized holding losses on HTM securities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400" w:type="dxa"/>
            <w:vAlign w:val="bottom"/>
          </w:tcPr>
          <w:p>
            <w:pPr>
              <w:ind w:left="20"/>
              <w:spacing w:after="0"/>
              <w:rPr>
                <w:sz w:val="20"/>
                <w:szCs w:val="20"/>
                <w:color w:val="auto"/>
              </w:rPr>
            </w:pPr>
            <w:r>
              <w:rPr>
                <w:rFonts w:ascii="Arial" w:cs="Arial" w:eastAsia="Arial" w:hAnsi="Arial"/>
                <w:sz w:val="18"/>
                <w:szCs w:val="18"/>
                <w:color w:val="auto"/>
              </w:rPr>
              <w:t>(b)</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realized in net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Accretion of net gain on terminated cash flow hedges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220" w:type="dxa"/>
            <w:vAlign w:val="bottom"/>
            <w:gridSpan w:val="3"/>
          </w:tcPr>
          <w:p>
            <w:pPr>
              <w:jc w:val="right"/>
              <w:ind w:right="70"/>
              <w:spacing w:after="0"/>
              <w:rPr>
                <w:sz w:val="20"/>
                <w:szCs w:val="20"/>
                <w:color w:val="auto"/>
              </w:rPr>
            </w:pPr>
            <w:r>
              <w:rPr>
                <w:rFonts w:ascii="Arial" w:cs="Arial" w:eastAsia="Arial" w:hAnsi="Arial"/>
                <w:sz w:val="18"/>
                <w:szCs w:val="18"/>
                <w:color w:val="auto"/>
              </w:rPr>
              <w:t>(24)(d)</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(1,875)(e)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Amortization of actuarial losses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11,200</w:t>
            </w:r>
          </w:p>
        </w:tc>
        <w:tc>
          <w:tcPr>
            <w:tcW w:w="22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11,200</w:t>
            </w:r>
          </w:p>
        </w:tc>
        <w:tc>
          <w:tcPr>
            <w:tcW w:w="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(e)</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10,138</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0"/>
        </w:trPr>
        <w:tc>
          <w:tcPr>
            <w:tcW w:w="4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40" w:type="dxa"/>
            <w:vAlign w:val="bottom"/>
            <w:gridSpan w:val="3"/>
          </w:tcPr>
          <w:p>
            <w:pPr>
              <w:spacing w:after="0"/>
              <w:rPr>
                <w:sz w:val="20"/>
                <w:szCs w:val="20"/>
                <w:color w:val="auto"/>
              </w:rPr>
            </w:pPr>
            <w:r>
              <w:rPr>
                <w:rFonts w:ascii="Arial" w:cs="Arial" w:eastAsia="Arial" w:hAnsi="Arial"/>
                <w:sz w:val="18"/>
                <w:szCs w:val="18"/>
                <w:color w:val="auto"/>
              </w:rPr>
              <w:t>Total gain (loss) during the period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8,011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32,900</w:t>
            </w:r>
          </w:p>
        </w:tc>
        <w:tc>
          <w:tcPr>
            <w:tcW w:w="700" w:type="dxa"/>
            <w:vAlign w:val="bottom"/>
          </w:tcPr>
          <w:p>
            <w:pPr>
              <w:jc w:val="right"/>
              <w:spacing w:after="0"/>
              <w:rPr>
                <w:sz w:val="20"/>
                <w:szCs w:val="20"/>
                <w:color w:val="auto"/>
              </w:rPr>
            </w:pPr>
            <w:r>
              <w:rPr>
                <w:rFonts w:ascii="Arial" w:cs="Arial" w:eastAsia="Arial" w:hAnsi="Arial"/>
                <w:sz w:val="18"/>
                <w:szCs w:val="18"/>
                <w:color w:val="auto"/>
              </w:rPr>
              <w:t>9,325</w:t>
            </w:r>
          </w:p>
        </w:tc>
        <w:tc>
          <w:tcPr>
            <w:tcW w:w="2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(2,303)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47,933</w:t>
            </w:r>
          </w:p>
        </w:tc>
        <w:tc>
          <w:tcPr>
            <w:tcW w:w="4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(19,430)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28,503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March 31,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15,449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234,728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(493,702)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(6,385)</w:t>
            </w:r>
          </w:p>
        </w:tc>
        <w:tc>
          <w:tcPr>
            <w:tcW w:w="12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1"/>
              </w:rPr>
              <w:t>$ (249,910)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(152,491)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w w:val="92"/>
              </w:rPr>
              <w:t>Investment securities</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Defined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With OTTI</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All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5"/>
              </w:rPr>
              <w:t>plans</w:t>
            </w: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Other</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2"/>
              </w:rPr>
              <w:t>(in thousands)</w:t>
            </w: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348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38,166</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(296,979)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$(251,627)</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97,418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4,321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101,438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2016</w:t>
            </w:r>
          </w:p>
        </w:tc>
        <w:tc>
          <w:tcPr>
            <w:tcW w:w="348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135,584</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(292,658)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(150,189)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360" w:type="dxa"/>
            <w:vAlign w:val="bottom"/>
            <w:vMerge w:val="restart"/>
          </w:tcPr>
          <w:p>
            <w:pPr>
              <w:jc w:val="right"/>
              <w:ind w:right="1210"/>
              <w:spacing w:after="0"/>
              <w:rPr>
                <w:sz w:val="20"/>
                <w:szCs w:val="20"/>
                <w:color w:val="auto"/>
              </w:rPr>
            </w:pPr>
            <w:r>
              <w:rPr>
                <w:rFonts w:ascii="Arial" w:cs="Arial" w:eastAsia="Arial" w:hAnsi="Arial"/>
                <w:sz w:val="18"/>
                <w:szCs w:val="18"/>
                <w:color w:val="auto"/>
              </w:rPr>
              <w:t>- 29 -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significant as of March 31, 2016.</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net effect of interest rate swap agreements was to increase net interest income by $10 million and $11 million for the three-month periods ended March 31, 2016 and 2015, respectively.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4"/>
                <w:szCs w:val="14"/>
                <w:color w:val="auto"/>
                <w:w w:val="97"/>
              </w:rPr>
              <w:t>Notional</w:t>
            </w: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88"/>
              </w:rPr>
              <w:t>Average</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80" w:type="dxa"/>
            <w:vAlign w:val="bottom"/>
            <w:gridSpan w:val="3"/>
          </w:tcPr>
          <w:p>
            <w:pPr>
              <w:jc w:val="center"/>
              <w:ind w:right="480"/>
              <w:spacing w:after="0" w:line="142" w:lineRule="exact"/>
              <w:rPr>
                <w:sz w:val="20"/>
                <w:szCs w:val="20"/>
                <w:color w:val="auto"/>
              </w:rPr>
            </w:pPr>
            <w:r>
              <w:rPr>
                <w:rFonts w:ascii="Arial" w:cs="Arial" w:eastAsia="Arial" w:hAnsi="Arial"/>
                <w:sz w:val="14"/>
                <w:szCs w:val="14"/>
                <w:color w:val="auto"/>
                <w:w w:val="94"/>
              </w:rPr>
              <w:t>amount</w:t>
            </w: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color w:val="auto"/>
              </w:rPr>
              <w:t>maturity</w:t>
            </w:r>
          </w:p>
        </w:tc>
        <w:tc>
          <w:tcPr>
            <w:tcW w:w="960" w:type="dxa"/>
            <w:vAlign w:val="bottom"/>
            <w:tcBorders>
              <w:top w:val="single" w:sz="8" w:color="auto"/>
            </w:tcBorders>
            <w:gridSpan w:val="2"/>
          </w:tcPr>
          <w:p>
            <w:pPr>
              <w:jc w:val="right"/>
              <w:ind w:right="528"/>
              <w:spacing w:after="0" w:line="142" w:lineRule="exact"/>
              <w:rPr>
                <w:sz w:val="20"/>
                <w:szCs w:val="20"/>
                <w:color w:val="auto"/>
              </w:rPr>
            </w:pPr>
            <w:r>
              <w:rPr>
                <w:rFonts w:ascii="Arial" w:cs="Arial" w:eastAsia="Arial" w:hAnsi="Arial"/>
                <w:sz w:val="14"/>
                <w:szCs w:val="14"/>
                <w:color w:val="auto"/>
                <w:w w:val="99"/>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gridSpan w:val="2"/>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December 31, 2015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$18.9 billion and $18.4 billion at March 31, 2016 and December 31, 2015, respectively. The notional amounts of foreign currency and other option and futures contracts entered into for trading account purposes aggregated $2.8 billion and $1.6 billion at March 31, 2016 and December 31, 2015, respectively.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4"/>
                <w:szCs w:val="14"/>
                <w:color w:val="auto"/>
              </w:rPr>
              <w:t>Asset derivatives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617"/>
              <w:spacing w:after="0" w:line="142" w:lineRule="exact"/>
              <w:rPr>
                <w:sz w:val="20"/>
                <w:szCs w:val="20"/>
                <w:color w:val="auto"/>
              </w:rPr>
            </w:pPr>
            <w:r>
              <w:rPr>
                <w:rFonts w:ascii="Arial" w:cs="Arial" w:eastAsia="Arial" w:hAnsi="Arial"/>
                <w:sz w:val="14"/>
                <w:szCs w:val="14"/>
                <w:color w:val="auto"/>
                <w:w w:val="91"/>
              </w:rPr>
              <w:t>Fair value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596"/>
              <w:spacing w:after="0" w:line="142" w:lineRule="exact"/>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9"/>
              </w:rPr>
              <w:t>March 31,</w:t>
            </w:r>
          </w:p>
        </w:tc>
        <w:tc>
          <w:tcPr>
            <w:tcW w:w="4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9"/>
              </w:rPr>
              <w:t>March 31,</w:t>
            </w:r>
          </w:p>
        </w:tc>
        <w:tc>
          <w:tcPr>
            <w:tcW w:w="4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gridSpan w:val="5"/>
          </w:tcPr>
          <w:p>
            <w:pPr>
              <w:jc w:val="right"/>
              <w:ind w:right="433"/>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hedges: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41,259</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43,892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Commitments to sell real estate loans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4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41,671</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w w:val="98"/>
              </w:rPr>
              <w:t>Derivatives not designated and qualifying as hedging instruments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Mortgage-related commitments to originate real estate loans for sale (a)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16,929</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329,739</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203,517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278,981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153,723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364,903</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298,326</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406,574</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268,637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301,569</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Derivative financial instruments,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color w:val="auto"/>
                <w:w w:val="94"/>
              </w:rPr>
              <w:t>Amount of gain (loss) recognized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3"/>
          </w:tcPr>
          <w:p>
            <w:pPr>
              <w:jc w:val="right"/>
              <w:ind w:right="264"/>
              <w:spacing w:after="0" w:line="123" w:lineRule="exact"/>
              <w:rPr>
                <w:sz w:val="20"/>
                <w:szCs w:val="20"/>
                <w:color w:val="auto"/>
              </w:rPr>
            </w:pPr>
            <w:r>
              <w:rPr>
                <w:rFonts w:ascii="Arial" w:cs="Arial" w:eastAsia="Arial" w:hAnsi="Arial"/>
                <w:sz w:val="14"/>
                <w:szCs w:val="14"/>
                <w:color w:val="auto"/>
              </w:rPr>
              <w:t>Three months ended</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3"/>
          </w:tcPr>
          <w:p>
            <w:pPr>
              <w:jc w:val="right"/>
              <w:ind w:right="279"/>
              <w:spacing w:after="0" w:line="123"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404"/>
              <w:spacing w:after="0"/>
              <w:rPr>
                <w:sz w:val="20"/>
                <w:szCs w:val="20"/>
                <w:color w:val="auto"/>
              </w:rPr>
            </w:pPr>
            <w:r>
              <w:rPr>
                <w:rFonts w:ascii="Arial" w:cs="Arial" w:eastAsia="Arial" w:hAnsi="Arial"/>
                <w:sz w:val="14"/>
                <w:szCs w:val="14"/>
                <w:color w:val="auto"/>
              </w:rPr>
              <w:t>March 31, 2016</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color w:val="auto"/>
              </w:rPr>
              <w:t>March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5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3"/>
          </w:tcPr>
          <w:p>
            <w:pPr>
              <w:jc w:val="center"/>
              <w:ind w:left="484"/>
              <w:spacing w:after="0" w:line="142"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(2,633)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31"/>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974</w:t>
            </w:r>
          </w:p>
        </w:tc>
        <w:tc>
          <w:tcPr>
            <w:tcW w:w="74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660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2,789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2,186</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3,449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1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Company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$22 million and $18 million at March 31, 2016 and December 31, 2015, respectively. Changes in unrealized gains and losses are included in mortgage banking revenues and, in general, are realized in subsequent periods as the related loans are sold and commitments satisfied.</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aggregate fair value of derivative financial instruments in a liability position, which are subject to enforceable master netting arrangements, was $98 million and $59 million at March 31, 2016 and December 31, 2015, respectively. After consideration of such netting arrangements, the net liability positions with counterparties aggregated $95 million and $55 million at March 31, 2016 and December 31, 2015, respectively. The Company was required to post collateral relating to those positions of $84 million and $52 million, at March 31, 2016 and December 31, 2015,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counterparties to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2016 was $19 million, for which the Company had posted collateral of $13 million in the normal course of business. If the credit risk-related contingent features had been triggered on March 31, 2016, the maximum amount of additional collateral the Company would have been required to post with counterparties was $6 million.</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aggregate fair value of derivative financial instruments in an asset position, which are subject to enforceable master netting arrangements, was $24 million and $23 million at March 31, 2016 and December 31, 2015, respectively. After consideration of such netting arrangements, the net asset positions with counterparties aggregated $21 million and $19 million at March 31, 2016 and December 31, 2015, respectively. Counterparties posted collateral relating to those positions of $21 million and $22 million at March 31, 2016 and December 31, 2015, respectively. Trading account interest rate swap agreements entered into with customers are subject to the Company’s credit risk standards and often contain collateral provisions.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for contracts in a net liability position. The net fair values of derivative financial instruments cleared through clearinghouses at March 31, 2016 was a net liability position of $156 million and at December 31, 2015 was a net liability position of $50 million. Collateral posted with clearinghouses was $204 million and $99 million at March 31, 2016 and December 31, 2015, respectively.</w:t>
      </w:r>
    </w:p>
    <w:p>
      <w:pPr>
        <w:spacing w:after="0" w:line="33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accordance with GAAP, at December 31, 2015 the Company determined that it was the primary beneficiary of a residential mortgage loan securitization trust considering its role as servicer and its retained subordinated interests in the trust. As a result, the Company had included the one-to-four family residential mortgage loans that were included in the trust in its consolidated financial statements. In the first quarter of 2016, the securitization trust was terminated as the Company exercised its right to purchase the underlying mortgage loans pursuant to the clean-up call provisions of the trust. At December 31, 2015, the carrying value of the loans in the securitization trust was $81 million. The outstanding principal amount of mortgage-backed securities issued by the qualified special purpose trust that was held by parties unrelated to the Company at December 31, 2015 was $13 million.</w:t>
      </w:r>
    </w:p>
    <w:p>
      <w:pPr>
        <w:spacing w:after="0" w:line="165"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March 31, 2016 and December 31, 2015, the Company included the junior subordinated debentures as “long-term borrowings” in its consolidated balance sheet and recognized $24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Company has invested as a limited partner in various partnerships that collectively had total assets of approximately $1.1 billion at each of March 31, 2016 and December 31, 2015.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$290 million, including $80 million of unfunded commitments, at March 31, 2016 and $295 million, including $78 million of unfunded commitments, at December 31, 2015. Contingent commitments to provide additional capital contributions to these partnerships were not material at March 31, 2016. The Company has not provided financial or other support to the partnerships that was not contractually required. Management currently estimates that no material losses are probable as a result of the Company’s involvement with such entities. The Company, in its position as a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$11 million and $10 million of its investments in qualified affordable housing projects to income tax expense during the three-month periods ended March 31, 2016 and 2015, respectively, and recognized $14 million of tax credits and other tax benefits during each of those respective periods.</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Company serves as investment advisor for certain registered money-market funds. The Company has no explicit arrangement to provide support to those funds, but may waive portions of its management fees. Such waivers were not material during the three months ended March 31, 2016 and 2015.</w:t>
      </w:r>
    </w:p>
    <w:p>
      <w:pPr>
        <w:spacing w:after="0" w:line="26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March 31, 2016.</w:t>
      </w:r>
    </w:p>
    <w:p>
      <w:pPr>
        <w:spacing w:after="0" w:line="17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7" w:lineRule="exact"/>
        <w:rPr>
          <w:sz w:val="20"/>
          <w:szCs w:val="20"/>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left="440" w:right="180" w:hanging="324"/>
        <w:spacing w:after="0" w:line="308"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4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March 31, 2016 and December 31, 2015.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10%, with a weighted-average of 8%, was used. Significant unobservable inputs used in the determination of estimated fair value of collateralized debt obligations are included in the accompanying table of significant unobservable inputs to Level 3 measurements. At March 31, 2016, the total amortized cost and fair value of securities backed by trust preferred securities issued by financial institutions and other entities were $28 million and $45 million, respectively, and at December 31, 2015 were $28 million and $47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significant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assets and liabilities at March 31, 2016 and December 31, 2015 measured at estimated fair value on a recurring basis: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Fair value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March 31,</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color w:val="auto"/>
                <w:w w:val="89"/>
              </w:rPr>
              <w:t>2016</w:t>
            </w:r>
          </w:p>
        </w:tc>
        <w:tc>
          <w:tcPr>
            <w:tcW w:w="3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Level 1(a)</w:t>
            </w: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Level 2(a)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3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467,987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69,689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398,298</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202,192</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202,192</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5,448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5,448</w:t>
            </w:r>
          </w:p>
        </w:tc>
        <w:tc>
          <w:tcPr>
            <w:tcW w:w="3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11,750,062</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11,750,062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45,040</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112,708</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112,708</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85,132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67,150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17,982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12,200,647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67,150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12,088,392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45,105</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396,764</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396,764</w:t>
            </w:r>
          </w:p>
        </w:tc>
        <w:tc>
          <w:tcPr>
            <w:tcW w:w="3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59,028</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13,124,426</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136,839</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12,925,553</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295,869</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295,869</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liabilities (b)</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5,700</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5,656</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301,569</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301,525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80" w:type="dxa"/>
            <w:vAlign w:val="bottom"/>
            <w:vMerge w:val="restart"/>
          </w:tcPr>
          <w:p>
            <w:pPr>
              <w:jc w:val="right"/>
              <w:ind w:right="950"/>
              <w:spacing w:after="0"/>
              <w:rPr>
                <w:sz w:val="20"/>
                <w:szCs w:val="20"/>
                <w:color w:val="auto"/>
              </w:rPr>
            </w:pPr>
            <w:r>
              <w:rPr>
                <w:rFonts w:ascii="Arial" w:cs="Arial" w:eastAsia="Arial" w:hAnsi="Arial"/>
                <w:sz w:val="18"/>
                <w:szCs w:val="18"/>
                <w:color w:val="auto"/>
              </w:rPr>
              <w:t>- 37 -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3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Fair value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2"/>
              <w:spacing w:after="0"/>
              <w:rPr>
                <w:sz w:val="20"/>
                <w:szCs w:val="20"/>
                <w:color w:val="auto"/>
              </w:rPr>
            </w:pPr>
            <w:r>
              <w:rPr>
                <w:rFonts w:ascii="Arial" w:cs="Arial" w:eastAsia="Arial" w:hAnsi="Arial"/>
                <w:sz w:val="14"/>
                <w:szCs w:val="14"/>
                <w:color w:val="auto"/>
                <w:w w:val="89"/>
              </w:rPr>
              <w:t>2015</w:t>
            </w:r>
          </w:p>
        </w:tc>
        <w:tc>
          <w:tcPr>
            <w:tcW w:w="3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Level 1(a)</w:t>
            </w: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Level 2(a)</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273,783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299,997</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6,028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6,028</w:t>
            </w:r>
          </w:p>
        </w:tc>
        <w:tc>
          <w:tcPr>
            <w:tcW w:w="3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11,686,628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11,686,628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47,393</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118,880</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118,880</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83,671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65,178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18,493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12,242,671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65,178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12,130,026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47,467</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392,036</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392,036</w:t>
            </w:r>
          </w:p>
        </w:tc>
        <w:tc>
          <w:tcPr>
            <w:tcW w:w="300" w:type="dxa"/>
            <w:vAlign w:val="bottom"/>
          </w:tcPr>
          <w:p>
            <w:pPr>
              <w:spacing w:after="0"/>
              <w:rPr>
                <w:sz w:val="24"/>
                <w:szCs w:val="24"/>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56,551</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12,965,041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121,941</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12,785,351</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160,745</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liabilities (b)</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1,905</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3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162,650</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ended March 31, 2016 and the year ended December 31, 2015.</w:t>
      </w:r>
    </w:p>
    <w:p>
      <w:pPr>
        <w:spacing w:after="0" w:line="1" w:lineRule="exact"/>
        <w:rPr>
          <w:rFonts w:ascii="Arial" w:cs="Arial" w:eastAsia="Arial" w:hAnsi="Arial"/>
          <w:sz w:val="18"/>
          <w:szCs w:val="18"/>
          <w:i w:val="1"/>
          <w:iCs w:val="1"/>
          <w:color w:val="auto"/>
        </w:rPr>
      </w:pPr>
    </w:p>
    <w:p>
      <w:pPr>
        <w:ind w:left="460" w:right="380" w:hanging="452"/>
        <w:spacing w:after="0" w:line="261"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2016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6"/>
          </w:tcPr>
          <w:p>
            <w:pPr>
              <w:jc w:val="right"/>
              <w:ind w:right="800"/>
              <w:spacing w:after="0"/>
              <w:rPr>
                <w:sz w:val="20"/>
                <w:szCs w:val="20"/>
                <w:color w:val="auto"/>
              </w:rPr>
            </w:pPr>
            <w:r>
              <w:rPr>
                <w:rFonts w:ascii="Arial" w:cs="Arial" w:eastAsia="Arial" w:hAnsi="Arial"/>
                <w:sz w:val="14"/>
                <w:szCs w:val="14"/>
                <w:color w:val="auto"/>
                <w:w w:val="98"/>
              </w:rPr>
              <w:t>Investment securities available for sale</w:t>
            </w:r>
          </w:p>
        </w:tc>
        <w:tc>
          <w:tcPr>
            <w:tcW w:w="3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w w:val="91"/>
              </w:rPr>
              <w:t>Privately issued</w:t>
            </w:r>
          </w:p>
        </w:tc>
        <w:tc>
          <w:tcPr>
            <w:tcW w:w="3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5"/>
              </w:rPr>
              <w:t>mortgage-backed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debt</w:t>
            </w:r>
          </w:p>
        </w:tc>
        <w:tc>
          <w:tcPr>
            <w:tcW w:w="32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obligations</w:t>
            </w:r>
          </w:p>
        </w:tc>
        <w:tc>
          <w:tcPr>
            <w:tcW w:w="32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47,393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324"/>
        </w:trPr>
        <w:tc>
          <w:tcPr>
            <w:tcW w:w="442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23,898(b)</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(2,148)(c)</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(16,892)(d)</w:t>
            </w:r>
          </w:p>
        </w:tc>
        <w:tc>
          <w:tcPr>
            <w:tcW w:w="0" w:type="dxa"/>
            <w:vAlign w:val="bottom"/>
          </w:tcPr>
          <w:p>
            <w:pPr>
              <w:spacing w:after="0"/>
              <w:rPr>
                <w:sz w:val="1"/>
                <w:szCs w:val="1"/>
                <w:color w:val="auto"/>
              </w:rPr>
            </w:pPr>
          </w:p>
        </w:tc>
      </w:tr>
      <w:tr>
        <w:trPr>
          <w:trHeight w:val="115"/>
        </w:trPr>
        <w:tc>
          <w:tcPr>
            <w:tcW w:w="4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45,040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16,885</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w w:val="93"/>
              </w:rPr>
              <w:t>Changes in unrealized gains included in earnings related to</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assets still held at March 31, 2016</w:t>
            </w:r>
          </w:p>
        </w:tc>
        <w:tc>
          <w:tcPr>
            <w:tcW w:w="5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14,539(b)</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- 39 -</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2015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6"/>
          </w:tcPr>
          <w:p>
            <w:pPr>
              <w:ind w:left="160"/>
              <w:spacing w:after="0"/>
              <w:rPr>
                <w:sz w:val="20"/>
                <w:szCs w:val="20"/>
                <w:color w:val="auto"/>
              </w:rPr>
            </w:pPr>
            <w:r>
              <w:rPr>
                <w:rFonts w:ascii="Arial" w:cs="Arial" w:eastAsia="Arial" w:hAnsi="Arial"/>
                <w:sz w:val="14"/>
                <w:szCs w:val="14"/>
                <w:color w:val="auto"/>
              </w:rPr>
              <w:t>Investment securities available for sale</w:t>
            </w:r>
          </w:p>
        </w:tc>
        <w:tc>
          <w:tcPr>
            <w:tcW w:w="3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3"/>
              </w:rPr>
              <w:t>Privately issued</w:t>
            </w:r>
          </w:p>
        </w:tc>
        <w:tc>
          <w:tcPr>
            <w:tcW w:w="3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6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1"/>
              </w:rPr>
              <w:t>mortgage-backed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debt</w:t>
            </w:r>
          </w:p>
        </w:tc>
        <w:tc>
          <w:tcPr>
            <w:tcW w:w="32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securities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obligations</w:t>
            </w:r>
          </w:p>
        </w:tc>
        <w:tc>
          <w:tcPr>
            <w:tcW w:w="32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103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50,316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17,347</w:t>
            </w:r>
          </w:p>
        </w:tc>
        <w:tc>
          <w:tcPr>
            <w:tcW w:w="0" w:type="dxa"/>
            <w:vAlign w:val="bottom"/>
          </w:tcPr>
          <w:p>
            <w:pPr>
              <w:spacing w:after="0"/>
              <w:rPr>
                <w:sz w:val="1"/>
                <w:szCs w:val="1"/>
                <w:color w:val="auto"/>
              </w:rPr>
            </w:pPr>
          </w:p>
        </w:tc>
      </w:tr>
      <w:tr>
        <w:trPr>
          <w:trHeight w:val="324"/>
        </w:trPr>
        <w:tc>
          <w:tcPr>
            <w:tcW w:w="49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29,770(b)</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(2,004)(c)</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100" w:type="dxa"/>
            <w:vAlign w:val="bottom"/>
          </w:tcPr>
          <w:p>
            <w:pPr>
              <w:spacing w:after="0"/>
              <w:rPr>
                <w:sz w:val="18"/>
                <w:szCs w:val="18"/>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(20,887)(d)</w:t>
            </w:r>
          </w:p>
        </w:tc>
        <w:tc>
          <w:tcPr>
            <w:tcW w:w="0" w:type="dxa"/>
            <w:vAlign w:val="bottom"/>
          </w:tcPr>
          <w:p>
            <w:pPr>
              <w:spacing w:after="0"/>
              <w:rPr>
                <w:sz w:val="1"/>
                <w:szCs w:val="1"/>
                <w:color w:val="auto"/>
              </w:rPr>
            </w:pPr>
          </w:p>
        </w:tc>
      </w:tr>
      <w:tr>
        <w:trPr>
          <w:trHeight w:val="115"/>
        </w:trPr>
        <w:tc>
          <w:tcPr>
            <w:tcW w:w="4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47,278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 related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assets still held at March 31,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22,636(b)</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58"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losses on investment securities in the consolidated statement of comprehensive income.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280"/>
          </w:cols>
          <w:pgMar w:left="24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90% at March 31, 2016.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$226 million at March 31, 2016 ($127 million and $99 million of which were classified as Level 2 and Level 3, respectively), $210 million at December 31, 2015 ($106 million and $104 million of which were classified as Level 2 and Level 3, respectively) and $101 million at March 31, 2015 ($67 million and $34 million of which were classified as Level 2 and Level 3, respectively). Changes in fair value recognized for partial charge-offs of loans and loan impairment reserves on loans held by the Company on March 31, 2016 and 2015 were decreases of $27 million and $8 million for the three-month periods ended March 31, 2016 and 2015,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$62 million and $11 million at March 31, 2016 and March 31, 2015, respectively. Changes in fair value recognized for those foreclosed assets held by the Company were not material during the three-month periods ended March 31, 2016 and 2015.</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tables present quantitative information about significant unobservable inputs used in the fair value measurements for Level 3 assets and liabilities at March 31, 2016 and December 31, 2015:</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Fair value at</w:t>
            </w:r>
          </w:p>
        </w:tc>
        <w:tc>
          <w:tcPr>
            <w:tcW w:w="24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color w:val="auto"/>
              </w:rPr>
              <w:t>Valuation</w:t>
            </w:r>
          </w:p>
        </w:tc>
        <w:tc>
          <w:tcPr>
            <w:tcW w:w="314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2"/>
              </w:rPr>
              <w:t>Unobservable</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6"/>
              </w:rPr>
              <w:t>March 31,</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1220" w:type="dxa"/>
            <w:vAlign w:val="bottom"/>
          </w:tcPr>
          <w:p>
            <w:pPr>
              <w:jc w:val="center"/>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technique</w:t>
            </w:r>
          </w:p>
        </w:tc>
        <w:tc>
          <w:tcPr>
            <w:tcW w:w="314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input/assumptions</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106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600" w:type="dxa"/>
            <w:vAlign w:val="bottom"/>
            <w:gridSpan w:val="4"/>
          </w:tcPr>
          <w:p>
            <w:pPr>
              <w:spacing w:after="0"/>
              <w:rPr>
                <w:sz w:val="20"/>
                <w:szCs w:val="20"/>
                <w:color w:val="auto"/>
              </w:rPr>
            </w:pPr>
            <w:r>
              <w:rPr>
                <w:rFonts w:ascii="Arial" w:cs="Arial" w:eastAsia="Arial" w:hAnsi="Arial"/>
                <w:sz w:val="18"/>
                <w:szCs w:val="18"/>
                <w:color w:val="auto"/>
              </w:rPr>
              <w:t>Privately issued mortgage–backed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Two</w:t>
            </w: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jc w:val="right"/>
              <w:ind w:right="2668"/>
              <w:spacing w:after="0"/>
              <w:rPr>
                <w:sz w:val="20"/>
                <w:szCs w:val="20"/>
                <w:color w:val="auto"/>
              </w:rPr>
            </w:pPr>
            <w:r>
              <w:rPr>
                <w:rFonts w:ascii="Arial" w:cs="Arial" w:eastAsia="Arial" w:hAnsi="Arial"/>
                <w:sz w:val="18"/>
                <w:szCs w:val="18"/>
                <w:color w:val="auto"/>
              </w:rPr>
              <w:t>securities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independent</w:t>
            </w: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pricing</w:t>
            </w: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quotes</w:t>
            </w:r>
          </w:p>
        </w:tc>
        <w:tc>
          <w:tcPr>
            <w:tcW w:w="31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Discounted</w:t>
            </w:r>
          </w:p>
        </w:tc>
        <w:tc>
          <w:tcPr>
            <w:tcW w:w="2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45,040</w:t>
            </w:r>
          </w:p>
        </w:tc>
        <w:tc>
          <w:tcPr>
            <w:tcW w:w="1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cash flow</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default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10%-56%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Loss severity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Discounted</w:t>
            </w:r>
          </w:p>
        </w:tc>
        <w:tc>
          <w:tcPr>
            <w:tcW w:w="2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16,885</w:t>
            </w:r>
          </w:p>
        </w:tc>
        <w:tc>
          <w:tcPr>
            <w:tcW w:w="1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cash flow</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 expirations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0%-66% (31%)</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Fair value at</w:t>
            </w:r>
          </w:p>
        </w:tc>
        <w:tc>
          <w:tcPr>
            <w:tcW w:w="240" w:type="dxa"/>
            <w:vAlign w:val="bottom"/>
          </w:tcPr>
          <w:p>
            <w:pPr>
              <w:spacing w:after="0"/>
              <w:rPr>
                <w:sz w:val="24"/>
                <w:szCs w:val="2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color w:val="auto"/>
              </w:rPr>
              <w:t>Valuation</w:t>
            </w:r>
          </w:p>
        </w:tc>
        <w:tc>
          <w:tcPr>
            <w:tcW w:w="314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2"/>
              </w:rPr>
              <w:t>Unobservable</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jc w:val="center"/>
              <w:ind w:right="240"/>
              <w:spacing w:after="0" w:line="141" w:lineRule="exact"/>
              <w:rPr>
                <w:sz w:val="20"/>
                <w:szCs w:val="20"/>
                <w:color w:val="auto"/>
              </w:rPr>
            </w:pPr>
            <w:r>
              <w:rPr>
                <w:rFonts w:ascii="Arial" w:cs="Arial" w:eastAsia="Arial" w:hAnsi="Arial"/>
                <w:sz w:val="14"/>
                <w:szCs w:val="14"/>
                <w:color w:val="auto"/>
                <w:w w:val="90"/>
              </w:rPr>
              <w:t>December 31,</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1220" w:type="dxa"/>
            <w:vAlign w:val="bottom"/>
          </w:tcPr>
          <w:p>
            <w:pPr>
              <w:jc w:val="center"/>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technique</w:t>
            </w:r>
          </w:p>
        </w:tc>
        <w:tc>
          <w:tcPr>
            <w:tcW w:w="314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input/assumptions</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106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600" w:type="dxa"/>
            <w:vAlign w:val="bottom"/>
            <w:gridSpan w:val="4"/>
          </w:tcPr>
          <w:p>
            <w:pPr>
              <w:spacing w:after="0"/>
              <w:rPr>
                <w:sz w:val="20"/>
                <w:szCs w:val="20"/>
                <w:color w:val="auto"/>
              </w:rPr>
            </w:pPr>
            <w:r>
              <w:rPr>
                <w:rFonts w:ascii="Arial" w:cs="Arial" w:eastAsia="Arial" w:hAnsi="Arial"/>
                <w:sz w:val="18"/>
                <w:szCs w:val="18"/>
                <w:color w:val="auto"/>
              </w:rPr>
              <w:t>Privately issued mortgage–backed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Two</w:t>
            </w: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jc w:val="right"/>
              <w:ind w:right="2668"/>
              <w:spacing w:after="0"/>
              <w:rPr>
                <w:sz w:val="20"/>
                <w:szCs w:val="20"/>
                <w:color w:val="auto"/>
              </w:rPr>
            </w:pPr>
            <w:r>
              <w:rPr>
                <w:rFonts w:ascii="Arial" w:cs="Arial" w:eastAsia="Arial" w:hAnsi="Arial"/>
                <w:sz w:val="18"/>
                <w:szCs w:val="18"/>
                <w:color w:val="auto"/>
              </w:rPr>
              <w:t>securities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independent</w:t>
            </w: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pricing</w:t>
            </w: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quotes</w:t>
            </w:r>
          </w:p>
        </w:tc>
        <w:tc>
          <w:tcPr>
            <w:tcW w:w="31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Discounted</w:t>
            </w:r>
          </w:p>
        </w:tc>
        <w:tc>
          <w:tcPr>
            <w:tcW w:w="2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47,393</w:t>
            </w:r>
          </w:p>
        </w:tc>
        <w:tc>
          <w:tcPr>
            <w:tcW w:w="1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cash flow</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default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10%-56%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Loss severity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Discounted</w:t>
            </w:r>
          </w:p>
        </w:tc>
        <w:tc>
          <w:tcPr>
            <w:tcW w:w="2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9,879</w:t>
            </w:r>
          </w:p>
        </w:tc>
        <w:tc>
          <w:tcPr>
            <w:tcW w:w="1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cash flow</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 expirations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0%-60% (39%)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would generally result in a lower (higher) fair value measurement.</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March 31, 2016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rPr>
              <w:t>Carrying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3" w:lineRule="exact"/>
              <w:rPr>
                <w:sz w:val="20"/>
                <w:szCs w:val="20"/>
                <w:color w:val="auto"/>
              </w:rPr>
            </w:pPr>
            <w:r>
              <w:rPr>
                <w:rFonts w:ascii="Arial" w:cs="Arial" w:eastAsia="Arial" w:hAnsi="Arial"/>
                <w:sz w:val="14"/>
                <w:szCs w:val="14"/>
                <w:color w:val="auto"/>
              </w:rPr>
              <w:t>Estimated</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1,178,175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1,178,175</w:t>
            </w:r>
          </w:p>
        </w:tc>
        <w:tc>
          <w:tcPr>
            <w:tcW w:w="1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$1,112,933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65,242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9,545,181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9,545,181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9,545,181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467,987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467,987</w:t>
            </w:r>
          </w:p>
        </w:tc>
        <w:tc>
          <w:tcPr>
            <w:tcW w:w="1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69,689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398,298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15,467,320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15,506,052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15,256,530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21,226,577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20,875,827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20,875,827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29,713,293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29,569,740</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29,442,004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25,299,638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25,386,240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4,590,667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20,795,573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11,632,958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11,553,135</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11,553,135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(962,752)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86,909,714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87,384,942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82,666,539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(29,709,218)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(29,709,218)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(29,709,218)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Savings and interest-checking deposits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(51,497,240)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(51,497,240)</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(51,497,240)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(12,841,331)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(12,879,619)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(12,879,619)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(166,787)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(166,787)</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(166,787)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(1,766,826)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(1,766,826)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(1,766,826)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(10,341,035)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(10,338,217)</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(10,338,217)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(295,869)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(295,869)</w:t>
            </w: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(295,869)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16,885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16,885</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(118,521)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(118,521)</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(118,521)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41,259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41,259</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520" w:type="dxa"/>
            <w:vAlign w:val="bottom"/>
            <w:gridSpan w:val="3"/>
          </w:tcPr>
          <w:p>
            <w:pPr>
              <w:jc w:val="right"/>
              <w:ind w:right="431"/>
              <w:spacing w:after="0"/>
              <w:rPr>
                <w:sz w:val="20"/>
                <w:szCs w:val="20"/>
                <w:color w:val="auto"/>
              </w:rPr>
            </w:pPr>
            <w:r>
              <w:rPr>
                <w:rFonts w:ascii="Arial" w:cs="Arial" w:eastAsia="Arial" w:hAnsi="Arial"/>
                <w:sz w:val="18"/>
                <w:szCs w:val="18"/>
                <w:color w:val="auto"/>
              </w:rPr>
              <w:t>- 43 -</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2"/>
              </w:rPr>
              <w:t>December 31, 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96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1,368,040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1,368,040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$1,276,678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91,362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7,594,350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7,594,350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7,594,350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273,783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273,783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56,763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217,020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15,656,439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15,660,877</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15,406,404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20,422,338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20,146,201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20,146,201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29,197,311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29,044,244</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38,774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29,005,470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26,270,103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26,267,771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21,539,955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11,599,747</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11,550,270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11,550,270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(955,992)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86,533,507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87,008,486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4,766,590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82,241,896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306,496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306,496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(29,110,635)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(29,110,635)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(29,110,635)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(49,566,644)</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(49,566,644)</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(49,566,644)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(13,110,392)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(13,135,042)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(13,135,042)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(170,170)</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(170,170)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(170,170)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(2,132,182)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(2,132,182)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(2,132,182)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(10,653,858)</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(10,639,556)</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(10,639,556)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(85,145)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(160,745)</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(160,745)</w:t>
            </w:r>
          </w:p>
        </w:tc>
        <w:tc>
          <w:tcPr>
            <w:tcW w:w="2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(160,745)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9,879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9,879</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(122,334)</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(122,334)</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(122,334)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43,892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43,892</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43,892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9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80" w:type="dxa"/>
            <w:vAlign w:val="bottom"/>
            <w:gridSpan w:val="2"/>
          </w:tcPr>
          <w:p>
            <w:pPr>
              <w:jc w:val="right"/>
              <w:ind w:right="468"/>
              <w:spacing w:after="0"/>
              <w:rPr>
                <w:sz w:val="20"/>
                <w:szCs w:val="20"/>
                <w:color w:val="auto"/>
              </w:rPr>
            </w:pPr>
            <w:r>
              <w:rPr>
                <w:rFonts w:ascii="Arial" w:cs="Arial" w:eastAsia="Arial" w:hAnsi="Arial"/>
                <w:sz w:val="14"/>
                <w:szCs w:val="14"/>
                <w:color w:val="auto"/>
              </w:rPr>
              <w:t>2016</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Home equity lines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$ 5,604,610</w:t>
            </w:r>
          </w:p>
        </w:tc>
        <w:tc>
          <w:tcPr>
            <w:tcW w:w="1080" w:type="dxa"/>
            <w:vAlign w:val="bottom"/>
          </w:tcPr>
          <w:p>
            <w:pPr>
              <w:jc w:val="right"/>
              <w:spacing w:after="0"/>
              <w:rPr>
                <w:sz w:val="20"/>
                <w:szCs w:val="20"/>
                <w:color w:val="auto"/>
              </w:rPr>
            </w:pPr>
            <w:r>
              <w:rPr>
                <w:rFonts w:ascii="Arial" w:cs="Arial" w:eastAsia="Arial" w:hAnsi="Arial"/>
                <w:sz w:val="18"/>
                <w:szCs w:val="18"/>
                <w:color w:val="auto"/>
              </w:rPr>
              <w:t>5,631,680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184,198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commercial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5,727,946</w:t>
            </w:r>
          </w:p>
        </w:tc>
        <w:tc>
          <w:tcPr>
            <w:tcW w:w="1080" w:type="dxa"/>
            <w:vAlign w:val="bottom"/>
          </w:tcPr>
          <w:p>
            <w:pPr>
              <w:jc w:val="right"/>
              <w:spacing w:after="0"/>
              <w:rPr>
                <w:sz w:val="20"/>
                <w:szCs w:val="20"/>
                <w:color w:val="auto"/>
              </w:rPr>
            </w:pPr>
            <w:r>
              <w:rPr>
                <w:rFonts w:ascii="Arial" w:cs="Arial" w:eastAsia="Arial" w:hAnsi="Arial"/>
                <w:sz w:val="18"/>
                <w:szCs w:val="18"/>
                <w:color w:val="auto"/>
              </w:rPr>
              <w:t>5,949,933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520,694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residential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281,735</w:t>
            </w:r>
          </w:p>
        </w:tc>
        <w:tc>
          <w:tcPr>
            <w:tcW w:w="1080" w:type="dxa"/>
            <w:vAlign w:val="bottom"/>
          </w:tcPr>
          <w:p>
            <w:pPr>
              <w:jc w:val="right"/>
              <w:spacing w:after="0"/>
              <w:rPr>
                <w:sz w:val="20"/>
                <w:szCs w:val="20"/>
                <w:color w:val="auto"/>
              </w:rPr>
            </w:pPr>
            <w:r>
              <w:rPr>
                <w:rFonts w:ascii="Arial" w:cs="Arial" w:eastAsia="Arial" w:hAnsi="Arial"/>
                <w:sz w:val="18"/>
                <w:szCs w:val="18"/>
                <w:color w:val="auto"/>
              </w:rPr>
              <w:t>212,619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other</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12,077,612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3,330,241</w:t>
            </w:r>
          </w:p>
        </w:tc>
        <w:tc>
          <w:tcPr>
            <w:tcW w:w="1080" w:type="dxa"/>
            <w:vAlign w:val="bottom"/>
          </w:tcPr>
          <w:p>
            <w:pPr>
              <w:jc w:val="right"/>
              <w:spacing w:after="0"/>
              <w:rPr>
                <w:sz w:val="20"/>
                <w:szCs w:val="20"/>
                <w:color w:val="auto"/>
              </w:rPr>
            </w:pPr>
            <w:r>
              <w:rPr>
                <w:rFonts w:ascii="Arial" w:cs="Arial" w:eastAsia="Arial" w:hAnsi="Arial"/>
                <w:sz w:val="18"/>
                <w:szCs w:val="18"/>
                <w:color w:val="auto"/>
              </w:rPr>
              <w:t>3,330,013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45,798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2,773,590</w:t>
            </w:r>
          </w:p>
        </w:tc>
        <w:tc>
          <w:tcPr>
            <w:tcW w:w="1080" w:type="dxa"/>
            <w:vAlign w:val="bottom"/>
          </w:tcPr>
          <w:p>
            <w:pPr>
              <w:jc w:val="right"/>
              <w:spacing w:after="0"/>
              <w:rPr>
                <w:sz w:val="20"/>
                <w:szCs w:val="20"/>
                <w:color w:val="auto"/>
              </w:rPr>
            </w:pPr>
            <w:r>
              <w:rPr>
                <w:rFonts w:ascii="Arial" w:cs="Arial" w:eastAsia="Arial" w:hAnsi="Arial"/>
                <w:sz w:val="18"/>
                <w:szCs w:val="18"/>
                <w:color w:val="auto"/>
              </w:rPr>
              <w:t>2,794,322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958,337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of credit is essentially the same as that involved with extending loans to customers and is subject to normal credit policies. Collateral may be obtained based on management’s assessment of the customer’s creditworthiness.</w:t>
      </w:r>
    </w:p>
    <w:p>
      <w:pPr>
        <w:spacing w:after="0" w:line="18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$2.6 billion and $2.5 billion at March 31, 2016 and December 31, 2015, respectively.</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Subject to the outcome of the matter discussed in the following paragraph, at March 31, 2016, management believes that any further liability arising out of the Company’s obligation to loan purchasers is not material to the Company’s consolidated financial position.</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is the subject of an investigation by government agencies relating to the origination of Federal Housing Administration (“FHA”) insured residential home loans and residential home loans sold to Freddie Mac and Fannie Mae. A number of other U.S. financial institutions have announced similar investigations. Regarding FHA loans, the U.S. Department of Housing and Urban Development (“HUD”) Office of Inspector General and the Department of Justice (collectively, the “Government”) are investigating whether the Company complied with underwriting guidelines concerning certain loans where HUD paid FHA insurance claims. The Company is fully cooperating with the investigation. The Government has advised the Company that based upon its review of a sample of loans for which an FHA insurance claim was paid by HUD, some of the loans do not meet underwriting guidelines. The Company, based on its own review of the sample, does not agree with the sampling methodology and loan analysis employed by the Government. Regarding loans originated by the Company and sold to Freddie Mac and Fannie Mae, the investigation concerns whether the mortgages sold to Freddie Mac and Fannie Mae comply with applicable underwriting guidelines. The Company is also cooperating with that portion of the investigation. The investigation could lead to claims by the Government under the False Claims Act and the Financial Institutions Reform, Recovery, and Enforcement Act of 1989, which allow treble and other special damages substantially in excess of actual losses. Remedies in these proceedings or settlements may include restitution, fines, penalties, or alterations in the Company’s business practices. The Company and the Government continue settlement discussions regarding the investigation and although progress has been made, the parties have not yet reached a definitive agreement. Based upon the current status of these negotiations, management expects that this potential settlement should not have a material impact on the Company’s consolidated financial condition or results of operations in future periods.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1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Reportable segments have been determined based upon the Company’s internal profitability reporting system, which is organized by strategic business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of Notes to Financial Statements in the 2015 Annual Report. 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Effective July 1, 2015, the Company changed its internal profitability reporting to move a builder and developer lending unit from the Residential Mortgage Banking segment to the Commercial Real Estate segment. Accordingly, financial information presented herein for the three-month period ended March 31, 2015 has been reclassified to conform to the current presentation. As a result, total revenues and net income decreased in the Residential Mortgage Banking segment and increased in the Commercial Real Estate segment by $6 million and $3 million, respectively, for the three-month period ended March 31, 2015 from that which was previously reported.</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also described in note 22 in the 2015 Annual Report,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color w:val="auto"/>
                <w:w w:val="91"/>
              </w:rPr>
              <w:t>Three months ended March 31</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ind w:left="140"/>
              <w:spacing w:after="0" w:line="123" w:lineRule="exact"/>
              <w:rPr>
                <w:sz w:val="20"/>
                <w:szCs w:val="20"/>
                <w:color w:val="auto"/>
              </w:rPr>
            </w:pPr>
            <w:r>
              <w:rPr>
                <w:rFonts w:ascii="Arial" w:cs="Arial" w:eastAsia="Arial" w:hAnsi="Arial"/>
                <w:sz w:val="14"/>
                <w:szCs w:val="14"/>
                <w:color w:val="auto"/>
              </w:rPr>
              <w:t>Inter-</w:t>
            </w:r>
          </w:p>
        </w:tc>
        <w:tc>
          <w:tcPr>
            <w:tcW w:w="14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Inter-</w:t>
            </w: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segment</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segment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income</w:t>
            </w:r>
          </w:p>
        </w:tc>
      </w:tr>
      <w:tr>
        <w:trPr>
          <w:trHeight w:val="167"/>
        </w:trPr>
        <w:tc>
          <w:tcPr>
            <w:tcW w:w="608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revenues(a)</w:t>
            </w: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revenues(a)</w:t>
            </w: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r>
      <w:tr>
        <w:trPr>
          <w:trHeight w:val="142"/>
        </w:trPr>
        <w:tc>
          <w:tcPr>
            <w:tcW w:w="6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jc w:val="center"/>
              <w:ind w:right="400"/>
              <w:spacing w:after="0" w:line="142" w:lineRule="exact"/>
              <w:rPr>
                <w:sz w:val="20"/>
                <w:szCs w:val="20"/>
                <w:color w:val="auto"/>
              </w:rPr>
            </w:pPr>
            <w:r>
              <w:rPr>
                <w:rFonts w:ascii="Arial" w:cs="Arial" w:eastAsia="Arial" w:hAnsi="Arial"/>
                <w:sz w:val="14"/>
                <w:szCs w:val="14"/>
                <w:color w:val="auto"/>
                <w:w w:val="92"/>
              </w:rPr>
              <w:t>(in thousands)</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113,689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108,560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253,617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101,327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246,581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96,423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169,021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82,591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86,835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(14,323)</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39,988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15,474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(5,443)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5,954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96,935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19,660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17,077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105,757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339,046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3,014</w:t>
            </w:r>
          </w:p>
        </w:tc>
        <w:tc>
          <w:tcPr>
            <w:tcW w:w="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63,288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300,391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3,137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68,888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225,395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(10,785)</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154,007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(11,293)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(66,514)</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1,292,897</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298,528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1,099,791</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241,613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w w:val="99"/>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6"/>
          </w:tcPr>
          <w:p>
            <w:pPr>
              <w:jc w:val="right"/>
              <w:ind w:right="840"/>
              <w:spacing w:after="0" w:line="123" w:lineRule="exact"/>
              <w:rPr>
                <w:sz w:val="20"/>
                <w:szCs w:val="20"/>
                <w:color w:val="auto"/>
              </w:rPr>
            </w:pPr>
            <w:r>
              <w:rPr>
                <w:rFonts w:ascii="Arial" w:cs="Arial" w:eastAsia="Arial" w:hAnsi="Arial"/>
                <w:sz w:val="14"/>
                <w:szCs w:val="14"/>
                <w:color w:val="auto"/>
              </w:rPr>
              <w:t>Three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tcPr>
          <w:p>
            <w:pPr>
              <w:jc w:val="right"/>
              <w:ind w:right="1160"/>
              <w:spacing w:after="0" w:line="149" w:lineRule="exact"/>
              <w:rPr>
                <w:sz w:val="20"/>
                <w:szCs w:val="20"/>
                <w:color w:val="auto"/>
              </w:rPr>
            </w:pPr>
            <w:r>
              <w:rPr>
                <w:rFonts w:ascii="Arial" w:cs="Arial" w:eastAsia="Arial" w:hAnsi="Arial"/>
                <w:sz w:val="14"/>
                <w:szCs w:val="14"/>
                <w:color w:val="auto"/>
              </w:rPr>
              <w:t>March 31</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r>
      <w:tr>
        <w:trPr>
          <w:trHeight w:val="167"/>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2015</w:t>
            </w: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5,424</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5,300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24,838</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23,683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24,143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18,334(b)</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42,509</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22,714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26,648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3,197(b)</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10,788</w:t>
            </w:r>
          </w:p>
        </w:tc>
        <w:tc>
          <w:tcPr>
            <w:tcW w:w="780" w:type="dxa"/>
            <w:vAlign w:val="bottom"/>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16,427</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11,876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12,870</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123,252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95,892</w:t>
            </w:r>
          </w:p>
        </w:tc>
        <w:tc>
          <w:tcPr>
            <w:tcW w:w="6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101,780</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140" w:hanging="452"/>
        <w:spacing w:after="0" w:line="312" w:lineRule="auto"/>
        <w:tabs>
          <w:tab w:leader="none" w:pos="46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w:t>
      </w:r>
    </w:p>
    <w:p>
      <w:pPr>
        <w:spacing w:after="0" w:line="79" w:lineRule="exact"/>
        <w:rPr>
          <w:rFonts w:ascii="Arial" w:cs="Arial" w:eastAsia="Arial" w:hAnsi="Arial"/>
          <w:sz w:val="16"/>
          <w:szCs w:val="16"/>
          <w:i w:val="1"/>
          <w:iCs w:val="1"/>
          <w:color w:val="auto"/>
        </w:rPr>
      </w:pPr>
    </w:p>
    <w:p>
      <w:pPr>
        <w:ind w:left="5620" w:hanging="101"/>
        <w:spacing w:after="0"/>
        <w:tabs>
          <w:tab w:leader="none" w:pos="5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2"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i w:val="1"/>
          <w:iCs w:val="1"/>
          <w:color w:val="auto"/>
        </w:rPr>
        <w:t>(e.g. deposits). The taxable-equivalent adjustment aggregated $6,332,000 and $5,838,000 for the three-month periods ended March 31, 2016 and 2015, respectively, and is eliminated in “All Other” total revenues. Intersegment revenues are included in total revenues of the reportable segments. The elimination of intersegment revenues is included in the determination of “All Other” total revenues.</w:t>
      </w:r>
    </w:p>
    <w:p>
      <w:pPr>
        <w:jc w:val="both"/>
        <w:ind w:left="460" w:right="60" w:hanging="452"/>
        <w:spacing w:after="0" w:line="277" w:lineRule="auto"/>
        <w:tabs>
          <w:tab w:leader="none" w:pos="46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Average assets of the Commercial Real Estate and Residential Mortgage Banking segments for the three-month period ended March 31, 2015 differ by approximately $315 million from the previously reported balances reflecting the noted change in the Company’s internal profitability reporting to move a builder and developer lending unit from the Residential Mortgage Banking segment to the Commercial Real Estate segment.</w:t>
      </w:r>
    </w:p>
    <w:p>
      <w:pPr>
        <w:spacing w:after="0" w:line="31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$20 million at March 31, 2016.</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$4.0 billion and $4.1 billion at March 31, 2016 and December 31, 2015, respectively. Revenues from those servicing rights were $5 million and $6 million during the three-month periods ended March 31, 2016 and 2015, respectively. The Company sub-services residential real estate loans for Bayview Financial having outstanding principal balances totaling $36.3 billion and $37.7 billion at March 31, 2016 and December 31, 2015, respectively. Revenues earned for sub-servicing loans for Bayview Financial were $23 million and $35 million for the three-month periods ended March 31, 2016 and 2015, respectively. In addition, the Company held $175 million and $181 million of mortgage-backed securities in its held-to-maturity portfolio at March 31, 2016 and December 31, 2015, respectively, that were securitized by Bayview Financial.</w:t>
      </w:r>
    </w:p>
    <w:p>
      <w:pPr>
        <w:spacing w:after="0" w:line="326"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Sale of trust accounts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2015, the Company sold the trade processing business within the retirement services division of its Institutional Client Services business. That sale resulted in an after-tax gain of $23 million ($45 million pre-tax) that reflected the allocation of approximately $11 million of previously recorded goodwill to the divested business. Revenues of the sold business had been included in “trust income” and were $9 million during the three months ended March 31, 2015. After considering related expenses, net income attributable to the business that was sold was not material to the consolidated results of operations of the Company during the first quarter of 2015.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income for M&amp;T Bank Corporation (“M&amp;T”) in the first quarter of 2016 was $299 million or $1.73 of diluted earnings per common share, compared with $242 million or $1.65 of diluted earnings per common share in the initial 2015 quarter. During the fourth quarter of 2015, net income totaled $271 million or $1.65 of diluted earnings per common share. Basic earnings per common share were $1.74 in the recent quarter, compared with $1.66 and $1.65 in the first and fourth quarters of 2015, respectively. The annualized rate of return on average total assets for M&amp;T and its consolidated subsidiaries (“the Company”) in the initial 2016 quarter was .97%, compared with 1.02% in the year-earlier quarter and .93% in the fourth quarter of 2015. The annualized rate of return on average common shareholders’ equity was 7.44% in the first three months of 2016, compared with 7.99% and 7.22% in the first and fourth quarters of 2015, respectively.</w:t>
      </w:r>
    </w:p>
    <w:p>
      <w:pPr>
        <w:spacing w:after="0" w:line="18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On November 1, 2015, M&amp;T completed its acquisition of Hudson City Bancorp, Inc. (“Hudson City”). Immediately following completion of the merger, Hudson City Savings Bank merged with and into M&amp;T Bank, the principal bank subsidiary of M&amp;T. Pursuant to the merger agreement, M&amp;T paid cash consideration of $2.1 billion and issued 25,953,950 shares of M&amp;T common stock in exchange for Hudson City shares outstanding at the time of acquisition. Assets acquired totaled approximately $36.7 billion, including $19.0 billion of loans and leases (including approximately $234 million of commercial real estate loans, $18.6 billion of residential real estate loans and $162 million of consumer loans). Liabilities assumed aggregated $31.5 billion, including $17.9 billion of deposits and $13.2 billion of borrowings. Immediately following the acquisition, the Company restructured its balance sheet by selling $5.8 billion of investment securities obtained in the acquisition and repaying $10.6 billion of borrowings assumed in the transaction. The common stock issued added $3.1 billion to M&amp;T’s common shareholders’ equity. In connection with the acquisition, the Company recorded $1.1 billion of goodwill and $132 million of core deposit intangible asset.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transactions and commencing operations in new markets and offices. Those acquisition and integration-related expenses (herein referred to as merger-related expenses) totaled $23 million ($14 million after-tax effect) in the first quarter of 2016 ($.09 per diluted common share), compared with $97 million ($61 million after-tax effect) in the fourth quarter of 2015 ($.40 per diluted common share). There were no merger-related expenses in the first quarter of 2015. Reflected in merger-related expenses in the fourth quarter of 2015 was a provision for credit losses of $21 million. GAAP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provides that an allowance for credit losses associated with probable incurred losses on loans acquired at a premium be recognized. Given the recognition of such losses above and beyond the impact of forecasted losses used in determining the fair value of acquired loans, the Company considers that provision to be a merger-related expense. Although “net operating income” as defined by M&amp;T is not a GAAP measure, M&amp;T’s management believes that this information helps investors understand the effect of acquisition activity in reported results.</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Net operating income aggregated $320 million in the initial quarter of 2016, compared with $246 million in the first quarter of 2015. Diluted net operating earnings per common share for the recent quarter were $1.87, compared with $1.68 in the year-earlier quarter. Net operating income and diluted net operating earnings per common share were $338 million and $2.09, respectively, in the final 2015 quarter.</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Net operating income in the first quarter of 2016 expressed as an annualized rate of return on average tangible assets was 1.09%, compared with 1.08% and 1.21% in the first and fourth quarters of 2015, respectively. Net operating income represented an annualized return on average tangible common equity of 11.62% in the recent quarter, compared with 11.90% in the year-earlier quarter and 13.26% in the fourth quarter of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Taxable-equivalent net interest income was $878 million in the first quarter of 2016, up 32% from $665 million in the year-earlier period. That growth resulted predominantly from the impact of higher average earning assets, which rose $26.0 billion, or 31%, to $111.2 billion in the recent quarter from $85.2 billion in the first quarter of 2015. The higher level of average earning assets in the initial 2016 quarter reflected a $21.0 billion increase in average loans and leases (due predominantly to the Hudson City acquisition, which added $18.1 billion to average loans), a $3.1 billion increase in average interest-bearing deposits at the Federal Reserve Bank of New York and a $2.0 billion rise in average balances of investment securities. As compared with 2015’s initial quarter, there was a one basis point (hundredth of one percent) widening of the Company’s net interest margin, or taxable-equivalent net interest income expressed as an annualized percentage of average earning assets, in the recent quarter to 3.18%. Taxable-equivalent net interest income in the recent quarter rose $65 million from the $813 million recorded in the fourth quarter of 2015, largely due to the full-quarter impact of the Hudson City transaction, and a 6 basis point widening of the net interest margin. Contributing to that widening was the full-quarter impact of the increase in interest rates initiated by the Federal Reserve in mid-December 2015.</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Average loans and leases rose $21.0 billion or 32% to $87.6 billion in the initial 2016 quarter from $66.6 billion in the first quarter of</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2015. Commercial loans and leases averaged $20.7 billion in the first quarter of 2016, up $1.3 billion or 6% from $19.5 billion in the first quarter of 2015. Average commercial real estate loans increased 7% or $1.8 billion to $29.4 billion in the recent quarter from $27.6 billion in the initial 2015 quarter. Reflecting average balances of $17.7 billion of loans obtained in the Hudson City acquisition, average residential real estate loans increased to $25.9 billion in the initial quarter of 2016 from $8.6 billion in the first quarter of 2015. Included in those amounts were residential real estate loans held for sale, which averaged $323 million in the recent quarter and $387 million in the year-earlier quarter. Average consumer loans totaled $11.6 billion in the first quarter of 2016, up $620 million or 6% from $11.0 billion in the year-earlier quarter predominantly due to growth in average automobile loan balances.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Average loan balances in the first quarter of 2016 increased $6.5 billion from $81.1 billion in the fourth quarter of 2015. Average outstanding commercial loan and lease balances rose $497 million, or 2%, average balances of commercial real estate loans increased $452 million, or 2%, average residential real estate loan balances were up $5.5 billion, or 27%, and average outstanding consumer loans increased $35 million from the final 2015 quarter. The growth in the residential real estate loan category resulted from the full-quarter impact of loans obtained in the acquisition of Hudson City. The accompanying table summarizes quarterly changes in the major components of the loan and lease portfolio.</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33" w:lineRule="exact"/>
        <w:rPr>
          <w:sz w:val="20"/>
          <w:szCs w:val="20"/>
          <w:color w:val="auto"/>
        </w:rPr>
      </w:pPr>
    </w:p>
    <w:p>
      <w:pPr>
        <w:ind w:left="9080"/>
        <w:spacing w:after="0"/>
        <w:rPr>
          <w:sz w:val="20"/>
          <w:szCs w:val="20"/>
          <w:color w:val="auto"/>
        </w:rPr>
      </w:pPr>
      <w:r>
        <w:rPr>
          <w:rFonts w:ascii="Arial" w:cs="Arial" w:eastAsia="Arial" w:hAnsi="Arial"/>
          <w:sz w:val="14"/>
          <w:szCs w:val="14"/>
          <w:color w:val="auto"/>
        </w:rPr>
        <w:t>Percent increase</w:t>
      </w:r>
    </w:p>
    <w:p>
      <w:pPr>
        <w:ind w:left="9100"/>
        <w:spacing w:after="0"/>
        <w:rPr>
          <w:sz w:val="20"/>
          <w:szCs w:val="20"/>
          <w:color w:val="auto"/>
        </w:rPr>
      </w:pPr>
      <w:r>
        <w:rPr>
          <w:rFonts w:ascii="Arial" w:cs="Arial" w:eastAsia="Arial" w:hAnsi="Arial"/>
          <w:sz w:val="14"/>
          <w:szCs w:val="14"/>
          <w:color w:val="auto"/>
        </w:rPr>
        <w:t>(decrease) from</w:t>
      </w:r>
    </w:p>
    <w:tbl>
      <w:tblPr>
        <w:tblLayout w:type="fixed"/>
        <w:tblInd w:w="920" w:type="dxa"/>
        <w:tblCellMar>
          <w:top w:w="0" w:type="dxa"/>
          <w:left w:w="0" w:type="dxa"/>
          <w:bottom w:w="0" w:type="dxa"/>
          <w:right w:w="0" w:type="dxa"/>
        </w:tblCellMar>
      </w:tblPr>
      <w:tr>
        <w:trPr>
          <w:trHeight w:val="138"/>
        </w:trPr>
        <w:tc>
          <w:tcPr>
            <w:tcW w:w="6780" w:type="dxa"/>
            <w:vAlign w:val="bottom"/>
          </w:tcPr>
          <w:p>
            <w:pPr>
              <w:spacing w:after="0"/>
              <w:rPr>
                <w:sz w:val="11"/>
                <w:szCs w:val="11"/>
                <w:color w:val="auto"/>
              </w:rPr>
            </w:pPr>
          </w:p>
        </w:tc>
        <w:tc>
          <w:tcPr>
            <w:tcW w:w="110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rPr>
              <w:t>1st Qtr.</w:t>
            </w:r>
          </w:p>
        </w:tc>
        <w:tc>
          <w:tcPr>
            <w:tcW w:w="1060" w:type="dxa"/>
            <w:vAlign w:val="bottom"/>
            <w:gridSpan w:val="2"/>
          </w:tcPr>
          <w:p>
            <w:pPr>
              <w:jc w:val="right"/>
              <w:ind w:right="640"/>
              <w:spacing w:after="0" w:line="138" w:lineRule="exact"/>
              <w:rPr>
                <w:sz w:val="20"/>
                <w:szCs w:val="20"/>
                <w:color w:val="auto"/>
              </w:rPr>
            </w:pPr>
            <w:r>
              <w:rPr>
                <w:rFonts w:ascii="Arial" w:cs="Arial" w:eastAsia="Arial" w:hAnsi="Arial"/>
                <w:sz w:val="14"/>
                <w:szCs w:val="14"/>
                <w:color w:val="auto"/>
                <w:w w:val="87"/>
              </w:rPr>
              <w:t>1st Qtr.</w:t>
            </w:r>
          </w:p>
        </w:tc>
        <w:tc>
          <w:tcPr>
            <w:tcW w:w="64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89"/>
              </w:rPr>
              <w:t>4th Qtr.</w:t>
            </w:r>
          </w:p>
        </w:tc>
      </w:tr>
      <w:tr>
        <w:trPr>
          <w:trHeight w:val="167"/>
        </w:trPr>
        <w:tc>
          <w:tcPr>
            <w:tcW w:w="67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2016</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6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$20,717</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29,426</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25,859</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Consumer</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2,573</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Home equity lines and loans</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5,903</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3,106</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30"/>
        </w:trPr>
        <w:tc>
          <w:tcPr>
            <w:tcW w:w="6780" w:type="dxa"/>
            <w:vAlign w:val="bottom"/>
          </w:tcPr>
          <w:p>
            <w:pPr>
              <w:ind w:left="720"/>
              <w:spacing w:after="0"/>
              <w:rPr>
                <w:sz w:val="20"/>
                <w:szCs w:val="20"/>
                <w:color w:val="auto"/>
              </w:rPr>
            </w:pPr>
            <w:r>
              <w:rPr>
                <w:rFonts w:ascii="Arial" w:cs="Arial" w:eastAsia="Arial" w:hAnsi="Arial"/>
                <w:sz w:val="18"/>
                <w:szCs w:val="18"/>
                <w:color w:val="auto"/>
              </w:rPr>
              <w:t>Total consumer</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11,582</w:t>
            </w:r>
          </w:p>
        </w:tc>
        <w:tc>
          <w:tcPr>
            <w:tcW w:w="5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16"/>
        </w:trPr>
        <w:tc>
          <w:tcPr>
            <w:tcW w:w="67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87,584</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0"/>
        </w:trPr>
        <w:tc>
          <w:tcPr>
            <w:tcW w:w="6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investment securities portfolio averaged $15.3 billion in the recent quarter, up $2.0 billion or 15% from $13.4 billion in the initial quarter of 2015. Investment securities averaged $15.8 billion in the fourth quarter of 2015. The increase from the year-earlier quarter reflects mortgage-backed securities retained from the acquisition of Hudson City and the net effect of purchases, partially offset by maturities and paydowns of mortgage-backed securities. The Company purchased approximately $3.5 billion of Fannie Mae and Ginnie Mae securities that were added to the investment securities portfolio during 2015, and another $305 million of Fannie Mae and Ginnie Mae securities that were purchased during the first quarter of 2016. Those purchases reflect increased holdings of investment securities to satisfy the requirements of the U.S. version of the Basel Committee’s Liquidity Coverage Ratio requirements (“LCR”) that became effective in January 2016.</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also considers its liquidity position and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The Hudson City acquisition added approximately $7.9 billion to the investment securities portfolio on the November 1, 2015 acquisition date. As noted earlier, immediately following the acquisition of Hudson City, the Company restructured its balance sheet by selling $5.8 billion of those securities.</w:t>
      </w:r>
    </w:p>
    <w:p>
      <w:pPr>
        <w:spacing w:after="0" w:line="179" w:lineRule="exact"/>
        <w:rPr>
          <w:sz w:val="20"/>
          <w:szCs w:val="20"/>
          <w:color w:val="auto"/>
        </w:rPr>
      </w:pPr>
    </w:p>
    <w:p>
      <w:pPr>
        <w:jc w:val="both"/>
        <w:ind w:right="700" w:firstLine="456"/>
        <w:spacing w:after="0" w:line="312"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There were no other-than-temporary impairment charges recognized in either of the first quarters of 2016 and 2015 or in the final 2015 quarter. Additional information about the investment securities portfolio is included in notes 3 and 12 of Notes to Financial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Other earning assets include interest-bearing deposits at the Federal Reserve Bank of New York and other banks, trading account assets and federal funds sold. Those other earning assets in the aggregate averaged $8.3 billion in the recently completed quarter, compared with $5.2 billion and $6.7 billion in the first and fourth quarters of 2015, respectively. Interest-bearing deposits at banks averaged $8.2 billion, $5.1 billion and $6.6 billion during the three-month periods ended March 31, 2016, March 31, 2015 and December 31, 2015, respectively. The rise in average interest-bearing deposits at banks in the recent quarter as compared with the year-earlier quarter and the fourth quarter of 2015 was due, in part, to the Company’s decision to maintain higher balances at the Federal Reserve Bank of New York rather than reinvesting in other highly liquid assets due to the current interest rate environment.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(including the LCR) and balance sheet size and resulting capital ratios.</w:t>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result of the changes described herein, average earning assets totaled $111.2 billion in the first quarter of 2016, compared with $85.2 billion in the year-earlier quarter and $103.6 billion in the fourth quarter of 2015.</w:t>
      </w:r>
    </w:p>
    <w:p>
      <w:pPr>
        <w:spacing w:after="0" w:line="17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$89.7 billion in the first quarter of 2016, compared with $70.1 billion in the year-earlier quarter and $83.3 billion in the fourth quarter of 2015. The Hudson City acquisition added approximately $17.0 billion of core deposits on November 1, 2015, including $9.7 billion of time deposits, $6.6 billion of savings deposits and $691 million of noninterest-bearing deposits. The higher average core deposits in the two most recent quarters were predominantly reflective of the impact of the merger with Hudson City. The following table provides an analysis of quarterly changes in the components of average core deposits.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4"/>
                <w:szCs w:val="14"/>
                <w:color w:val="auto"/>
              </w:rPr>
              <w:t>Percent increase from</w:t>
            </w:r>
          </w:p>
        </w:tc>
      </w:tr>
      <w:tr>
        <w:trPr>
          <w:trHeight w:val="149"/>
        </w:trPr>
        <w:tc>
          <w:tcPr>
            <w:tcW w:w="652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1st Qtr.</w:t>
            </w:r>
          </w:p>
        </w:tc>
        <w:tc>
          <w:tcPr>
            <w:tcW w:w="11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1st Qtr.</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4th Qtr.</w:t>
            </w:r>
          </w:p>
        </w:tc>
      </w:tr>
      <w:tr>
        <w:trPr>
          <w:trHeight w:val="167"/>
        </w:trPr>
        <w:tc>
          <w:tcPr>
            <w:tcW w:w="6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Interest-checking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47,805</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11,709</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28,870</w:t>
            </w:r>
          </w:p>
        </w:tc>
        <w:tc>
          <w:tcPr>
            <w:tcW w:w="5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89,717</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also receives funding from other deposit sources, including branch-related time deposits over $250,000, deposits associated with the Company’s Cayman Islands office, and brokered deposits. Time deposits over $250,000, excluding brokered certificates of deposit, averaged $1.2 billion in the recent quarter, compared with $347 million and $948 million in the first and fourth quarters of 2015, respectively. The higher averages in the two most recent quarters as compared with the initial 2015 quarter were predominantly due to deposits obtained in the acquisition of Hudson City. Cayman Islands office deposits averaged $187 million, $224 million and $223 million for the three-month periods ended March 31, 2016, March 31, 2015 and December 31, 2015, respectively. Brokered time deposits averaged $59 million in each of the recent quarter and the fourth quarter of 2015. There were no brokered time deposits in the first quarter of 2015. The Company also had brokered interest-bearing transaction and brokered money-market deposit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accounts, which in the aggregate averaged approximately $1.2 billion in each of the first quarter of 2016 and the fourth quarter of 2015, and $1.0 billion in the first quarter of 2015. The levels of brokered deposit accounts reflect the demand for such deposits, largely resulting from the desire of brokerage firms to earn reasonable yields while ensuring that customer deposits are fully insured. The level of Cayman Islands office deposits are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less than one year. Average short-term borrowings totaled $2.1 billion in the first quarter of 2016, compared with $196 million in the year-earlier quarter and $1.6 billion in the final quarter of 2015. The higher level of such borrowings in the two most recent quarters was predominantly due to short-term borrowings from the Federal Home Loan Bank of New York assumed in the Hudson City acquisition. Those short-term fixed-rate borrowings have various maturity dates throughout 2016. Included in short-term borrowings were unsecured federal funds borrowings, which generally mature on the next business day, that averaged $137 million and $147 million in the first quarters of 2016 and 2015, respectively, and $131 million in the final quarter of 2015.</w:t>
      </w:r>
    </w:p>
    <w:p>
      <w:pPr>
        <w:spacing w:after="0" w:line="16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Long-term borrowings averaged $10.5 billion in the recent quarter, compared with $9.8 billion in the year-earlier quarter and $10.7 billion in the fourth quarter of 2015. M&amp;T Bank has a Bank Note Program whereby M&amp;T Bank may offer unsecured senior and subordinated notes. Average balances of notes outstanding under that program were $5.4 billion, $4.9 billion and $5.5 billion during the three-month periods ended March 31, 2016, March 31, 2015 and December 31, 2015, respectively. The proceeds of the issuances of borrowings under the Bank Note Program have been predominantly utilized to purchase high-quality liquid assets that meet the requirements of the LCR. Also included in average long-term borrowings were amounts borrowed from various Federal Home Loan Banks of $1.2 billion in each of the initial quarters of 2016 and 2015 and in the fourth quarter of 2015. Subordinated capital notes included in long-term borrowings averaged $1.5 billion during each of the three-month periods ended March 31, 2016, March 31, 2015 and December 31, 2015. Junior subordinated debentures associated with trust preferred securities that were included in average long-term borrowings were $514 million during the two most recent quarters and $835 million in the first quarter of 2015. In accordance with its 2015 capital plan, on April 15, 2015 M&amp;T redeemed the junior subordinated debentures associated with the $310 million of trust preferred securities of M&amp;T Capital Trusts I, II and III. Those borrowings had a weighted-average interest rate of 8.24%. Additional information regarding junior subordinated debentures is provided in note 5 of Notes to Financial Statements. Also included in long-term borrowings were agreements to repurchase securities, which averaged $1.9 billion during the two most recent quarters and $1.4 billion in the first quarter of 2015. The increase from the first quarter of 2015 reflects agreements to repurchase securities assumed in connection with the Hudson City acquisition. The repurchase agreements held at March 31, 2016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March 31, 2016, interest rate swap agreements were used to hedge approximately $1.4 billion of outstanding fixed rate long-term borrowings. Further information on interest rate swap agreements is provided in note 10 of Notes to Financial Statements.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3.01% in the recent quarter and 2.97% in the first quarter of 2015. The yield on earning assets during each of the initial quarters of 2016 and 2015 was 3.54%, while the rate paid on interest-bearing liabilities decreased 4 basis points to .53% in the recent quarter from .57% in the year-earlier period. In the fourth quarter of 2015, the net interest spread was 2.94%, the yield on earning assets was 3.48% and the rate paid on interest-bearing liabilities was ..54%. The widening of the net interest spread in the recent quarter as compared with the first quarter of 2015 reflects a higher proportion of deposits and short-term borrowings as components of interest-bearing liabilities and lower rates paid on long-term borrowings. The 7 basis point improvement in the net interest spread as compared with the final 2015 quarter was largely due to the full-quarter effect of the increase in short-term interest rates initiated by the Federal Reserve in mid-December 2015 that contributed to higher yields on loans and leases.</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$35.1 billion in the first quarter of 2016, compared with $29.3 billion and $34.0 billion in the first and fourth quarters of 2015, respectively. The increases in average net interest-free funds in the two most recent quarters as compared with the first quarter of 2015 reflect higher average balances of noninterest-bearing deposits and shareholders’ equity. Those deposits averaged $28.9 billion in the recent quarter, compared with $25.8 billion and $28.4 billion in the first and fourth quarters of 2015, respectively. In connection with the acquisition of Hudson City, the Company added noninterest-bearing deposits of $691 million at the acquisition date. In addition to the impact of the merger, growth in noninterest-bearing deposits since the first quarter of 2015 was due, in part, to higher deposits of commercial and trust customers. The rise in average shareholders’ equity included $3.1 billion of common equity issued in connection with the acquisition of Hudson City as well as net retained earnings. Goodwill and core deposit and other intangible assets averaged $4.7 billion in the recent quarter, compared with $3.6 billion in the first quarter of 2015 and $4.3 billion in the fourth quarter of 2015. Goodwill of $1.1 billion and core deposit intangible of $132 million resulted from the Hudson City acquisition. The cash surrender value of bank owned life insurance averaged $1.7 billion in each of the three-month periods ended March 31, 2016, March 31, 2015 and December 31, 2015. Increases in the cash surrender value of bank owned life insurance and benefits received are not included in interest income, but rather are recorded in “other revenues from operations.” The contribution of net interest-free funds to net interest margin was .17% in the first quarter of 2016, compared with .20% in the first quarter of 2015 and .18% in the fourth quarter of 2015.</w:t>
      </w:r>
    </w:p>
    <w:p>
      <w:pPr>
        <w:spacing w:after="0" w:line="17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Reflecting the changes to the net interest spread and the contribution of net interest-free funds as described herein, the Company’s net interest margin was 3.18% in the first quarter of 2016, compared with 3.17% in the first quarter of 2015 and 3.12% in the fourth quarter of 2015.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7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$1.4 billion at each of March 31, 2016, March 31, 2015 and December 31, 2015. Under the terms of those interest rate swap agreements, the Company received payments based on the outstanding notional amount at fixed rates and made payments at variable rates. Those interest rate swap agreements were designated as fair value hedges of certain fixed rate long-term borrowings. There were no interest rate swap agreements designated as cash flow hedges at those respective dates.</w:t>
      </w:r>
    </w:p>
    <w:p>
      <w:pPr>
        <w:spacing w:after="0" w:line="17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during the quarters ended March 31, 2016, March 31, 2015 and December 31, 2015 were not material to the Company’s results of operations. The estimated aggregate fair value of interest rate swap agreements designated as fair value hedges represented gains of approximately $41 million at March 31, 2016, $73 million at March 31, 2015 and $44 million at December 31, 2015. The fair values of such interest rate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March 31, 2016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$21 million of collateral with the Company.</w:t>
      </w:r>
    </w:p>
    <w:p>
      <w:pPr>
        <w:spacing w:after="0" w:line="18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4.42% and 1.59%, respectively, at March 31, 2016.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color w:val="auto"/>
                <w:w w:val="94"/>
              </w:rPr>
              <w:t>Three months ended 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2"/>
                <w:szCs w:val="12"/>
                <w:color w:val="auto"/>
              </w:rPr>
            </w:pP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rPr>
              <w:t>Amount</w:t>
            </w: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(10,333)</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(11,277)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19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10,333</w:t>
            </w:r>
          </w:p>
        </w:tc>
        <w:tc>
          <w:tcPr>
            <w:tcW w:w="28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11,277</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The Company has, from time to time, issued subordinated capital notes and junior subordinated debentures associated with trust preferred securities to provide liquidity and enhance regulatory capital ratios. However, pursuant to the Dodd-Frank Wall Street Reform and Consumer Protection Act (“Dodd-Frank Act”), the Company’s junior subordinated debentures associated with trust preferred securities have been phased-out of the definition of Tier 1 capital. Effective January 1, 2015, 75% of such securities were excluded from the Company’s Tier 1 capital, and beginning January 1, 2016, 100% were excluded. The amounts excluded from Tier 1 capital are includable in total capital. In accordance with its 2015 capital plan, in April 2015 M&amp;T redeemed the junior subordinated debentures associated with the trust preferred securities of M&amp;T Capital Trusts I, II and III.</w:t>
      </w:r>
    </w:p>
    <w:p>
      <w:pPr>
        <w:spacing w:after="0" w:line="16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Company has informal and sometimes reciprocal sources of funding available through various arrangements for unsecured short-term borrowings from a wide group of banks and other financial institutions. Short-term federal funds borrowings were $157 million at March 31, 2016, $155 million at March 31, 2015 and $99 million at December 31, 2015. In general, those borrowings were unsecured and matured on the next business day. In addition to satisfying customer demand, Cayman Islands office deposits may be used by the Company as an alternative to short-term borrowings. Cayman Islands office deposits totaled $167 million, $179 million and $170 million at March 31, 2016, March 31, 2015 and December 31, 2015, respectively. The Company has also benefited from the placement of brokered deposits. The Company has brokered interest-bearing transaction and brokered money-market deposit accounts which aggregated approximately $1.1 billion at each of March 31, 2016 and March 31, 2015, compared with $1.2 billion at December 31, 2015. Brokered time deposits were not a significant source of funding as of those dates.</w:t>
      </w:r>
    </w:p>
    <w:p>
      <w:pPr>
        <w:spacing w:after="0" w:line="17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totaled $37 million and $11 million at March 31, 2016 and 2015, respectively, while less than $1 million were held at December 31, 2015. The total amount of VRDBs outstanding backed by M&amp;T Bank letters of credit was $1.7 billion at each of March 31, 2016 and December 31, 2015, compared with $1.9 billion at March 31, 2015. M&amp;T Bank also serves as remarketing agent for most of those bonds.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March 31, 2016 approximately $1.3 billion was available for payment of dividends to M&amp;T from banking subsidiaries. Information regarding the long-term debt obligations of M&amp;T is included in note 5 of Notes to Financial Statements.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finalized rules requiring a banking company to maintain a minimum amount of liquid assets to withstand a standardized supervisory liquidity stress scenario. The effective date for those rules for the Company was January 1, 2016, subject to a phase-in period. The Company has taken steps as noted herein to enhance its liquidity and is in compliance with the phase-in requirements of the rules.</w:t>
      </w:r>
    </w:p>
    <w:p>
      <w:pPr>
        <w:spacing w:after="0" w:line="16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5"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accompanying table as of March 31, 2016 and December 31, 2015 displays the estimated impact on net interest income from non-trading financial instruments in the base scenario described above resulting from parallel changes in interest rates across repricing categories during the first modeling year.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940" w:type="dxa"/>
            <w:vAlign w:val="bottom"/>
            <w:gridSpan w:val="6"/>
          </w:tcPr>
          <w:p>
            <w:pPr>
              <w:jc w:val="right"/>
              <w:ind w:right="66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76"/>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320" w:type="dxa"/>
            <w:vAlign w:val="bottom"/>
          </w:tcPr>
          <w:p>
            <w:pPr>
              <w:spacing w:after="0"/>
              <w:rPr>
                <w:sz w:val="15"/>
                <w:szCs w:val="15"/>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1420" w:type="dxa"/>
            <w:vAlign w:val="bottom"/>
            <w:vMerge w:val="continue"/>
          </w:tcPr>
          <w:p>
            <w:pPr>
              <w:spacing w:after="0"/>
              <w:rPr>
                <w:sz w:val="14"/>
                <w:szCs w:val="14"/>
                <w:color w:val="auto"/>
              </w:rPr>
            </w:pPr>
          </w:p>
        </w:tc>
        <w:tc>
          <w:tcPr>
            <w:tcW w:w="5660" w:type="dxa"/>
            <w:vAlign w:val="bottom"/>
            <w:gridSpan w:val="3"/>
          </w:tcPr>
          <w:p>
            <w:pPr>
              <w:jc w:val="right"/>
              <w:ind w:right="420"/>
              <w:spacing w:after="0"/>
              <w:rPr>
                <w:sz w:val="20"/>
                <w:szCs w:val="20"/>
                <w:color w:val="auto"/>
              </w:rPr>
            </w:pPr>
            <w:r>
              <w:rPr>
                <w:rFonts w:ascii="Arial" w:cs="Arial" w:eastAsia="Arial" w:hAnsi="Arial"/>
                <w:sz w:val="14"/>
                <w:szCs w:val="14"/>
                <w:color w:val="auto"/>
              </w:rPr>
              <w:t>March 31, 2016</w:t>
            </w:r>
          </w:p>
        </w:tc>
        <w:tc>
          <w:tcPr>
            <w:tcW w:w="1600" w:type="dxa"/>
            <w:vAlign w:val="bottom"/>
            <w:gridSpan w:val="4"/>
          </w:tcPr>
          <w:p>
            <w:pPr>
              <w:ind w:left="340"/>
              <w:spacing w:after="0"/>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+200 basis points</w:t>
            </w:r>
          </w:p>
        </w:tc>
        <w:tc>
          <w:tcPr>
            <w:tcW w:w="4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280,537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163,692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-50 basis points</w:t>
            </w:r>
          </w:p>
        </w:tc>
        <w:tc>
          <w:tcPr>
            <w:tcW w:w="5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(115,291)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increases in interest rates during a twelve-month period of 100 and 200 basis points, as compared with the assumed base scenario, as well as a gradual decrease of 50 basis points. In the declining rate scenario, the rate changes may be limited to lesser amounts such that interest rates remain positive at all points on the yield curve. In 2016,</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suspended the -100 basis point scenario due to the persistent low level of interest rates. This scenario will be reinstated if and when interest rates rise sufficiently to make the analysis more meaningful.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58"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6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Directors. However, as with any non-government guaranteed financial instrument, the Company is exposed to credit risk associated with counterparties to the Company’s trading account activities.</w:t>
      </w:r>
    </w:p>
    <w:p>
      <w:pPr>
        <w:spacing w:after="0" w:line="184"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notional amounts of interest rate contracts entered into for trading account purposes aggregated $18.9 billion at March 31, 2016, $17.1 billion at March 31, 2015 and $18.4 billion at December 31, 2015. The notional amounts of foreign currency and other option and futures contracts entered into for trading account purposes totaled $2.8 billion at March 31, 2016, compared with $1.4 billion and $1.6 billion at March 31 and December 31, 2015, respectively. Although the notional amounts of these contracts are not recorded in the consolidated balance sheet, the fair values of all financial instruments used for trading account activities are recorded in the consolidated balance sheet. The fair values of all trading account assets and liabilities were $468 million and $296 million, respectively, at March 31, 2016, $363 million and $240 million, respectively, at March 31, 2015, and $274 million and $161 million, respectively, at December 31, 2015. Included in trading account assets were assets related to deferred compensation plans totaling $22 million at March 31, 2016, compared with $25 million at March 31, 2015 and $24 million at December 31, 2015. Changes in the fair value of such assets are recorded as “trading account and foreign exchange gains” in the consolidated statement of income. Included in “other liabilities” in the consolidated balance sheet at March 31, 2016 were $26 million of liabilities related to deferred compensation plans, compared with $29 million and $28 million at March 31 and December 31, 2015, respectively.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was required to hold under terms of certain non-qualified supplemental retirement and other benefit plans that were assumed by the Company in various acquisitions. Those assets totaled $48 million, $24 million, and $33 million at March 31, 2016, March 31, 2015 and December 31, 2015, respectively.</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first quarter of 2016 was $49 million, compared with $38 million in the year-earlier quarter and $58 million in the fourth quarter of 2015. A $21 million provision for credit losses was recorded in the fourth quarter of 2015, in accordance with GAAP, related to loans obtained in the Hudson City acquisition that had a fair value in excess of outstanding principal. GAAP provides that an allowance for credit losses on such loans be recorded beyond the recognition of the fair value of the loans at the acquisition date. Net loan charge-offs were $42 million in the recent quarter, compared with $36 million in each of the first and fourth quarters of 2015. Net charge-offs as an annualized percentage of average loans and leases were .19% in the initial 2016 quarter, compared with .22% in the year-earlier quarter and .18% in the final 2015 quarter. A summary of net charge-offs by loan type is presented in the table that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color w:val="auto"/>
              </w:rPr>
              <w:t>First Quarter</w:t>
            </w:r>
          </w:p>
        </w:tc>
        <w:tc>
          <w:tcPr>
            <w:tcW w:w="132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Fourth Quarter</w:t>
            </w:r>
          </w:p>
        </w:tc>
      </w:tr>
      <w:tr>
        <w:trPr>
          <w:trHeight w:val="167"/>
        </w:trPr>
        <w:tc>
          <w:tcPr>
            <w:tcW w:w="5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2015</w:t>
            </w:r>
          </w:p>
        </w:tc>
        <w:tc>
          <w:tcPr>
            <w:tcW w:w="5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(1,141)</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6,094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(1,743)</w:t>
            </w: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5,085</w:t>
            </w:r>
          </w:p>
        </w:tc>
        <w:tc>
          <w:tcPr>
            <w:tcW w:w="6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2,129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37,394</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38,445</w:t>
            </w:r>
          </w:p>
        </w:tc>
      </w:tr>
      <w:tr>
        <w:trPr>
          <w:trHeight w:val="223"/>
        </w:trPr>
        <w:tc>
          <w:tcPr>
            <w:tcW w:w="5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42,240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36,189</w:t>
            </w:r>
          </w:p>
        </w:tc>
        <w:tc>
          <w:tcPr>
            <w:tcW w:w="5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35,806</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Included in net charge-offs of consumer loans and leases were net charge-offs during the quarters ended March 31, 2016, March 31, 2015 and December 31, 2015, respectively, of: automobile loans of $11 million, $4 million and $3 million; recreational vehicle loans of $12 million, $3 million and $3 million; and home equity loans and lines of credit of $5 million, $6 million and $3 million. During the first quarter of 2016, the Company charged off consumer loans associated with customers who were either deceased or had filed for bankruptcy that, in accordance with GAAP, had previously been considered when determining the level of the allowance for credit losses. Such charge-offs totaled $14 million in the recent quarter and included $11 million of loan balances with a current payment status. Net charge-offs of consumer loans in the fourth quarter of 2015 included a $20 million charge-off of a single personal usage loan obtained in a previous acquisition.</w:t>
      </w:r>
    </w:p>
    <w:p>
      <w:pPr>
        <w:spacing w:after="0" w:line="189"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Loans acquired in connection with acquisition transactions subsequent to 2008 were recorded at fair value with no carry-over of any previously - 62 -</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recorded allowance for credit losses. Determining the fair value of acquired loans requires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the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$2.3 billion, $2.4 billion and $2.5 billion at March 31, 2016, March 31, 2015 and December 31, 2015, respectively. The decrease in the recent quarter as compared with December 31, 2015 was largely attributable to payments received. The nonaccretable balance related to remaining principal losses associated with loans acquired at a discount as of March 31, 2016 and December 31, 2015 is presented in the accompanying table.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NONACCRETABLE BALANCE - PRINCIPAL</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color w:val="auto"/>
              </w:rPr>
              <w:t>Remaining balance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9"/>
              </w:rPr>
              <w:t>March 31,</w:t>
            </w:r>
          </w:p>
        </w:tc>
        <w:tc>
          <w:tcPr>
            <w:tcW w:w="132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2016</w:t>
            </w:r>
          </w:p>
        </w:tc>
        <w:tc>
          <w:tcPr>
            <w:tcW w:w="13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3"/>
          </w:tcPr>
          <w:p>
            <w:pPr>
              <w:jc w:val="right"/>
              <w:ind w:right="51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5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Consumer</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162,505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was $17.0 billion and $17.8 billion at March 31, 2016 and December 31, 2015, respectively. As noted previously, a $21 million provision for credit losses was recorded in the fourth quarter of 2015 for incurred losses inherent in those loans. GAAP does not allow the credit loss component of the net premium associated with those loans to be bifurcated and accounted for as a nonaccreting balance as is the case with purchased impaired loans and other loans acquired at a discount. Despite the fact that the determination of aggregate fair value reflects the impact of expected credit losses, GAAP provides that incurred losses in a portfolio of loans acquired at a premium be recognized even though in a relatively homogenous portfolio of residential mortgage loans the specific loans to which the losses relate cannot be individually identified at the acquisition date.</w:t>
      </w:r>
    </w:p>
    <w:p>
      <w:pPr>
        <w:spacing w:after="0" w:line="182"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color w:val="auto"/>
        </w:rPr>
        <w:t>Nonaccrual loans totaled $877 million or 1.00% of total loans and leases outstanding at March 31, 2016, compared with $791 million or 1.18% a - 63 -</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year earlier and $799 million or .91% at December 31, 2015. The increase in nonaccrual loans at the most recent quarter-end as compared with March 31, and December 31, 2015 reflects the normal migration of previously performing loans obtained in the acquisition of Hudson City that became over 90 days past due during the recent quarter and, as such, were not identifiable as purchased impaired as of the acquisition date.</w:t>
      </w:r>
    </w:p>
    <w:p>
      <w:pPr>
        <w:spacing w:after="0" w:line="16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Accruing loans past due 90 days or more (excluding loans acquired at a discount) totaled $336 million or .38% of total loans and leases at March 31, 2016, compared with $237 million or .35% at March 31, 2015 and $317 million or .36% at December 31, 2015. Those loans included loans guaranteed by government-related entities of $279 million, $194 million and $276 million at March 31, 2016, March 31, 2015 and December 31, 2015, respectively. Such guaranteed loans obtained in the acquisition of Hudson City totaled $44 million at each of March 31, 2016 and December 31, 2015. Guaranteed loans also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$226 million, $178 million and $221 million at March 31, 2016, March 31, 2015 and December 31, 2015, respectively. The remaining accruing loans past due 90 days or more not guaranteed by government-related entities were loans considered to be with creditworthy borrowers that were in the process of collection or renewal.</w:t>
      </w:r>
    </w:p>
    <w:p>
      <w:pPr>
        <w:spacing w:after="0" w:line="16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$716 million at March 31, 2016, or approximately .8% of total loans. Of that amount, $624 million is related to the Hudson City acquisition. Purchased impaired loans totaled $184 million and $768 million at March 31 and December 31, 2015, respectively.</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Accruing loans acquired at a discount past due 90 days or more are loans that could not be specifically identified as impaired as of the acquisition date, but were recorded at estimated fair value as of such date. Such loans totaled $62 million at March 31, 2016, compared with $80 million at March 31, 2015 and $68 million at December 31, 2015.</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$155 million, $153 million and $147 million at March 31, 2016, March 31, 2015 and December 31, 2015, respectively.</w:t>
      </w:r>
    </w:p>
    <w:p>
      <w:pPr>
        <w:spacing w:after="0" w:line="18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Nonaccrual commercial loans and leases aggregated $280 million at March 31, 2016, $195 million at March 31, 2015 and $242 million at December 31, 2015. The largest commercial loans placed in nonaccrual status since March 31, 2015 were a $24 million relationship with a commercial maintenance services provider with operations in New Jersey and Pennsylvania that was placed in nonaccrual status in the third quarter of 2015 and a $40 million relationship with a multi-regional manufacturer of refractory brick and other cast-able products placed in nonaccrual status in the first quarter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2016. Commercial real estate loans classified as nonaccrual totaled $224 million at March 31, 2016 and December 31, 2015, and $232 million at March 31,</w:t>
      </w:r>
    </w:p>
    <w:p>
      <w:pPr>
        <w:spacing w:after="0" w:line="32"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2015. Nonaccrual commercial real estate loans included construction-related loans of $53 million, $90 million and $45 million at March 31, 2016, March 31, 2015 and December 31, 2015, respectively. Those nonaccrual construction loans included loans to residential builders and developers of $32 million and $65 million at March 31, 2016 and 2015, respectively, and $28 million at December 31, 2015. Information about the location of nonaccrual and charged-off loans to residential real estate builders and developers as of and for the three-month period ended March 31, 2016 is presented in the accompanying table.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7"/>
          </w:tcPr>
          <w:p>
            <w:pPr>
              <w:jc w:val="right"/>
              <w:ind w:right="1440"/>
              <w:spacing w:after="0"/>
              <w:rPr>
                <w:sz w:val="20"/>
                <w:szCs w:val="20"/>
                <w:color w:val="auto"/>
              </w:rPr>
            </w:pPr>
            <w:r>
              <w:rPr>
                <w:rFonts w:ascii="Arial" w:cs="Arial" w:eastAsia="Arial" w:hAnsi="Arial"/>
                <w:sz w:val="14"/>
                <w:szCs w:val="14"/>
                <w:color w:val="auto"/>
              </w:rPr>
              <w:t>March 31, 2016</w:t>
            </w:r>
          </w:p>
        </w:tc>
        <w:tc>
          <w:tcPr>
            <w:tcW w:w="160" w:type="dxa"/>
            <w:vAlign w:val="bottom"/>
          </w:tcPr>
          <w:p>
            <w:pPr>
              <w:spacing w:after="0"/>
              <w:rPr>
                <w:sz w:val="14"/>
                <w:szCs w:val="14"/>
                <w:color w:val="auto"/>
              </w:rPr>
            </w:pPr>
          </w:p>
        </w:tc>
        <w:tc>
          <w:tcPr>
            <w:tcW w:w="1700" w:type="dxa"/>
            <w:vAlign w:val="bottom"/>
            <w:gridSpan w:val="4"/>
          </w:tcPr>
          <w:p>
            <w:pPr>
              <w:jc w:val="center"/>
              <w:ind w:right="420"/>
              <w:spacing w:after="0"/>
              <w:rPr>
                <w:sz w:val="20"/>
                <w:szCs w:val="20"/>
                <w:color w:val="auto"/>
              </w:rPr>
            </w:pPr>
            <w:r>
              <w:rPr>
                <w:rFonts w:ascii="Arial" w:cs="Arial" w:eastAsia="Arial" w:hAnsi="Arial"/>
                <w:sz w:val="14"/>
                <w:szCs w:val="14"/>
                <w:color w:val="auto"/>
                <w:w w:val="94"/>
              </w:rPr>
              <w:t>March 31, 2016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9"/>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960"/>
              <w:spacing w:after="0"/>
              <w:rPr>
                <w:sz w:val="20"/>
                <w:szCs w:val="20"/>
                <w:color w:val="auto"/>
              </w:rPr>
            </w:pPr>
            <w:r>
              <w:rPr>
                <w:rFonts w:ascii="Arial" w:cs="Arial" w:eastAsia="Arial" w:hAnsi="Arial"/>
                <w:sz w:val="14"/>
                <w:szCs w:val="14"/>
                <w:color w:val="auto"/>
              </w:rPr>
              <w:t>Nonaccrual</w:t>
            </w:r>
          </w:p>
        </w:tc>
        <w:tc>
          <w:tcPr>
            <w:tcW w:w="160" w:type="dxa"/>
            <w:vAlign w:val="bottom"/>
          </w:tcPr>
          <w:p>
            <w:pPr>
              <w:spacing w:after="0"/>
              <w:rPr>
                <w:sz w:val="14"/>
                <w:szCs w:val="14"/>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Percent of</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outstanding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balances (b)</w:t>
            </w:r>
          </w:p>
        </w:tc>
        <w:tc>
          <w:tcPr>
            <w:tcW w:w="32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color w:val="auto"/>
                <w:w w:val="97"/>
              </w:rPr>
              <w:t>Balances</w:t>
            </w:r>
          </w:p>
        </w:tc>
        <w:tc>
          <w:tcPr>
            <w:tcW w:w="3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w w:val="92"/>
              </w:rPr>
              <w:t>(dollars in thousands)</w:t>
            </w: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823,828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136,965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26,898</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19.64</w:t>
            </w:r>
          </w:p>
        </w:tc>
        <w:tc>
          <w:tcPr>
            <w:tcW w:w="1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Mid-Atlantic(a)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428,913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3,740</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(952)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450,849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1,277</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1,840,555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34,783</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(899)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$18 million of loans not secured by real estate, of which approximately $2 million are in nonaccrual status.</w:t>
      </w:r>
    </w:p>
    <w:p>
      <w:pPr>
        <w:spacing w:after="0" w:line="21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Residential real estate loans in nonaccrual status at March 31, 2016 were $263 million, compared with $246 million at March 31, 2015 and $215 million at December 31, 2015. The increase in residential real estate loans classified as nonaccrual at March 31, 2016 as compared with December 31, 2015 reflects the normal migration of $80 million of previously performing loans obtained with the acquisition of Hudson City that became more than 90 days delinquent during the recent quarter. Those loans could not be identified as purchased impaired loans at the acquisition date because the borrowers were making current loan payments at the time and the loans were not recorded at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discount. The decrease in residential real estate loans classified as nonaccrual from March 31, 2015 to December 31, 2015 reflects improved repayment performance by customers. Included in residential real estate loans classified as nonaccrual were limited documentation first mortgage loans of $76 million, $74 million and $62 million at March 31, 2016, March 31, 2015 and December 31, 2015, respectively. Limited documentation first mortgage loans represent loans secured by residential real estate that at origination typically included some form of limited borrower documentation requirements as compared with more traditional loans. Such loans in the Company’s portfolio prior to the Hudson City transaction were originated by the Company before 2008. Hudson City discontinued its limited documentation loan program in January 2014. Residential real estate loans past due 90 days or more and accruing interest (excluding loans acquired at a discount) totaled $279 million (including $44 million obtained in the acquisition of Hudson City) at March 31, 2016, compared with $197 million a year earlier and $284 million at December 31, 2015. A substantial portion of such amounts related to guaranteed loans repurchased from government-related entities. Information about the location of nonaccrual and charged-off residential real estate loans as of and for the quarter ended March 31, 2016 is presented in the accompanying table.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color w:val="auto"/>
              </w:rPr>
              <w:t>March 31, 2016</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March 31, 2016</w:t>
            </w:r>
          </w:p>
        </w:tc>
        <w:tc>
          <w:tcPr>
            <w:tcW w:w="0" w:type="dxa"/>
            <w:vAlign w:val="bottom"/>
          </w:tcPr>
          <w:p>
            <w:pPr>
              <w:spacing w:after="0"/>
              <w:rPr>
                <w:sz w:val="1"/>
                <w:szCs w:val="1"/>
                <w:color w:val="auto"/>
              </w:rPr>
            </w:pPr>
          </w:p>
        </w:tc>
      </w:tr>
      <w:tr>
        <w:trPr>
          <w:trHeight w:val="123"/>
        </w:trPr>
        <w:tc>
          <w:tcPr>
            <w:tcW w:w="6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1"/>
              </w:rPr>
              <w:t>Net charge-offs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1020"/>
              <w:spacing w:after="0"/>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Percent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Outstanding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outstanding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balances</w:t>
            </w:r>
          </w:p>
        </w:tc>
        <w:tc>
          <w:tcPr>
            <w:tcW w:w="36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color w:val="auto"/>
              </w:rPr>
              <w:t>Balances</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85"/>
              </w:rPr>
              <w:t>balances</w:t>
            </w:r>
          </w:p>
        </w:tc>
        <w:tc>
          <w:tcPr>
            <w:tcW w:w="920" w:type="dxa"/>
            <w:vAlign w:val="bottom"/>
            <w:gridSpan w:val="3"/>
          </w:tcPr>
          <w:p>
            <w:pPr>
              <w:spacing w:after="0"/>
              <w:rPr>
                <w:sz w:val="20"/>
                <w:szCs w:val="20"/>
                <w:color w:val="auto"/>
              </w:rPr>
            </w:pPr>
            <w:r>
              <w:rPr>
                <w:rFonts w:ascii="Arial" w:cs="Arial" w:eastAsia="Arial" w:hAnsi="Arial"/>
                <w:sz w:val="14"/>
                <w:szCs w:val="14"/>
                <w:color w:val="auto"/>
              </w:rPr>
              <w:t>Balances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6,623,498</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68,450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1,740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1,800,458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16,332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1,309,386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13,567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483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6,058,466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27,216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1,127,285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12,800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4,242,521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47,061</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21,161,614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185,426</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4,082</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6,019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30,477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Limited documentation first mortgages: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1,717,886</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23,091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574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48,923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2,755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1,612,316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13,541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43,947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3,180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4,107,547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76,265</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971</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 and lines of credit: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1,333,557</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17,149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365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864,700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9,746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702,543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6,675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211,391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3,173,168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35,670</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789</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 and lines of credit: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942,014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26,558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2,021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382,366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855,594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7,004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1,120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321,220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1,226</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2,674,995</w:t>
            </w:r>
          </w:p>
        </w:tc>
        <w:tc>
          <w:tcPr>
            <w:tcW w:w="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42,601</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3,973</w:t>
            </w:r>
          </w:p>
        </w:tc>
        <w:tc>
          <w:tcPr>
            <w:tcW w:w="3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Limited documentation junior lien: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9,092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Virginia, West Virginia and the District of Columbia.</w:t>
      </w:r>
    </w:p>
    <w:p>
      <w:pPr>
        <w:spacing w:after="0" w:line="157" w:lineRule="exact"/>
        <w:rPr>
          <w:rFonts w:ascii="Arial" w:cs="Arial" w:eastAsia="Arial" w:hAnsi="Arial"/>
          <w:sz w:val="18"/>
          <w:szCs w:val="18"/>
          <w:i w:val="1"/>
          <w:iCs w:val="1"/>
          <w:color w:val="auto"/>
        </w:rPr>
      </w:pPr>
    </w:p>
    <w:p>
      <w:pPr>
        <w:ind w:left="5620" w:hanging="101"/>
        <w:spacing w:after="0"/>
        <w:tabs>
          <w:tab w:leader="none" w:pos="5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Nonaccrual consumer loans aggregated $110 million at March 31, 2016, compared with $118 million at each of March 31, 2015 and December 31, 2015. Included in nonaccrual consumer loans at March 31, 2016, March 31, 2015 and December 31, 2015 were: automobile loans of $15 million, $14 million and $17 million, respectively; recreational vehicle loans of $16 million, $9 million and $9 million, respectively; and outstanding balances of home equity loans and lines of credit of $79 million, $88 million and $84 million, respectively. Information about the location of nonaccrual and charged-off home equity loans and lines of credit as of and for the quarter ended March 31, 2016 is presented in the accompanying table.</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Real estate and other foreclosed assets totaled $188 million and $63 million at March 31, 2016 and March 31, 2015, respectively, and $195 million at December 31, 2015. The higher levels of real estate and other foreclosed assets at March 31, 2016 and December 31, 2015 reflect residential real estate properties associated with the Hudson City acquisition, which totaled $121 million and $126 million at those respective dates. Gains or losses resulting from the sales of real estate and other foreclosed assets were not material in the three-month periods ended March 31, 2016, March 31, 2015 or December 31, 2015. At March 31, 2016, the Company’s holding of residential real estate-related properties comprised approximately 90% of foreclosed assets.</w:t>
      </w:r>
    </w:p>
    <w:p>
      <w:pPr>
        <w:spacing w:after="0" w:line="15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380"/>
              <w:spacing w:after="0"/>
              <w:rPr>
                <w:sz w:val="20"/>
                <w:szCs w:val="20"/>
                <w:color w:val="auto"/>
              </w:rPr>
            </w:pPr>
            <w:r>
              <w:rPr>
                <w:rFonts w:ascii="Arial" w:cs="Arial" w:eastAsia="Arial" w:hAnsi="Arial"/>
                <w:sz w:val="14"/>
                <w:szCs w:val="14"/>
                <w:color w:val="auto"/>
              </w:rPr>
              <w:t>2015 Quarters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color w:val="auto"/>
                <w:w w:val="96"/>
              </w:rPr>
              <w:t>First Quarter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color w:val="auto"/>
              </w:rPr>
              <w:t>Fourth</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Third</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Second</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876,691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799,409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787,098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797,146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188,004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195,085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66,144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63,734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62,578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1,064,695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994,494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853,242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860,880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853,164</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336,170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317,441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231,465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238,568</w:t>
            </w:r>
          </w:p>
        </w:tc>
        <w:tc>
          <w:tcPr>
            <w:tcW w:w="2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236,621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Nonaccrual loans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49,688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47,052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48,955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58,259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Accruing loans past due 90 days or more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279,340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276,285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193,998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206,775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193,618</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200,771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182,865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189,639</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197,145</w:t>
            </w:r>
          </w:p>
        </w:tc>
        <w:tc>
          <w:tcPr>
            <w:tcW w:w="2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198,911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Accruing loans acquired at a discount past due 90 days or more(b)</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61,767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68,473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80,827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78,591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80,110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customer balance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1,124,776</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1,204,004</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278,979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312,507</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335,079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Carrying amount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715,874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768,329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149,421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169,240</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184,018</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w w:val="92"/>
              </w:rPr>
              <w:t>Nonperforming assets to total net loans and leases and real estate and other foreclosed</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assets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Accruing loans past due 90 days or more (a) to total loans and leases, net of unearned</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0"/>
        </w:trPr>
        <w:tc>
          <w:tcPr>
            <w:tcW w:w="6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mortgage loans.</w:t>
      </w:r>
    </w:p>
    <w:p>
      <w:pPr>
        <w:spacing w:after="0" w:line="23" w:lineRule="exact"/>
        <w:rPr>
          <w:rFonts w:ascii="Arial" w:cs="Arial" w:eastAsia="Arial" w:hAnsi="Arial"/>
          <w:sz w:val="18"/>
          <w:szCs w:val="18"/>
          <w:i w:val="1"/>
          <w:iCs w:val="1"/>
          <w:color w:val="auto"/>
        </w:rPr>
      </w:pPr>
    </w:p>
    <w:p>
      <w:pPr>
        <w:ind w:left="460" w:right="360" w:hanging="452"/>
        <w:spacing w:after="0" w:line="250" w:lineRule="auto"/>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including loans obtained in the acquisition of Hudson City that were not classified as purchased impaired;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Management cautiously and conservatively evaluated the allowance for credit losses as of March 31, 2016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troubled state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55% of the Company’s loans are to customers in New York State and Pennsylvania).</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utilizes a loan grading system which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$2.3 billion at March 31, 2016, compared with $2.1 billion at December 31, 2015. The increase since December 31, 2015 included $74 million related to commercial real estate loans and $91 million related to commercial loans. Approximately 94% of loan balances added to the criticized category during the recent quarter were less than 90 days past due and 91% had a current payment status. The borrower industries most significantly impacting the higher level of criticized loans were investment real estate, services and manufacturing.</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At least annually, updated financial information is obtained from commercial borrowers associated with pass grade loans and additional analysis is performed.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At March 31, 2016, approximately 54% of the Company’s home equity portfolio consisted of first lien loans and lines of credit. Of the remaining junior lien loans in the portfolio, approximately 72% (or approximately 33%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March 31, 2016, the balance of junior lien loans and lines that were in nonaccrual status solely as a result of first lien loan performance was $23 million, compared with $22 million at each of March 31, 2015 and December 31, 2015.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March 31, 2016,</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approximately 86% of all outstanding balances of home equity lines of credit related to lines that were still in the draw period, the weighted-average remaining draw periods were approximately five years, and approximately 21% were making contractually allowed payments that do not include repayment of principal.</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46%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loans acquired at a discount, the impact of estimated future credit losses represents the predominant difference between contractually required payments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8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Management believes that the allowance for credit losses at March 31, 2016 appropriately reflected credit losses inherent in the portfolio as of that date. The allowance for credit losses was $963 million, or 1.10% of total loans and leases at March 31, 2016, compared with $921 million or 1.37% at March 31, 2015 and $956 million or 1.09% at December 31, 2015. The ratio of the allowance to total loans and leases at each respective date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 for credit losses be recognized for incurred losses inherent in the portfolio. The declines in the ratio of the allowance to total loans and leases at March 31, 2016 and December 31, 2015 from March 31, 2015 reflects the impact of loans (predominantly residential real estate loans) obtained in the acquisition of Hudson City.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nonaccrual loans at March 31, 2016 was 110%, compared with 117% a year earlier and 120% at December 31,</w:t>
      </w:r>
    </w:p>
    <w:p>
      <w:pPr>
        <w:spacing w:after="0" w:line="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2015.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income totaled $421 million in the first quarter of 2016, compared with $440 million in the year-earlier quarter and $448 million in the fourth quarter of 2015. The most significant factors contributing to the decline in other income from the first quarter of 2015 were a $20 million decrease in mortgage banking revenues and a $13 million decrease in trust income, partially offset by increases in bank-owned life insurance income and credit-related fees. As compared with the fourth quarter of 2015, the recent quarter decline in other income reflected lower loan syndication fees and declines in commercial mortgage banking revenues, service charges on deposit accounts and trust income.</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Mortgage banking revenues totaled $82 million in the recent quarter, compared with $102 million in the initial quarter of 2015 and $88 million in the final 2015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other residential real estate loan-related fees and income, were $60 million in each of the first quarter of 2016 and the final quarter of 2015, compared with $79 million in the first quarter of 2015. As compared with the first quarter of 2015, the recent quarter decline in residential mortgage banking revenues reflects a decline in revenues associated with servicing residential real estate loans for others and lower gains from origination activities, due largely to decreased volumes of loans originated for sale.</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New commitments to originate residential real estate loans to be sold were approximately $659 million in 2016’s initial quarter, compared with $936 million in the year-earlier quarter and $667 million in the final quarter of 2015. Realized gains from sales of residential real estate loans and loan servicing rights and recognized net unrealized gains and losses attributable to residential real estate loans held for sale, commitments to originate loans for sale and commitments to sell loans totaled to gains of $14 million in each of the first quarter of 2016 and the final 2015 quarter, compared with gains of $21 million in the first quarter of 2015.</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each of the first quarter of 2016 and the first and final quarters of 2015 were reduced by $1 million related to the actual or anticipated settlement of repurchase obligations.</w:t>
      </w:r>
    </w:p>
    <w:p>
      <w:pPr>
        <w:spacing w:after="0" w:line="17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Loans held for sale that were secured by residential real estate totaled $269 million and $423 million at March 31, 2016 and 2015, respectively, and $353 million at December 31, 2015. Commitments to sell residential real estate loans and commitments to originate residential real estate loans for sale at pre-determined rates were $646 million and $521 million, respectively, at March 31, 2016, compared with $859 million and $661 million, respectively, at March 31, 2015, and $687 million and $489 million, respectively, at December 31, 2015. Net recognized unrealized gains on residential real estate loans held for sale, commitments to sell loans, and commitments to originate loans for sale were $17 million and $21 million at March 31, 2016 and March 31, 2015, respectively, and $16 million at December 31, 2015. Changes in such net unrealized gains are recorded in mortgage banking revenues and resulted in net increases in revenue of $1 million in the most recent quarter and $2 million in the year-earlier quarter, compared with a net decrease in revenue of $3 million in the fourth quarter of 2015.</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from servicing residential real estate loans for others were $45 million in the recent quarter, compared with $58 million and $46 million during the quarters ended March 31, 2015 and December 31, 2015, respectively. Residential real estate loans serviced for others totaled $60.0 billion at March 31, 2016, $65.0 billion at March 31, 2015 and $61.7 billion at December 31, 2015. Reflected in residential real estate loans serviced for others were loans sub-serviced for others of $36.3 billion, $40.4 billion and $37.8 billion at March 31, 2016, March 31, 2015 and December 31, 2015, respectively. Revenues earned for sub-servicing loans were $23 million in the first quarter of 2016, $35 million in the year-earlier quarter and $25 million in the fourth quarter of 2015. The contractual servicing rights associated with loans sub-serviced by the Company were predominantly held by affiliates of Bayview Lending Group LLC (“BLG”).</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servicing rights consist largely of servicing associated with loans sold by the Company. Capitalized residential mortgage loan</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servicing assets totaled $118 million at each of March 31, 2016 and December 31, 2015, compared with $111 million at March 31, 2015.</w:t>
      </w:r>
    </w:p>
    <w:p>
      <w:pPr>
        <w:spacing w:after="0" w:line="22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Commercial mortgage banking revenues were $22 million in the most recent quarter, compared with $23 million in the first quarter of 2015 and $27 million in the fourth quarter of 2015. Included in such amounts were revenues from loan origination and sales activities of $12 million in the first quarter of 2016, $13 million in the first quarter of 2015 and $15 million in the fourth quarter of 2015. Commercial real estate loans originated for sale to other investors totaled approximately $355 million in the first quarter of 2016, compared with $455 million and $464 million in the first and fourth quarters of 2015, respectively. Loan servicing revenues were $10 million in each of the first quarters of 2016 and 2015, compared with $12 million in the final quarter of 2015. Capitalized commercial mortgage servicing assets aggregated $84 million at each of March 31, 2016 and December 31, 2015, compared with $74 million at March 31, 2015. Commercial real estate loans serviced for other investors totaled $10.9 billion, $11.4 billion and $11.0 billion at March 31, 2016, March 31, 2015 and December 31, 2015, respectively, and included $2.6 billion, $2.4 billion and $2.5 billion, respectively, of loan balances for which investors had recourse to the Company if such balances are ultimately uncollectible. Commitments to sell commercial real estate loans and commitments to originate commercial real estate loans for sale were $312 million and $184 million, respectively, at March 31, 2016, $464 million and $347 million, respectively, at March 31, 2015 and $96 million and $58 million, respectively, at December 31, 2015. Commercial real estate loans held for sale at March 31, 2016, March 31, 2015 and December 31, 2015 were $128 million, $117 million, and $39 million, respectively.</w:t>
      </w:r>
    </w:p>
    <w:p>
      <w:pPr>
        <w:spacing w:after="0" w:line="16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Service charges on deposit accounts totaled $102 million in each of the first quarters of 2016 and 2015, compared with $106 million in the final 2015 quarter. The recent quarter’s decline as compared with the fourth quarter of 2015 was largely due to seasonally lower consumer deposit service charges, particularly overdraft fees.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totaled $111 million in the first quarter of 2016, compared with $124 million in the first quarter of 2015 and $115 million in the fourth quarter of 2015. Revenues associated with the ICS business were approximately $52 million, $61 million and $54 million during the quarters ended March 31, 2016, March 31, 2015 and December 31, 2015, respectively. The ICS revenue decline in the two most recent quarters as compared with the first quarter of 2015 reflects the April 2015 divestiture of the trade processing business within the retirement services division of ICS. Revenues related to that business reflected in trust income (in the ICS business) during the first quarter of 2015 were approximately $9 million. After considering related expenses, including the portion of those revenues paid to sub-advisors, net income attributable to the sold business was not material to the consolidated results of operations of the Company in 2015’s initial quarter. Revenues attributable to WAS were approximately $51 million and $56 million for the three-month periods ended March 31, 2016 and 2015, respectively, and $52 million for the three-month period ended December 31, 2015. The decline in such recent quarter revenues as compared with the first and fourth quarters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of 2015 was due largely to lower customer balances and market performance. Total trust assets, which include assets under management and assets under administration, aggregated $200.0 billion at March 31, 2016, compared with $293.4 billion and $199.2 billion at March 31, 2015 and December 31, 2015, respectively. The declines in trust assets at the two most recent quarter-ends as compared with March 31, 2015 were predominantly due to the customer account balances included in the April 2015 sale of the trade processing business. Trust assets under management were $66.2 billion, $69.4 billion and $66.7 billion at March 31, 2016, March 31, 2015 and December 31, 2015, respectively. Additional trust income from investment management activities totaled $8 million in the recent quarter, $9 million in the fourth quarter of 2015 and $7 million in the first quarter of 2015. That income largely relates to fees earned from retail customer investment accounts and from an affiliated investment manager. Assets managed by that affiliated manager were $6.7 billion at March 31, 2016, $9.4 billion at March 31, 2015 and $7.1 billion at December 31, 2015. The Company’s trust income from that affiliate was not material for any of the quarters then-ended. The Company’s proprietary mutual funds had assets of $11.4 billion, $12.8 billion and $12.2 billion at March 31, 2016, March 31, 2015 and December 31, 2015, respectively.</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$16 million in each of the two most recent quarters, compared with $15 million in the first quarter of 2015. Gains from trading account and foreign exchange activity totaled $7 million during the first quarter of 2016, compared with $6 million in the first quarter of 2015 and $10 million in the final 2015 quarter. The recent quarter decline as compared with the immediately preceding quarter resulted from lower activity related to interest rate swap transactions executed on behalf of commercial customers.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Other revenues from operations totaled $102 million in the first quarter of 2016, compared with $91 million in the year-earlier quarter and $115 million in the fourth quarter of 2015. The increase in the recent quarter as compared with the year-earlier quarter reflects higher bank-owned life insurance income, credit-related fees and merchant discount and credit card fees. The recent quarter’s decline as compared with the final 2015 quarter was largely attributable to lower fees for providing loan syndication and corporate advisory services. Included in other revenues from operations were the following significant components. Letter of credit and other credit-related fees totaled $28 million in the recent quarter, compared with $26 million in the first quarter of 2015 and $42 million in the fourth quarter of 2015. Tax-exempt income from bank owned life insurance, which includes increases in the cash surrender value of life insurance policies and benefits received, totaled $16 million during the recent quarter, compared with $11 million in the initial quarter of 2015 and $15 million in the final quarter of 2015. Revenues from merchant discount and credit card fees were $26 million in the quarter ended March 31, 2016, compared with $24 million and $28 million in the quarters ended March 31, 2015 and December 31, 2015, respectively. Insurance-related sales commissions and other revenues totaled $12 million in the initial quarter of 2016, compared with $11 million in the year-earlier quarter and $10 million in the fourth quarter of 2015. M&amp;T’s share of the operating losses of BLG recognized using the equity method of accounting was $4 million in each of the first quarters of 2016 and 2015 and $3 million in the fourth quarter of 2015. Information about the Company’s relationship with BLG and its affiliates is included in note 15 of Notes to Financial Statements. Other miscellaneous revenues and the changes in such revenues from period-to-period were not individually significant.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expense totaled $776 million in the first quarter of 2016, compared with $686 million in the year-earlier quarter and $786 million in the final quarter of 2015. Included in those amounts are expenses considered by management to be “nonoperating” in nature consisting of amortization of core deposit and other intangible assets of $12 million in the most recent quarter, compared with $7 million in the first quarter of 2015 and $10 million in the fourth quarter of 2015 and merger-related expenses of $23 million in the first quarter of 2016 and $76 million in the fourth quarter of 2015. There were no merger-related expenses during the first quarter of 2015. Exclusive of those nonoperating expenses, noninterest operating expenses totaled $741 million in the first quarter of 2016, compared with $680 million in the year-earlier quarter and $701 million in the fourth quarter of 2015. The most significant factors contributing to the increase in the recent quarter as compared with the year-earlier period were costs associated with the operations obtained in the Hudson City acquisition, higher costs for salaries and employee benefits, and increased Federal Deposit Insurance Corporation (“FDIC”) assessments. The rise in noninterest operating expenses from the fourth quarter of 2015 reflected the full-quarter impact of the Hudson City acquisition, along with seasonally higher stock-based compensation and employee benefits expenses offset, in part, by lower professional services costs. Table 2 provides a reconciliation of other expense to noninterest operating expense.</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Salaries and employee benefits expense totaled $432 million in 2016’s initial quarter, compared with $390 million in the year-earlier quarter and $434 million in the fourth quarter of 2015. Merger-related salaries and employee benefits expenses were $51 million (consisting predominantly of severance) in the fourth quarter of 2015 and $5 million in the first quarter of 2016. As compared with the year-earlier period, the recent quarter reflects the impact of the additional employees associated with the Company’s expanded operations and the impact of annual merit increases for employees. Excluding merger-related expenses, the higher expense level in the recent quarter as compared with the final quarter of 2015 was largely attributable to seasonally higher stock-based compensation, medical plan costs, payroll-related taxes, unemployment insurance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2016 and 2015 included $16 million and $14 million, respectively, that would have been recognized over the normal vesting period if not for the accelerated expense recognition provisions of GAAP. That acceleration had no effect on the value of stock-based compensation awarded to employees. Salaries and employee benefits expense included stock-based compensation of $29 million and $28 million in the quarters ended March 31, 2016 and March 31, 2015, respectively, and $11 million in the quarter ended December 31, 2015. The number of full-time equivalent employees was 16,718 at March 31, 2016, compared with 15,263 and 16,979 at March 31, 2015 and December 31, 2015, respectively.</w:t>
      </w:r>
    </w:p>
    <w:p>
      <w:pPr>
        <w:spacing w:after="0" w:line="17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Excluding the nonoperating expenses described earlier from each quarter, nonpersonnel operating expenses were $314 million and $290 million in the quarters ended March 31, 2016 and March 31, 2015, respectively, and $317 million in the fourth quarter of 2015. The increase in such expenses in the recent quarter as compared with the year-earlier quarter reflected higher equipment and net occupancy expenses and increased FDIC assessments due largely to the impact of the acquisition of Hudson City. The efficiency ratio measures the relationship of noninterest operating expenses to revenues. The Company’s efficiency ratio was 57.0% in the first quarter of 2016, compared with 61.5% in the year-earlier period and 55.5% in the fourth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quarter of 2015. The calculation of the efficiency ratio is presented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provision for income taxes for the first quarter of 2016 was $169 million, compared with $134 million in the year-earlier quarter and $140 million in the fourth quarter of 2015. The effective tax rates were 36.2%, 35.6% and 34.1% for the quarters ended March 31, 2016, March 31, 2015 and December 31, 2015, respectively. During the fourth quarter of 2015, the provision for income taxes was reduced by $5 million to reflect technology research credits related to</w:t>
      </w:r>
    </w:p>
    <w:p>
      <w:pPr>
        <w:jc w:val="both"/>
        <w:ind w:right="40"/>
        <w:spacing w:after="0" w:line="277" w:lineRule="auto"/>
        <w:rPr>
          <w:sz w:val="20"/>
          <w:szCs w:val="20"/>
          <w:color w:val="auto"/>
        </w:rPr>
      </w:pPr>
      <w:r>
        <w:rPr>
          <w:rFonts w:ascii="Arial" w:cs="Arial" w:eastAsia="Arial" w:hAnsi="Arial"/>
          <w:sz w:val="17"/>
          <w:szCs w:val="17"/>
          <w:color w:val="auto"/>
        </w:rPr>
        <w:t>2011 through 2014 that were accepted by the Internal Revenue Service in December 2015.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7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Shareholders’ equity was $16.4 billion at March 31, 2016, representing 13.12% of total assets, compared with $12.5 billion or 12.73% at March 31, 2015 and $16.2 billion or 13.17% at December 31, 2015.</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Included in shareholders’ equity was preferred stock with a financial statement carrying value of $1.2 billion at each of March 31, 2016, March 31, 2015 and December 31, 2015. Further information concerning M&amp;T’s preferred stock can be found in note 6 of Notes to Financial Statements.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Common shareholders’ equity aggregated $15.1 billion, or $95.00 per share, at March 31, 2016, compared with $11.3 billion, or $84.95 per share,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year earlier and $14.9 billion, or $93.60 per share, at December 31, 2015. In conjunction with the acquisition of Hudson City, M&amp;T issued 25,953,950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shares, which added $3.1 billion to common shareholders’ equity on November 1, 2015. Tangible equity per common share, which excludes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goodwill and core deposit and other intangible assets and applicable deferred tax balances, was $65.65 at March 31, 2016, $58.29 at March 31, 2015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$64.28 at December 31, 2015. The Company’s ratio of tangible common equity to tangible assets was 8.71% at March 31, 2016, compared with 8.17% a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earlier and 8.69% at December 31, 2015. Reconciliations of total common shareholders’ equity and tangible common equity and total assets and tangible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as of each of those respective dates are presented in table 2.</w:t>
      </w:r>
    </w:p>
    <w:p>
      <w:pPr>
        <w:spacing w:after="0" w:line="21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$145 million, or $.91 per common share, at March 31, 2016, compared with net unrealized gains of $153 million, or $1.15 per common share, at March 31, 2015 and $48 million, or $.30 per common share, at December 31, 2015. The higher unrealized gains at the recent quarter-end as compared with December 31, 2015 resulted largely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a decline in yields on treasury securities with comparable duration to the majority of the Company’s government issued or guaranteed mortgage-backed securities portfolio. Information about unrealized gains and losses as of March 31, 2016 and December 31, 2015 is included in note 3 of Notes to Financial Statements.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Reflected in net unrealized gains at March 31, 2016 were pre-tax effect unrealized losses of $34 million on available-for-sale investment securities with an amortized cost of $1.7 billion and pre-tax effect unrealized gains of $297 million on securities with an amortized cost of $10.2 billion. The pre-tax effect unrealized losses reflect $26 million of losses on trust preferred securities issued by financial institutions having an amortized cost of $124 million and an estimated fair value of $98 million (generally considered Level 2 valuations). Further information concerning the Company’s valuations of available-for-sale investment securities is provided in note 12 of Notes to Financial Statements.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As of March 31, 2016, based on a review of each of the securities in the investment securities portfolio, the Company concluded that the declines in the values of any securities containing an unrealized loss were temporary and that any additional other-than-temporary impairment charges were not appropriate. It is likely that the Company will be required to sell certain of its collateralized debt obligations backed by trust preferred securities held in the available-for-sale portfolio to comply with the provisions of the Dodd-Frank Act commonly referred to as the “Volcker Rule”. However, the amortized cost and fair value of those collateralized debt obligations were $24 million and $29 million, respectively, at March 31, 2016 and the Company does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assesses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March 31, 2016 and December 31, 2015, the Company had in its held-to-maturity portfolio privately issued mortgage-backed securities with an amortized cost basis of $175 million and $181 million, respectively, and a fair value of $137 million and $142 million, respectively. At March 31, 2016, 89% of the mortgage-backed securities were in the most senior tranche of the securitization structure with 28% being independently rated as investment grade. The mortgage-backed securities are generally collateralized by residential and small-balance commercial real estate loans originated between 2004 and 2008 and had a weighted-average credit enhancement of 15% at March 31, 2016, calculated by dividing the remaining unpaid principal balance of bonds subordinate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March 31, 2016. The weighted-average default percentage and loss severity assumptions utilized in the Company’s internal modeling were 33% and 88%, respectively. The Company has concluded that as of March 31, 2016, its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15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$293 million, or $1.84 per common share, at March 31, 2016, $297 million, or $1.86 per common share, at December 31, 2015, and $301 million, or $2.26 per common share, at March 31, 2015.</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12, 2015, M&amp;T announced that the Federal Reserve did not object to M&amp;T’s proposed 2015 Capital Plan. Accordingly, M&amp;T was allowed to maintain a quarterly common stock dividend of $.70 per share; continue to pay dividends and interest on other equity and debt instruments included in regulatory capital, including preferred stock, trust preferred securities and subordinated debt that were outstanding at December 31, 2014, consistent with the contractual terms of those instruments; repurchase up to $200 million of common shares during the first half of 2016; and redeem or repurchase up to $310 million of trust preferred securities. Those latter securities were redeemed in April 2015. Common and preferred dividends are subject to approval by M&amp;T’s Board of Directors in the ordinary course of business. As the Hudson City transaction occurred later than contemplated in that 2015 Capital Plan, common stock dividends paid in relation to the common stock issued as merger consideration were less than projected. With the concurrence of the Federal Reserve, the distribution of that capital, approximately $54 million, is being re-allocated into the common stock repurchase program for the second quarter of 2016.</w:t>
      </w:r>
    </w:p>
    <w:p>
      <w:pPr>
        <w:spacing w:after="0" w:line="166"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The Company did not repurchase any shares of its common stock during 2015. However, M&amp;T commenced a program to repurchase its common shares in accordance with its approved 2015 Capital Plan, and in the first quarter of 2016 repurchased 948,545 shares for $100 million. M&amp;T’s Board of Directors has authorized the repurchase of up to $154 million of common stock in the second quarter of 2016.</w:t>
      </w:r>
    </w:p>
    <w:p>
      <w:pPr>
        <w:spacing w:after="0" w:line="16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Cash dividends declared on M&amp;T’s common stock during the quarter ended March 31, 2016 totaled $112 million, compared with $94 million in each of the quarters ended March 31 and December 31, 2015, respectively, and represented a quarterly dividend payment of $.70 per common share in each of those quarters. Cash dividends declared on preferred stock aggregated $20 million in each of the first quarters of 2016 and 2015 and the fourth quarter of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M&amp;T and its subsidiary banks are required to comply with applicable capital adequacy regulations established by the federal banking agencies.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those regulations, the minimum capital ratios are as follows:</w:t>
      </w:r>
    </w:p>
    <w:p>
      <w:pPr>
        <w:spacing w:after="0" w:line="116"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4.5% Common Equity Tier 1 (“CET1”) to risk-weighted assets (each as defined in the capital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6.0% Tier 1 capital (that is, CET1 plus Additional Tier 1 capital) to risk-weighted assets (each as defined in the capital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8.0% Total capital (that is, Tier 1 capital plus Tier 2 capital) to risk-weighted assets (each as defined in the capital regulations); and</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4.0% Tier 1 capital to average consolidated assets as reported on consolidated financial statements (known as the “leverage ratio”), as defined in the regulation.</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capital regulations provide for the phase-in of a “capital conservation buffer” composed entirely of CET1 on top of these minimum risk-weighted asset ratios. When fully phased-in on January 1, 2019 the capital conservation buffer will be 2.5%. For 2016, the phased-in transition portion of that buffer is .625%.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March 31, 2016 are presented in the accompanying table.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4"/>
                <w:szCs w:val="14"/>
                <w:color w:val="auto"/>
              </w:rPr>
              <w:t>M&amp;T</w:t>
            </w:r>
          </w:p>
        </w:tc>
        <w:tc>
          <w:tcPr>
            <w:tcW w:w="1140" w:type="dxa"/>
            <w:vAlign w:val="bottom"/>
            <w:gridSpan w:val="2"/>
          </w:tcPr>
          <w:p>
            <w:pPr>
              <w:jc w:val="right"/>
              <w:ind w:right="740"/>
              <w:spacing w:after="0"/>
              <w:rPr>
                <w:sz w:val="20"/>
                <w:szCs w:val="20"/>
                <w:color w:val="auto"/>
              </w:rPr>
            </w:pPr>
            <w:r>
              <w:rPr>
                <w:rFonts w:ascii="Arial" w:cs="Arial" w:eastAsia="Arial" w:hAnsi="Arial"/>
                <w:sz w:val="14"/>
                <w:szCs w:val="14"/>
                <w:color w:val="auto"/>
              </w:rPr>
              <w:t>M&amp;T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Wilmington</w:t>
            </w: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(Consolidated)</w:t>
            </w:r>
          </w:p>
        </w:tc>
        <w:tc>
          <w:tcPr>
            <w:tcW w:w="1140" w:type="dxa"/>
            <w:vAlign w:val="bottom"/>
            <w:gridSpan w:val="2"/>
          </w:tcPr>
          <w:p>
            <w:pPr>
              <w:jc w:val="right"/>
              <w:ind w:right="760"/>
              <w:spacing w:after="0"/>
              <w:rPr>
                <w:sz w:val="20"/>
                <w:szCs w:val="20"/>
                <w:color w:val="auto"/>
              </w:rPr>
            </w:pPr>
            <w:r>
              <w:rPr>
                <w:rFonts w:ascii="Arial" w:cs="Arial" w:eastAsia="Arial" w:hAnsi="Arial"/>
                <w:sz w:val="14"/>
                <w:szCs w:val="14"/>
                <w:color w:val="auto"/>
              </w:rPr>
              <w:t>Bank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Trust, N.A.</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Common equity Tier 1</w:t>
            </w: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11.06%</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11.33%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Tier 1 capital</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12.35%</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11.33%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14.84%</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13.35%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9.96%</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The Company is also subject to the comprehensive regulatory framework applicable to bank and financial holding companies and their subsidiaries, which includes regular examinations by a number of federal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additional information concerning this comprehensive regulatory framework, refer to Part I, Item 1 of M&amp;T’s Form 10-K for the year ended December 31, 2015 and Part II, Item 7, “Management’s Discussion and Analysis of Financial Condition and Results of Operations” of that Form 10-K under the heading “Regulatory Oversight.”</w:t>
      </w:r>
    </w:p>
    <w:p>
      <w:pPr>
        <w:spacing w:after="0" w:line="18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June 17, 2013, M&amp;T and M&amp;T Bank entered into a written agreement with the Federal Reserve Bank of New York. Under the terms of the agreement, M&amp;T and M&amp;T Bank were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M&amp;T and M&amp;T Bank have since made substantial progress in implementing a BSA/AML program with significantly expanded scale and scope, as recognized by the Board of Governors of the Federal Reserve System in its Order approving M&amp;T and M&amp;T Bank’s applications to acquire Hudson City and Hudson City Savings Bank. M&amp;T and M&amp;T Bank are continuing to work towards the resolution of all outstanding issues in the written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 Effective July 1, 2015, the Company changed its internal profitability reporting to move a builder and developer lending unit from the Residential Mortgage Banking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segment to the Commercial Real Estate segment and, accordingly, the financial information for the Company’s reportable segments for the three-month period ended March 31, 2015 has been restated to reflect that change.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Business Banking segment earned $25 million in each of the two most recent quarters and in the first quarter of 2015. As compared with the year-earlier quarter, a $4 million increase in net interest income and a $3 million decline in the provision for credit losses, due to lower net charge-offs, were offset by higher centrally-allocated costs largely associated with the acquired Hudson City operations. The higher net interest income resulted predominantly from an increase in average outstanding deposit balances of $1.1 billion. As compared with the immediately preceding quarter, a decrease in the provision for credit losses, largely due to lower net charge-offs, was offset by lower revenues from merchant discount and credit card fees and modestly higher centrally-allocated costs.</w:t>
      </w:r>
    </w:p>
    <w:p>
      <w:pPr>
        <w:spacing w:after="0" w:line="1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Commercial Banking segment contributed net income of $101 million during the quarter ended March 31, 2016, compared with $96 million in the year-earlier quarter and $118 million in the fourth quarter of 2015. The recent quarter’s 5% improvement as compared with the first quarter of 2015 reflected an $8 million decline in the provision for credit losses, primarily due to lower net charge-offs, and a $7 million increase in net interest income. The higher net interest income resulted from increases in average outstanding loan balances of $1.1 billion and a widening of the net interest margin on deposits of 13 basis points, partially offset by a narrowing of the net interest margin on loans of 9 basis points. Those favorable factors were offset, in part, by an increase in centrally-allocated technology-related costs and other operating expenses. The recent quarter’s decline in net income as compared with 2015’s fourth quarter was largely due to lower credit-related and other fees of $13 million and a $10 million increase in the provision for credit losses, largely due to a $10 million partial recovery in the final 2015 quarter of a previously charged-off loan related to a relationship with a motor vehicle-related parts wholesaler.</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Commercial Real Estate segment contributed net income of $81 million in the first quarter of 2016, compared with $83 million in the year-earlier period and $90 million in the fourth quarter of 2015. The modest decline in net income as compared with the first quarter of 2015 reflects a $3 million increase in the provision for credit losses, due to lower recoveries of previously charged-off loans, and higher operating expenses that were largely offset by a $5 million increase in net interest income, reflecting increases in average outstanding loan and deposit balances of $1.5 billion and $371 million, respectively. The recent quarter decline in net income as compared with the final 2015 quarter was largely due to lower net interest income and trading account and foreign exchange gains of $2 million each, increases in personnel costs of $2 million and other higher operating expenses. The lower net interest income was predominantly due to a narrowing of the net interest margin on loans of 10 basis points, partially offset by an increase in average outstanding loan balances of $439 million and a widening of the net interest margin on deposits of 16 basis points.</w:t>
      </w:r>
    </w:p>
    <w:p>
      <w:pPr>
        <w:spacing w:after="0" w:line="17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Discretionary Portfolio segment recorded net income of $40 million during the three-month period ended March 31, 2016, compared with $6 million in the year-earlier period and $31 million in the fourth quarter of 2015. The significant improvement as compared with the first quarter of 2015 was predominantly due to the impact of residential real estate loans obtained in the acquisition of Hudson City. A $5 million increase in bank owned life insurance revenues also contributed to that improvement. Those favorable factors were offset, in part, by a $3 million increase in the provision for credit losses and higher loan and other real estate-related servicing costs. The recent quarter’s favorable performance as compared with the immediately preceding quarter included the full-quarter impact of the residential real estate loans obtained in the acquisition of Hudson City, partially offset by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$4 million increase in the provision for credit losses, primarily due to higher net charge-offs.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income from the Residential Mortgage Banking segment was $17 million in the recent quarter, compared with $29 million in the first quarter of 2015 and $13 million in 2015’s fourth quarter. The decline in net income as compared with the year-earlier period was largely attributable to a $7 million decrease in revenues from mortgage origination and sales activities (including intersegment revenues) due to lower origination volumes and a decline in revenues from subservicing residential real estate loans. Contributing to the recent quarter’s improved results as compared with the final quarter of 2015 were a $2 million improvement in net interest income and decreased centrally-allocated loan servicing expenses. The improvement in net interest income reflected a widening of the net interest margin on loans.</w:t>
      </w:r>
    </w:p>
    <w:p>
      <w:pPr>
        <w:spacing w:after="0" w:line="19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income earned by the Retail Banking segment totaled $63 million in the first quarter of 2016, compared with $69 million in the year-earlier quarter and $65 million in the final 2015 quarter. The primary contributors to the recent quarter decline in net income as compared with the year-earlier period were: a $21 million increase in the provision for credit losses, largely due to partial charge-offs recognized in the first quarter of 2016 on loans for which the Company identified that the customer was either bankrupt or deceased; a $15 million rise in personnel-related expenses and higher equipment and net occupancy costs of $4 million, reflecting the impact of the Hudson City acquisition; a $3 million increase in advertising and promotional expenses and higher centrally-allocated operating costs. Those unfavorable factors were largely offset by an increase in net interest income of $39 million, predominantly due to the impact of deposits obtained in the acquisition of Hudson City. The recent quarter’s modest decline in net income as compared with the fourth quarter of 2015 reflected a $23 million increase in the provision for credit losses, largely due to the aforementioned partial charge-offs recognized in the first quarter of 2016, seasonally lower service charges on deposit accounts of $5 million and higher personnel-related expenses of $4 million due to the full-quarter impact of the Hudson City acquisition. Those unfavorable factors were largely offset by a $17 million rise in net interest income and an $8 million decrease in advertising and promotional expenses. The improvement in net interest income predominantly reflected the full-quarter impact of consumer deposits obtained in the acquisition of Hudson City.</w:t>
      </w:r>
    </w:p>
    <w:p>
      <w:pPr>
        <w:spacing w:after="0" w:line="18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including the November 2015 Hudson City transaction, M&amp;T’s share of the operating losses of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income of the Company that reflects the ICS and WAS business activities. The various components of the “All Other” category resulted in net losses totaling $29 million for the quarter ended March 31, 2016, $67 million in the year-earlier quarter and $71 million in the fourth quarter of 2015. As compared with the first quarter of 2015, the favorable impact from the Company’s allocation methodologies for internal transfers for funding charges and credits associated with earning assets and interest-bearing liabilities of the Company’s reportable segments and the provision for credit losses, and decreases in professional services costs of $7 million were offset, in part, by: merger-related expenses aggregating $23 million in the recent quarter (there were no such expenses in the first quarter of 2015); higher personnel-related expenses of $17 million; a decline in trust income of $13 million, in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large part reflecting the impact of the sale of the trade processing business within the retirement services division of ICS in April 2015; and increased FDIC assessments of $10 million. Merger-related costs in the fourth quarter of 2015 aggregated $97 million. Excluding merger-related costs in each of the two most recent quarters, the “All Other” category resulted in net losses for the quarters ended March 31, 2016 and December 31, 2015 of $15 million and $10 million, respectively. The increased net loss from the immediately preceding quarter was mostly due to an increase in personnel-related and other operating costs, offset, in part, by the favorable impact from the Company’s allocation methodologies and lower professional services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Effective January 1, 2016, the Company adopted amended accounting guidance relating to the consolidation of variable interest entities to modify the evaluation of whether limited partnerships and similar legal entities are variable interest entities or voting interest entities and to eliminate the presumption that a general partner should consolidate a limited partnership. The amended guidance also eliminates certain conditions in the assessment of whether fees paid by a legal entity to a decision maker or a service provider represent a variable interest in the legal entity and reduces the extent to which related party arrangements cause an entity to be considered a primary beneficiary. The new guidance eliminates the indefinite deferral of existing consolidation guidance for certain investment funds, but provides a scope exception for reporting entities with interests in legal entities that are required to comply with or operate in accordance with requirements similar to those in Rule 2a-7 of the Investment Company Act of 1940 for registered money market funds. The adoption of this guidance did not have a material effect on the Company’s consolidated financial statements.</w:t>
      </w:r>
    </w:p>
    <w:p>
      <w:pPr>
        <w:spacing w:after="0" w:line="16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 January 2016, the Company also adopted amended accounting guidance for debt issuance costs. The guidance requires that debt issuance costs related to a recognized debt liability be presented in the balance sheet as a direct deduction from the carrying amount of that debt liability. The adoption of this guidance did not have a material effect on the Company’s consolidated financial position at January 1, 2016.</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first quarter of 2016, the Company adopted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The adoption of this guidance did not have a material effect on the Company’s consolidated financial position or results of operations.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Amended guidance for measurement-period adjustments related to business combinations was also adopted by the Company in the first quarter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amended guidance requires that an acquirer recognize adjustments to provisional amounts that are identified during the measurement period in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reporting period in which the adjustment amounts are determined. The acquirer is now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The adoption of this guidance did not have a material effect on the Company’s consolidated financial position or results of operations.</w:t>
      </w:r>
    </w:p>
    <w:p>
      <w:pPr>
        <w:spacing w:after="0" w:line="18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March 2016, the Financial Accounting Standards Board (“FASB”) issued amended guidance for share-based transactions. The amended guidance requires that all excess tax benefits and tax deficiencies be recognized as income tax expense or benefit in the income statement and that excess tax benefits should be recognized regardless of whether the benefit reduces taxes payable in the current period. The guidance allows an entity to make an accounting policy election to either estimate the number of awards that are expected to vest or account for forfeitures when they occur. The guidance permits share-based awards that allow for the withholding of shares up to the maximum statutory tax ratio in applicable jurisdictions to qualify for equity classification. The previous GAAP threshold was restricted to the employer’s minimum statutory withholding requirements. The guidance also specifies certain changes to the reporting of share-based transactions on the statement of cash flows and is effective for annual periods and interim periods within those annual periods beginning after December 15, 2016. The Company is still evaluating the impact the amended guidance may have on its consolidated financial statements.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FASB issued amended accounting guidance for the transition to the equity method of accounting. The amended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has been in effect during all previous periods that the investment had been held. Instead, the amended guidance requires the investor to adopt the equity method of accounting as of the date the investment first qualifies for such accounting. The guidance is effective for annual periods and interim periods within those annual periods beginning after December 15, 2016. The Company does not expect the guidance to have a material impact on its consolidated financial statements.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March 2016, the FASB issued two amendments to its rules on accounting for derivatives and hedging. The first amendment clarifies that a change in the counterparty to a derivative instrument that has been designated as the hedging instrument does not, in and of itself, require dedesignation of that hedging relationship provided that all other hedge accounting criteria continue to be met. The second amendment clarifies the requirements for assessing whether contingent call (put) options that can accelerate the payment of principal on debt instruments are clearly and closely related to their debt hosts. An entity performing the assessment is required to assess the embedded call (put) options solely in accordance with a four-step decision sequence and no longer has to assess whether the event that triggers the ability to exercise the option is related to interest rates or credit risks. Both amendments are effective for annual periods and interim periods within those annual periods beginning after December 15, 2016, with early adoption permitted. The Company does not expect the guidance will have a material impact on its consolidated financial statements.</w:t>
      </w:r>
    </w:p>
    <w:p>
      <w:pPr>
        <w:spacing w:after="0" w:line="17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February 2016, the FASB issued guidance related to the accounting for leases. The core principle of the guidance is that all leases create an asset and a liability for the lessee and, therefore, lease assets and lease liabilities should be recognized in the balance sheet. Lease assets will be recognized as a right-of-use asset and lease liabilities will be recognized as a liability to make lease payments. While the guidance requires all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leases to be recognized in the balance sheet, there continues to be a differentiation between finance leases and operating leases for purposes of income statement recognition and cash flow statement presentation. For finance leases, interest on the lease liability and amortization of the right-of-use asset will be recognized separately in the statement of income. Repayments of principal on lease liabilities will be classified within financing activities and payments of interest on the lease liability will be classified within operating activities in the statement of cash flows. For operating leases, a single lease cost is recognized in the statement of income and allocated over the lease term, generally on a straight-line basis. All cash payments are presented within operating activities in the statement of cash flows. The accounting applied by lessors is largely unchanged from existing GAAP, however, the guidance eliminates the accounting model for leveraged leases for leases that commence after the effective date of the guidance. The guidance is effective for annual periods beginning after December 15, 2018, including interim periods within those fiscal years. The Company occupies certain banking offices and uses certain equipment under noncancelable operating lease agreements, which currently are not reflected in its consolidated balance sheet. Such leases generally will be required to be presented in the Company’s consolidated balance sheet upon adoption of this guidance. The Company is evaluating the impact the guidance will have on its consolidated financial statements.</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January 2016, the FASB issued amended guidance related to recognition and measurement of financial assets and liabilities. The amended guidance requires that equity investments (excluding those accounted for under the equity method of accounting or those that result in consolidation of the investee) be measured at fair value with changes in fair value recognized in net income. An entity can elect to measure equity investments that do not have readily determinable fair values at cost less impairment, plus or minus changes resulting from observable price changes in orderly transactions for the identical or similar investment of the same issuer. The impairment assessment of equity investments without readily determinable fair values is simplified by requiring a qualitative assessment to identify impairment. When a qualitative assessment indicates impairment exists, an entity is required to measure the investment at fair value. The guidance eliminates the requirement for public business entities to disclose the method and significant assumptions used to estimate the fair value that is required to be disclosed for financial instruments measured at amortized cost on the balance sheet. Further, the guidance requires public entities to use the exit price when measuring the fair value of financial instruments for disclosure purposes. The guidance also requires an entity to present separately in other comprehensive income, a change in the instrument-specific credit risk when the entity has elected to measure a liability at fair value in accordance with the fair value option. Separate presentation of financial assets and financial liabilities by measurement category and type of instrument on the balance sheet or accompanying notes to the financial statements is required. The guidance also clarifies that an entity should evaluate the need for a valuation allowance on a deferred tax asset related to available-for-sale securities in combination with the entity’s other deferred tax assets. This guidance is effective for annual periods and interim periods within those annual periods beginning after December 15, 2017. The Company is evaluating the impact the guidance could have on its consolidated financial statements.</w:t>
      </w:r>
    </w:p>
    <w:p>
      <w:pPr>
        <w:spacing w:after="0" w:line="16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8"/>
        <w:spacing w:after="0" w:line="254"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determine the transaction price; (4) 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In August 2015, the FASB deferred the effective date of this guidance by one year. The amended guidance is now effective for annual reporting periods beginning after December 15, 2017,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Company is still evaluating the impact the guidance could have on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0760"/>
          </w:cols>
          <w:pgMar w:left="240" w:top="459" w:right="899" w:bottom="1440" w:gutter="0" w:footer="0" w:header="0"/>
        </w:sectPr>
      </w:pPr>
    </w:p>
    <w:bookmarkStart w:id="89" w:name="page90"/>
    <w:bookmarkEnd w:id="8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2016</w:t>
            </w:r>
          </w:p>
        </w:tc>
        <w:tc>
          <w:tcPr>
            <w:tcW w:w="3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color w:val="auto"/>
              </w:rPr>
              <w:t>2015 Quarters</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color w:val="auto"/>
                <w:w w:val="91"/>
              </w:rPr>
              <w:t>First Quarter</w:t>
            </w:r>
          </w:p>
        </w:tc>
        <w:tc>
          <w:tcPr>
            <w:tcW w:w="380" w:type="dxa"/>
            <w:vAlign w:val="bottom"/>
          </w:tcPr>
          <w:p>
            <w:pPr>
              <w:spacing w:after="0"/>
              <w:rPr>
                <w:sz w:val="12"/>
                <w:szCs w:val="12"/>
                <w:color w:val="auto"/>
              </w:rPr>
            </w:pPr>
          </w:p>
        </w:tc>
        <w:tc>
          <w:tcPr>
            <w:tcW w:w="104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Fourth</w:t>
            </w:r>
          </w:p>
        </w:tc>
        <w:tc>
          <w:tcPr>
            <w:tcW w:w="104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Third</w:t>
            </w:r>
          </w:p>
        </w:tc>
        <w:tc>
          <w:tcPr>
            <w:tcW w:w="104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979,166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908,734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776,274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766,374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743,925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100,870</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95,333</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77,199</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878,296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813,401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699,075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689,148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49,000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58,000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44,000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420,933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448,108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439,699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497,027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440,203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other expense</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776,095</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786,113</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653,816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696,628</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686,375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474,134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417,396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440,958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459,547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381,254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169,274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140,074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154,309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166,839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6,248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298,528</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270,965</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280,401</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286,688</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241,613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275,748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248,059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257,346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263,481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158,734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150,027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132,630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132,356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159,181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150,718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133,376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133,116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Return 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7.22%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8.93%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on average earning assets (taxable-equivalent basis)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320,064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337,613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282,907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290,341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Annualized return 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11.62%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13.26%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12.98%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balances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123,252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115,052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98,515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97,598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118,577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110,772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94,989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94,067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111,211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103,587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88,446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87,333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15,348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15,786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14,441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14,195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87,584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81,110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67,849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67,670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92,391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85,657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73,821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72,958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15,047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13,775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11,555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10,372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9,495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8,029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7,873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124,626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122,788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97,797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97,080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119,955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118,109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94,272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93,552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113,005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110,802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87,807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86,990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15,467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15,656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14,495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87,872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87,489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68,540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68,131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94,215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91,958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72,945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72,630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340"/>
              <w:spacing w:after="0" w:line="201" w:lineRule="exact"/>
              <w:rPr>
                <w:sz w:val="20"/>
                <w:szCs w:val="20"/>
                <w:color w:val="auto"/>
              </w:rPr>
            </w:pPr>
            <w:r>
              <w:rPr>
                <w:rFonts w:ascii="Arial" w:cs="Arial" w:eastAsia="Arial" w:hAnsi="Arial"/>
                <w:sz w:val="18"/>
                <w:szCs w:val="18"/>
                <w:color w:val="auto"/>
              </w:rPr>
              <w:t>Common shareholders’ equity, net of undeclared cumulative preferred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dividends (c)</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15,120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14,939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11,687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11,433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10,449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10,260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95.00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93.60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87.67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85.90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119.24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127.39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100.08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111.50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111.86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117.86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121.18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121.95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124.93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67" w:orient="portrait"/>
          <w:cols w:equalWidth="0" w:num="1">
            <w:col w:w="11420"/>
          </w:cols>
          <w:pgMar w:left="240" w:top="459" w:right="239" w:bottom="0" w:gutter="0" w:footer="0" w:header="0"/>
        </w:sectPr>
      </w:pPr>
    </w:p>
    <w:p>
      <w:pPr>
        <w:spacing w:after="0" w:line="42" w:lineRule="exact"/>
        <w:rPr>
          <w:sz w:val="20"/>
          <w:szCs w:val="20"/>
          <w:color w:val="auto"/>
        </w:rPr>
      </w:pPr>
    </w:p>
    <w:p>
      <w:pPr>
        <w:jc w:val="both"/>
        <w:ind w:left="460" w:right="80" w:hanging="452"/>
        <w:spacing w:after="0" w:line="342" w:lineRule="auto"/>
        <w:tabs>
          <w:tab w:leader="none" w:pos="46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ectPr>
          <w:pgSz w:w="11900" w:h="16867" w:orient="portrait"/>
          <w:cols w:equalWidth="0" w:num="1">
            <w:col w:w="11420"/>
          </w:cols>
          <w:pgMar w:left="240" w:top="459" w:right="239" w:bottom="0" w:gutter="0" w:footer="0" w:header="0"/>
          <w:type w:val="continuous"/>
        </w:sectPr>
      </w:pPr>
    </w:p>
    <w:bookmarkStart w:id="90" w:name="page91"/>
    <w:bookmarkEnd w:id="90"/>
    <w:p>
      <w:pPr>
        <w:ind w:left="452" w:hanging="452"/>
        <w:spacing w:after="0"/>
        <w:tabs>
          <w:tab w:leader="none" w:pos="452"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expenses and net securities transactions.</w:t>
      </w:r>
    </w:p>
    <w:p>
      <w:pPr>
        <w:spacing w:after="0" w:line="23" w:lineRule="exact"/>
        <w:rPr>
          <w:rFonts w:ascii="Arial" w:cs="Arial" w:eastAsia="Arial" w:hAnsi="Arial"/>
          <w:sz w:val="18"/>
          <w:szCs w:val="18"/>
          <w:i w:val="1"/>
          <w:iCs w:val="1"/>
          <w:color w:val="auto"/>
        </w:rPr>
      </w:pPr>
    </w:p>
    <w:p>
      <w:pPr>
        <w:ind w:left="452" w:hanging="452"/>
        <w:spacing w:after="0" w:line="323" w:lineRule="auto"/>
        <w:tabs>
          <w:tab w:leader="none" w:pos="452"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7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32"/>
          </w:cols>
          <w:pgMar w:left="248" w:top="125" w:right="419" w:bottom="1440" w:gutter="0" w:footer="0" w:header="0"/>
        </w:sectPr>
      </w:pPr>
    </w:p>
    <w:bookmarkStart w:id="91" w:name="page92"/>
    <w:bookmarkEnd w:id="9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w w:val="89"/>
              </w:rPr>
              <w:t>Table 2</w:t>
            </w:r>
          </w:p>
        </w:tc>
      </w:tr>
      <w:tr>
        <w:trPr>
          <w:trHeight w:val="432"/>
        </w:trPr>
        <w:tc>
          <w:tcPr>
            <w:tcW w:w="5800" w:type="dxa"/>
            <w:vAlign w:val="bottom"/>
            <w:gridSpan w:val="3"/>
          </w:tcPr>
          <w:p>
            <w:pPr>
              <w:spacing w:after="0"/>
              <w:rPr>
                <w:sz w:val="20"/>
                <w:szCs w:val="20"/>
                <w:color w:val="auto"/>
              </w:rPr>
            </w:pPr>
            <w:r>
              <w:rPr>
                <w:rFonts w:ascii="Arial" w:cs="Arial" w:eastAsia="Arial" w:hAnsi="Arial"/>
                <w:sz w:val="18"/>
                <w:szCs w:val="18"/>
                <w:color w:val="auto"/>
                <w:w w:val="97"/>
              </w:rPr>
              <w:t>RECONCILIATION OF QUARTERLY GAAP TO NON-GAAP MEASURES</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2016</w:t>
            </w:r>
          </w:p>
        </w:tc>
        <w:tc>
          <w:tcPr>
            <w:tcW w:w="3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color w:val="auto"/>
              </w:rPr>
              <w:t>2015 Quarters</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First Quarter</w:t>
            </w:r>
          </w:p>
        </w:tc>
        <w:tc>
          <w:tcPr>
            <w:tcW w:w="380" w:type="dxa"/>
            <w:vAlign w:val="bottom"/>
          </w:tcPr>
          <w:p>
            <w:pPr>
              <w:spacing w:after="0"/>
              <w:rPr>
                <w:sz w:val="12"/>
                <w:szCs w:val="12"/>
                <w:color w:val="auto"/>
              </w:rPr>
            </w:pPr>
          </w:p>
        </w:tc>
        <w:tc>
          <w:tcPr>
            <w:tcW w:w="1180" w:type="dxa"/>
            <w:vAlign w:val="bottom"/>
            <w:gridSpan w:val="2"/>
          </w:tcPr>
          <w:p>
            <w:pPr>
              <w:jc w:val="right"/>
              <w:ind w:right="580"/>
              <w:spacing w:after="0" w:line="142" w:lineRule="exact"/>
              <w:rPr>
                <w:sz w:val="20"/>
                <w:szCs w:val="20"/>
                <w:color w:val="auto"/>
              </w:rPr>
            </w:pPr>
            <w:r>
              <w:rPr>
                <w:rFonts w:ascii="Arial" w:cs="Arial" w:eastAsia="Arial" w:hAnsi="Arial"/>
                <w:sz w:val="14"/>
                <w:szCs w:val="14"/>
                <w:color w:val="auto"/>
              </w:rPr>
              <w:t>Fourth</w:t>
            </w: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Third</w:t>
            </w:r>
          </w:p>
        </w:tc>
        <w:tc>
          <w:tcPr>
            <w:tcW w:w="1180" w:type="dxa"/>
            <w:vAlign w:val="bottom"/>
            <w:gridSpan w:val="2"/>
          </w:tcPr>
          <w:p>
            <w:pPr>
              <w:jc w:val="right"/>
              <w:ind w:right="58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20" w:type="dxa"/>
            <w:vAlign w:val="bottom"/>
            <w:gridSpan w:val="2"/>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298,528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270,965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280,401</w:t>
            </w:r>
          </w:p>
        </w:tc>
        <w:tc>
          <w:tcPr>
            <w:tcW w:w="780" w:type="dxa"/>
            <w:vAlign w:val="bottom"/>
          </w:tcPr>
          <w:p>
            <w:pPr>
              <w:jc w:val="right"/>
              <w:spacing w:after="0"/>
              <w:rPr>
                <w:sz w:val="20"/>
                <w:szCs w:val="20"/>
                <w:color w:val="auto"/>
              </w:rPr>
            </w:pPr>
            <w:r>
              <w:rPr>
                <w:rFonts w:ascii="Arial" w:cs="Arial" w:eastAsia="Arial" w:hAnsi="Arial"/>
                <w:sz w:val="18"/>
                <w:szCs w:val="18"/>
                <w:color w:val="auto"/>
              </w:rPr>
              <w:t>286,688</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241,613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60,820</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320,064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337,613</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282,907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290,341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245,776</w:t>
            </w:r>
          </w:p>
        </w:tc>
        <w:tc>
          <w:tcPr>
            <w:tcW w:w="20" w:type="dxa"/>
            <w:vAlign w:val="bottom"/>
          </w:tcPr>
          <w:p>
            <w:pPr>
              <w:spacing w:after="0"/>
              <w:rPr>
                <w:sz w:val="18"/>
                <w:szCs w:val="18"/>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Diluted net operating earnings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776,095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786,113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653,816</w:t>
            </w:r>
          </w:p>
        </w:tc>
        <w:tc>
          <w:tcPr>
            <w:tcW w:w="780" w:type="dxa"/>
            <w:vAlign w:val="bottom"/>
          </w:tcPr>
          <w:p>
            <w:pPr>
              <w:jc w:val="right"/>
              <w:spacing w:after="0"/>
              <w:rPr>
                <w:sz w:val="20"/>
                <w:szCs w:val="20"/>
                <w:color w:val="auto"/>
              </w:rPr>
            </w:pPr>
            <w:r>
              <w:rPr>
                <w:rFonts w:ascii="Arial" w:cs="Arial" w:eastAsia="Arial" w:hAnsi="Arial"/>
                <w:sz w:val="18"/>
                <w:szCs w:val="18"/>
                <w:color w:val="auto"/>
              </w:rPr>
              <w:t>696,628</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686,375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(12,319)</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(9,576)</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Merger-related expenses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(23,162)</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(75,976)</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operating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740,614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700,561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649,726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690,663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679,582</w:t>
            </w:r>
          </w:p>
        </w:tc>
        <w:tc>
          <w:tcPr>
            <w:tcW w:w="20" w:type="dxa"/>
            <w:vAlign w:val="bottom"/>
          </w:tcPr>
          <w:p>
            <w:pPr>
              <w:spacing w:after="0"/>
              <w:rPr>
                <w:sz w:val="18"/>
                <w:szCs w:val="18"/>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Merger-related expenses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51,287</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939</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16,012</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23,162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75,976</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23,162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96,976</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740,614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700,561</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649,726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690,663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679,582</w:t>
            </w:r>
          </w:p>
        </w:tc>
        <w:tc>
          <w:tcPr>
            <w:tcW w:w="20" w:type="dxa"/>
            <w:vAlign w:val="bottom"/>
          </w:tcPr>
          <w:p>
            <w:pPr>
              <w:spacing w:after="0"/>
              <w:rPr>
                <w:sz w:val="18"/>
                <w:szCs w:val="18"/>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Taxable-equivalent net interest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878,296</w:t>
            </w:r>
          </w:p>
        </w:tc>
        <w:tc>
          <w:tcPr>
            <w:tcW w:w="3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813,401</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699,075</w:t>
            </w:r>
          </w:p>
        </w:tc>
        <w:tc>
          <w:tcPr>
            <w:tcW w:w="4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689,148</w:t>
            </w:r>
          </w:p>
        </w:tc>
        <w:tc>
          <w:tcPr>
            <w:tcW w:w="4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665,426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420,933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448,108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439,699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497,027</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440,203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Gain (loss) on bank investment securities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1,299,225</w:t>
            </w: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1,261,531</w:t>
            </w:r>
          </w:p>
        </w:tc>
        <w:tc>
          <w:tcPr>
            <w:tcW w:w="3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1,138,774</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1,186,185</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1,105,727</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57.00%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55.53%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57.05%</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58.23%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61.46%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Average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123,252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115,052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98,515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97,598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95,892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(3,513)</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Average 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118,577</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110,772</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94,989</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94,067</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16,279</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15,007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12,787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12,636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Average common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15,047</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11,555</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(3,513)</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Average tangible common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124,626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122,788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97,797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97,080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(4,593)</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(4,593)</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(3,513)</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(3,513)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118,109</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94,272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93,552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94,834</w:t>
            </w:r>
          </w:p>
        </w:tc>
        <w:tc>
          <w:tcPr>
            <w:tcW w:w="20" w:type="dxa"/>
            <w:vAlign w:val="bottom"/>
          </w:tcPr>
          <w:p>
            <w:pPr>
              <w:spacing w:after="0"/>
              <w:rPr>
                <w:sz w:val="18"/>
                <w:szCs w:val="18"/>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16,355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16,173</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12,922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12,668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(1,232)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(1,232)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Undeclared dividends - cumulative preferred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Common equity, net of undeclared cumulative preferred dividends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11,687</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11,433</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(3,513)</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84"/>
        </w:trPr>
        <w:tc>
          <w:tcPr>
            <w:tcW w:w="20" w:type="dxa"/>
            <w:vAlign w:val="bottom"/>
            <w:shd w:val="clear" w:color="auto" w:fill="CCEEFF"/>
          </w:tcPr>
          <w:p>
            <w:pPr>
              <w:spacing w:after="0"/>
              <w:rPr>
                <w:sz w:val="7"/>
                <w:szCs w:val="7"/>
                <w:color w:val="auto"/>
              </w:rPr>
            </w:pPr>
          </w:p>
        </w:tc>
        <w:tc>
          <w:tcPr>
            <w:tcW w:w="5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bl>
    <w:p>
      <w:pPr>
        <w:sectPr>
          <w:pgSz w:w="11900" w:h="16900" w:orient="portrait"/>
          <w:cols w:equalWidth="0" w:num="1">
            <w:col w:w="11420"/>
          </w:cols>
          <w:pgMar w:left="240" w:top="459" w:right="2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tangible common equity</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10,449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2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20"/>
          </w:cols>
          <w:pgMar w:left="240" w:top="140"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Table 3</w:t>
            </w:r>
          </w:p>
        </w:tc>
        <w:tc>
          <w:tcPr>
            <w:tcW w:w="0" w:type="dxa"/>
            <w:vAlign w:val="bottom"/>
          </w:tcPr>
          <w:p>
            <w:pPr>
              <w:spacing w:after="0"/>
              <w:rPr>
                <w:sz w:val="1"/>
                <w:szCs w:val="1"/>
                <w:color w:val="auto"/>
              </w:rPr>
            </w:pPr>
          </w:p>
        </w:tc>
      </w:tr>
      <w:tr>
        <w:trPr>
          <w:trHeight w:val="432"/>
        </w:trPr>
        <w:tc>
          <w:tcPr>
            <w:tcW w:w="6980" w:type="dxa"/>
            <w:vAlign w:val="bottom"/>
            <w:gridSpan w:val="11"/>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ind w:left="440"/>
              <w:spacing w:after="0"/>
              <w:rPr>
                <w:sz w:val="20"/>
                <w:szCs w:val="20"/>
                <w:color w:val="auto"/>
              </w:rPr>
            </w:pPr>
            <w:r>
              <w:rPr>
                <w:rFonts w:ascii="Arial" w:cs="Arial" w:eastAsia="Arial" w:hAnsi="Arial"/>
                <w:sz w:val="14"/>
                <w:szCs w:val="14"/>
                <w:color w:val="auto"/>
                <w:w w:val="93"/>
              </w:rPr>
              <w:t>2016 First Quarter</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color w:val="auto"/>
              </w:rPr>
              <w:t>2015 Fourth Quarter</w:t>
            </w:r>
          </w:p>
        </w:tc>
        <w:tc>
          <w:tcPr>
            <w:tcW w:w="2140" w:type="dxa"/>
            <w:vAlign w:val="bottom"/>
            <w:gridSpan w:val="7"/>
          </w:tcPr>
          <w:p>
            <w:pPr>
              <w:ind w:left="440"/>
              <w:spacing w:after="0"/>
              <w:rPr>
                <w:sz w:val="20"/>
                <w:szCs w:val="20"/>
                <w:color w:val="auto"/>
              </w:rPr>
            </w:pPr>
            <w:r>
              <w:rPr>
                <w:rFonts w:ascii="Arial" w:cs="Arial" w:eastAsia="Arial" w:hAnsi="Arial"/>
                <w:sz w:val="14"/>
                <w:szCs w:val="14"/>
                <w:color w:val="auto"/>
              </w:rPr>
              <w:t>2015 Third Quarter</w:t>
            </w:r>
          </w:p>
        </w:tc>
        <w:tc>
          <w:tcPr>
            <w:tcW w:w="0" w:type="dxa"/>
            <w:vAlign w:val="bottom"/>
          </w:tcPr>
          <w:p>
            <w:pPr>
              <w:spacing w:after="0"/>
              <w:rPr>
                <w:sz w:val="1"/>
                <w:szCs w:val="1"/>
                <w:color w:val="auto"/>
              </w:rPr>
            </w:pPr>
          </w:p>
        </w:tc>
      </w:tr>
      <w:tr>
        <w:trPr>
          <w:trHeight w:val="149"/>
        </w:trPr>
        <w:tc>
          <w:tcPr>
            <w:tcW w:w="458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5"/>
              </w:rPr>
              <w:t>Average</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8"/>
              </w:rPr>
              <w:t>Average</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Average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Average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4580" w:type="dxa"/>
            <w:vAlign w:val="bottom"/>
            <w:gridSpan w:val="4"/>
            <w:vMerge w:val="continue"/>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w w:val="98"/>
              </w:rPr>
              <w:t>Balance</w:t>
            </w: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Interest</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Rate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Balance</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Interest</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Rate</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Balance</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Interest</w:t>
            </w:r>
          </w:p>
        </w:tc>
        <w:tc>
          <w:tcPr>
            <w:tcW w:w="2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Commercial, financial, etc.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20,717</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$174,657</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3.39%</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20,221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164,515</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3.23%</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19,939</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161,709</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Real estate - commercial</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29,426</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309,415</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4.16</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28,973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303,960</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28,309</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302,626</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Real estate - consumer</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25,859</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254,144</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3.93</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20,369</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204,420</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8,348</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87,047</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130,971</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11,547</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129,103</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11,253</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126,369</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Total loans and leases, net</w:t>
            </w: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87,584</w:t>
            </w: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869,187</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w:t>
            </w:r>
          </w:p>
        </w:tc>
        <w:tc>
          <w:tcPr>
            <w:tcW w:w="3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81,110</w:t>
            </w:r>
          </w:p>
        </w:tc>
        <w:tc>
          <w:tcPr>
            <w:tcW w:w="2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801,998</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67,849</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677,751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8,193</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10,337</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.51</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6,622</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4,931</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6,060</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3,852</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Federal funds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.54</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1.78</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U.S. Treasury and federal agencies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14,264</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90,138</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14,778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89,052</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2.39</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13,548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86,152</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1,164</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4.13</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1,419</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4.40</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1,398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7,961</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4.96</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755</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6,996</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Total investment securities</w:t>
            </w: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15,348</w:t>
            </w: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99,263</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w:t>
            </w:r>
          </w:p>
        </w:tc>
        <w:tc>
          <w:tcPr>
            <w:tcW w:w="3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15,786</w:t>
            </w:r>
          </w:p>
        </w:tc>
        <w:tc>
          <w:tcPr>
            <w:tcW w:w="2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101,486</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14,441</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94,546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Total earning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111,211</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979,166</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103,587</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908,734</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88,446</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776,274</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56"/>
        </w:trPr>
        <w:tc>
          <w:tcPr>
            <w:tcW w:w="4580" w:type="dxa"/>
            <w:vAlign w:val="bottom"/>
            <w:gridSpan w:val="4"/>
          </w:tcPr>
          <w:p>
            <w:pPr>
              <w:spacing w:after="0" w:line="155" w:lineRule="exact"/>
              <w:rPr>
                <w:sz w:val="20"/>
                <w:szCs w:val="20"/>
                <w:color w:val="auto"/>
              </w:rPr>
            </w:pPr>
            <w:r>
              <w:rPr>
                <w:rFonts w:ascii="Arial" w:cs="Arial" w:eastAsia="Arial" w:hAnsi="Arial"/>
                <w:sz w:val="14"/>
                <w:szCs w:val="14"/>
                <w:color w:val="auto"/>
              </w:rPr>
              <w:t>Allowance for credit losses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(955)</w:t>
            </w:r>
          </w:p>
        </w:tc>
        <w:tc>
          <w:tcPr>
            <w:tcW w:w="2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(947)</w:t>
            </w:r>
          </w:p>
        </w:tc>
        <w:tc>
          <w:tcPr>
            <w:tcW w:w="2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(937)</w:t>
            </w: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1,288</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1,348</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1,218</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11,708</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11,064</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9,788</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123,252</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115,052</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98,515</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Interest-bearing deposits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Interest-checking deposits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1,309</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Savings deposits</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48,976</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15,891</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45,974</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13,219</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41,197</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10,937</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Time deposits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12,999</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24,322</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9,686</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15,986</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2,858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3,643</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Deposits at Cayman Islands office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2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224</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.30</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206</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40" w:type="dxa"/>
            <w:vAlign w:val="bottom"/>
          </w:tcPr>
          <w:p>
            <w:pPr>
              <w:spacing w:after="0"/>
              <w:rPr>
                <w:sz w:val="12"/>
                <w:szCs w:val="12"/>
                <w:color w:val="auto"/>
              </w:rPr>
            </w:pP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interest-bearing deposits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63,521</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40,820</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57,215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29,756</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45,570</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15,091</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4580" w:type="dxa"/>
            <w:vAlign w:val="bottom"/>
            <w:gridSpan w:val="4"/>
          </w:tcPr>
          <w:p>
            <w:pPr>
              <w:spacing w:after="0" w:line="155" w:lineRule="exact"/>
              <w:rPr>
                <w:sz w:val="20"/>
                <w:szCs w:val="20"/>
                <w:color w:val="auto"/>
              </w:rPr>
            </w:pPr>
            <w:r>
              <w:rPr>
                <w:rFonts w:ascii="Arial" w:cs="Arial" w:eastAsia="Arial" w:hAnsi="Arial"/>
                <w:sz w:val="14"/>
                <w:szCs w:val="14"/>
                <w:color w:val="auto"/>
              </w:rPr>
              <w:t>Short-term borrowings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2,082</w:t>
            </w:r>
          </w:p>
        </w:tc>
        <w:tc>
          <w:tcPr>
            <w:tcW w:w="2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2,162</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w:t>
            </w:r>
          </w:p>
        </w:tc>
        <w:tc>
          <w:tcPr>
            <w:tcW w:w="32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1,615</w:t>
            </w:r>
          </w:p>
        </w:tc>
        <w:tc>
          <w:tcPr>
            <w:tcW w:w="26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1,575</w:t>
            </w:r>
          </w:p>
        </w:tc>
        <w:tc>
          <w:tcPr>
            <w:tcW w:w="24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3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24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10,528</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57,888</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2.21</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10,748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64,002</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2.36</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10,114</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62,076</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gridSpan w:val="2"/>
          </w:tcPr>
          <w:p>
            <w:pPr>
              <w:ind w:left="380"/>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76,131</w:t>
            </w: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100,870</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w:t>
            </w:r>
          </w:p>
        </w:tc>
        <w:tc>
          <w:tcPr>
            <w:tcW w:w="3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69,578</w:t>
            </w:r>
          </w:p>
        </w:tc>
        <w:tc>
          <w:tcPr>
            <w:tcW w:w="2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95,333</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55,858</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77,199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28,870</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28,443</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28,251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1,972</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2,024</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1,619</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106,973</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100,045</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85,728</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80" w:type="dxa"/>
            <w:vAlign w:val="bottom"/>
            <w:gridSpan w:val="4"/>
          </w:tcPr>
          <w:p>
            <w:pPr>
              <w:spacing w:after="0" w:line="155" w:lineRule="exact"/>
              <w:rPr>
                <w:sz w:val="20"/>
                <w:szCs w:val="20"/>
                <w:color w:val="auto"/>
              </w:rPr>
            </w:pPr>
            <w:r>
              <w:rPr>
                <w:rFonts w:ascii="Arial" w:cs="Arial" w:eastAsia="Arial" w:hAnsi="Arial"/>
                <w:sz w:val="14"/>
                <w:szCs w:val="14"/>
                <w:color w:val="auto"/>
              </w:rPr>
              <w:t>Shareholders’ equity</w:t>
            </w: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16,279</w:t>
            </w: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15,007</w:t>
            </w:r>
          </w:p>
        </w:tc>
        <w:tc>
          <w:tcPr>
            <w:tcW w:w="26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12,787</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123,252</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115,052</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98,515</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rPr>
                <w:sz w:val="20"/>
                <w:szCs w:val="20"/>
                <w:color w:val="auto"/>
              </w:rPr>
            </w:pPr>
            <w:r>
              <w:rPr>
                <w:rFonts w:ascii="Arial" w:cs="Arial" w:eastAsia="Arial" w:hAnsi="Arial"/>
                <w:sz w:val="14"/>
                <w:szCs w:val="14"/>
                <w:color w:val="auto"/>
              </w:rPr>
              <w:t>Net interest spread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3.01</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2.94</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2.93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rPr>
                <w:sz w:val="20"/>
                <w:szCs w:val="20"/>
                <w:color w:val="auto"/>
              </w:rPr>
            </w:pPr>
            <w:r>
              <w:rPr>
                <w:rFonts w:ascii="Arial" w:cs="Arial" w:eastAsia="Arial" w:hAnsi="Arial"/>
                <w:sz w:val="14"/>
                <w:szCs w:val="14"/>
                <w:color w:val="auto"/>
              </w:rPr>
              <w:t>Net interest income/margin on earning assets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878,296</w:t>
            </w:r>
          </w:p>
        </w:tc>
        <w:tc>
          <w:tcPr>
            <w:tcW w:w="240" w:type="dxa"/>
            <w:vAlign w:val="bottom"/>
            <w:vMerge w:val="continue"/>
          </w:tcPr>
          <w:p>
            <w:pPr>
              <w:spacing w:after="0"/>
              <w:rPr>
                <w:sz w:val="13"/>
                <w:szCs w:val="13"/>
                <w:color w:val="auto"/>
              </w:rPr>
            </w:pP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3.18%</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813,401</w:t>
            </w:r>
          </w:p>
        </w:tc>
        <w:tc>
          <w:tcPr>
            <w:tcW w:w="240" w:type="dxa"/>
            <w:vAlign w:val="bottom"/>
            <w:vMerge w:val="continue"/>
          </w:tcPr>
          <w:p>
            <w:pPr>
              <w:spacing w:after="0"/>
              <w:rPr>
                <w:sz w:val="13"/>
                <w:szCs w:val="13"/>
                <w:color w:val="auto"/>
              </w:rPr>
            </w:pP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3.12%</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699,075</w:t>
            </w:r>
          </w:p>
        </w:tc>
        <w:tc>
          <w:tcPr>
            <w:tcW w:w="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4380" w:type="dxa"/>
            <w:vAlign w:val="bottom"/>
            <w:gridSpan w:val="2"/>
          </w:tcPr>
          <w:p>
            <w:pPr>
              <w:ind w:left="220"/>
              <w:spacing w:after="0"/>
              <w:rPr>
                <w:sz w:val="20"/>
                <w:szCs w:val="20"/>
                <w:color w:val="auto"/>
              </w:rPr>
            </w:pPr>
            <w:r>
              <w:rPr>
                <w:rFonts w:ascii="Arial" w:cs="Arial" w:eastAsia="Arial" w:hAnsi="Arial"/>
                <w:sz w:val="18"/>
                <w:szCs w:val="18"/>
                <w:i w:val="1"/>
                <w:iCs w:val="1"/>
                <w:color w:val="auto"/>
              </w:rPr>
              <w:t>Includes nonaccrual loans.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1"/>
              </w:rPr>
              <w:t>(continued)</w:t>
            </w: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tcPr>
          <w:p>
            <w:pPr>
              <w:jc w:val="center"/>
              <w:ind w:right="420"/>
              <w:spacing w:after="0"/>
              <w:rPr>
                <w:sz w:val="20"/>
                <w:szCs w:val="20"/>
                <w:color w:val="auto"/>
              </w:rPr>
            </w:pPr>
            <w:r>
              <w:rPr>
                <w:rFonts w:ascii="Arial" w:cs="Arial" w:eastAsia="Arial" w:hAnsi="Arial"/>
                <w:sz w:val="14"/>
                <w:szCs w:val="14"/>
                <w:color w:val="auto"/>
                <w:w w:val="91"/>
              </w:rPr>
              <w:t>2015 Second Quarter</w:t>
            </w:r>
          </w:p>
        </w:tc>
        <w:tc>
          <w:tcPr>
            <w:tcW w:w="4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w w:val="93"/>
              </w:rPr>
              <w:t>2015 First Quarter</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19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8"/>
              </w:rPr>
              <w:t>Average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8"/>
              </w:rPr>
              <w:t>Average</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4880" w:type="dxa"/>
            <w:vAlign w:val="bottom"/>
            <w:gridSpan w:val="3"/>
            <w:vMerge w:val="continue"/>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Interest</w:t>
            </w:r>
          </w:p>
        </w:tc>
        <w:tc>
          <w:tcPr>
            <w:tcW w:w="840" w:type="dxa"/>
            <w:vAlign w:val="bottom"/>
            <w:gridSpan w:val="2"/>
          </w:tcPr>
          <w:p>
            <w:pPr>
              <w:jc w:val="right"/>
              <w:ind w:right="460"/>
              <w:spacing w:after="0"/>
              <w:rPr>
                <w:sz w:val="20"/>
                <w:szCs w:val="20"/>
                <w:color w:val="auto"/>
              </w:rPr>
            </w:pPr>
            <w:r>
              <w:rPr>
                <w:rFonts w:ascii="Arial" w:cs="Arial" w:eastAsia="Arial" w:hAnsi="Arial"/>
                <w:sz w:val="14"/>
                <w:szCs w:val="14"/>
                <w:color w:val="auto"/>
              </w:rPr>
              <w:t>Rate</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Balance</w:t>
            </w:r>
          </w:p>
        </w:tc>
        <w:tc>
          <w:tcPr>
            <w:tcW w:w="2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Interest</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960" w:type="dxa"/>
            <w:vAlign w:val="bottom"/>
            <w:tcBorders>
              <w:top w:val="single" w:sz="8" w:color="CCEEFF"/>
            </w:tcBorders>
            <w:shd w:val="clear" w:color="auto" w:fill="CCEEFF"/>
          </w:tcPr>
          <w:p>
            <w:pPr>
              <w:spacing w:after="0"/>
              <w:rPr>
                <w:sz w:val="11"/>
                <w:szCs w:val="11"/>
                <w:color w:val="auto"/>
              </w:rPr>
            </w:pPr>
          </w:p>
        </w:tc>
        <w:tc>
          <w:tcPr>
            <w:tcW w:w="19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Earning assets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Commercial, financial, etc.</w:t>
            </w:r>
          </w:p>
        </w:tc>
        <w:tc>
          <w:tcPr>
            <w:tcW w:w="1980" w:type="dxa"/>
            <w:vAlign w:val="bottom"/>
            <w:gridSpan w:val="2"/>
          </w:tcPr>
          <w:p>
            <w:pPr>
              <w:ind w:left="190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19,973</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$158,109</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19,457</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153,866</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Real estate - commercial</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28,208</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298,565</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27,596</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288,121</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Real estate - consumer</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8,447</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88,473</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4.19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8,572</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88,850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Consumer</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11,042</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122,812</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10,962</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121,366</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Total loans and leases, net</w:t>
            </w:r>
          </w:p>
        </w:tc>
        <w:tc>
          <w:tcPr>
            <w:tcW w:w="19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67,670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667,959</w:t>
            </w: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w:t>
            </w:r>
          </w:p>
        </w:tc>
        <w:tc>
          <w:tcPr>
            <w:tcW w:w="3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66,587</w:t>
            </w:r>
          </w:p>
        </w:tc>
        <w:tc>
          <w:tcPr>
            <w:tcW w:w="2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652,203</w:t>
            </w:r>
          </w:p>
        </w:tc>
        <w:tc>
          <w:tcPr>
            <w:tcW w:w="2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5,326</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3,351</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3,118</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Federal funds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2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239</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Investment securities**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U.S. Treasury and federal agencies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13,265</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83,356</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12,437</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78,313</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160" w:type="dxa"/>
            <w:vAlign w:val="bottom"/>
          </w:tcPr>
          <w:p>
            <w:pPr>
              <w:spacing w:after="0"/>
              <w:rPr>
                <w:sz w:val="12"/>
                <w:szCs w:val="12"/>
                <w:color w:val="auto"/>
              </w:rPr>
            </w:pP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1,607</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1,967</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9,853</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7,735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Total investment securities</w:t>
            </w:r>
          </w:p>
        </w:tc>
        <w:tc>
          <w:tcPr>
            <w:tcW w:w="19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14,195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94,816</w:t>
            </w: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2.68</w:t>
            </w:r>
          </w:p>
        </w:tc>
        <w:tc>
          <w:tcPr>
            <w:tcW w:w="3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13,376</w:t>
            </w:r>
          </w:p>
        </w:tc>
        <w:tc>
          <w:tcPr>
            <w:tcW w:w="2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88,015</w:t>
            </w:r>
          </w:p>
        </w:tc>
        <w:tc>
          <w:tcPr>
            <w:tcW w:w="2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earning assets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87,333</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766,374</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85,212</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743,925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56"/>
        </w:trPr>
        <w:tc>
          <w:tcPr>
            <w:tcW w:w="4880" w:type="dxa"/>
            <w:vAlign w:val="bottom"/>
            <w:gridSpan w:val="3"/>
          </w:tcPr>
          <w:p>
            <w:pPr>
              <w:spacing w:after="0" w:line="155" w:lineRule="exact"/>
              <w:rPr>
                <w:sz w:val="20"/>
                <w:szCs w:val="20"/>
                <w:color w:val="auto"/>
              </w:rPr>
            </w:pPr>
            <w:r>
              <w:rPr>
                <w:rFonts w:ascii="Arial" w:cs="Arial" w:eastAsia="Arial" w:hAnsi="Arial"/>
                <w:sz w:val="14"/>
                <w:szCs w:val="14"/>
                <w:color w:val="auto"/>
              </w:rPr>
              <w:t>Allowance for credit losses</w:t>
            </w:r>
          </w:p>
        </w:tc>
        <w:tc>
          <w:tcPr>
            <w:tcW w:w="19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(925)</w:t>
            </w: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1,180</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1,221</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1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10,014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10,384</w:t>
            </w:r>
          </w:p>
        </w:tc>
        <w:tc>
          <w:tcPr>
            <w:tcW w:w="2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assets</w:t>
            </w:r>
          </w:p>
        </w:tc>
        <w:tc>
          <w:tcPr>
            <w:tcW w:w="1980" w:type="dxa"/>
            <w:vAlign w:val="bottom"/>
            <w:gridSpan w:val="2"/>
            <w:shd w:val="clear" w:color="auto" w:fill="CCEEFF"/>
          </w:tcPr>
          <w:p>
            <w:pPr>
              <w:ind w:left="1900"/>
              <w:spacing w:after="0" w:line="149"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97,598</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95,892</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gridSpan w:val="3"/>
            <w:vMerge w:val="continue"/>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Interest-checking deposits</w:t>
            </w:r>
          </w:p>
        </w:tc>
        <w:tc>
          <w:tcPr>
            <w:tcW w:w="1980" w:type="dxa"/>
            <w:vAlign w:val="bottom"/>
            <w:gridSpan w:val="2"/>
            <w:shd w:val="clear" w:color="auto" w:fill="CCEEFF"/>
          </w:tcPr>
          <w:p>
            <w:pPr>
              <w:ind w:left="190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349</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1,121</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311</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Savings deposits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41,712</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10,361</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41,525</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10,219</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Time deposits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2,948</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3,690</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3,740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Deposits at Cayman Islands office</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2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interest-bearing deposits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46,205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14,550</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45,887</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14,417</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4880" w:type="dxa"/>
            <w:vAlign w:val="bottom"/>
            <w:gridSpan w:val="3"/>
          </w:tcPr>
          <w:p>
            <w:pPr>
              <w:spacing w:after="0" w:line="155" w:lineRule="exact"/>
              <w:rPr>
                <w:sz w:val="20"/>
                <w:szCs w:val="20"/>
                <w:color w:val="auto"/>
              </w:rPr>
            </w:pPr>
            <w:r>
              <w:rPr>
                <w:rFonts w:ascii="Arial" w:cs="Arial" w:eastAsia="Arial" w:hAnsi="Arial"/>
                <w:sz w:val="14"/>
                <w:szCs w:val="14"/>
                <w:color w:val="auto"/>
              </w:rPr>
              <w:t>Short-term borrowings</w:t>
            </w:r>
          </w:p>
        </w:tc>
        <w:tc>
          <w:tcPr>
            <w:tcW w:w="19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26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.07</w:t>
            </w:r>
          </w:p>
        </w:tc>
        <w:tc>
          <w:tcPr>
            <w:tcW w:w="36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196</w:t>
            </w:r>
          </w:p>
        </w:tc>
        <w:tc>
          <w:tcPr>
            <w:tcW w:w="28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28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10,164</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62,640</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9,835</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64,048</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19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56,564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77,226</w:t>
            </w: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3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55,918</w:t>
            </w:r>
          </w:p>
        </w:tc>
        <w:tc>
          <w:tcPr>
            <w:tcW w:w="2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78,499</w:t>
            </w:r>
          </w:p>
        </w:tc>
        <w:tc>
          <w:tcPr>
            <w:tcW w:w="2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26,753</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25,811</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1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1,704</w:t>
            </w:r>
          </w:p>
        </w:tc>
        <w:tc>
          <w:tcPr>
            <w:tcW w:w="2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liabilities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84,962</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83,433</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80" w:type="dxa"/>
            <w:vAlign w:val="bottom"/>
            <w:gridSpan w:val="3"/>
          </w:tcPr>
          <w:p>
            <w:pPr>
              <w:spacing w:after="0" w:line="155" w:lineRule="exact"/>
              <w:rPr>
                <w:sz w:val="20"/>
                <w:szCs w:val="20"/>
                <w:color w:val="auto"/>
              </w:rPr>
            </w:pPr>
            <w:r>
              <w:rPr>
                <w:rFonts w:ascii="Arial" w:cs="Arial" w:eastAsia="Arial" w:hAnsi="Arial"/>
                <w:sz w:val="14"/>
                <w:szCs w:val="14"/>
                <w:color w:val="auto"/>
              </w:rPr>
              <w:t>Shareholders’ equity</w:t>
            </w:r>
          </w:p>
        </w:tc>
        <w:tc>
          <w:tcPr>
            <w:tcW w:w="19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12,636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12,459</w:t>
            </w:r>
          </w:p>
        </w:tc>
        <w:tc>
          <w:tcPr>
            <w:tcW w:w="280" w:type="dxa"/>
            <w:vAlign w:val="bottom"/>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19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97,598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95,892</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4"/>
                <w:szCs w:val="14"/>
                <w:color w:val="auto"/>
              </w:rPr>
              <w:t>Net interest spread</w:t>
            </w: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gridSpan w:val="3"/>
            <w:vMerge w:val="continue"/>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2.97</w:t>
            </w:r>
          </w:p>
        </w:tc>
        <w:tc>
          <w:tcPr>
            <w:tcW w:w="3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4"/>
                <w:szCs w:val="14"/>
                <w:color w:val="auto"/>
              </w:rPr>
              <w:t>Net interest income/margin on earning assets</w:t>
            </w: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80" w:type="dxa"/>
            <w:vAlign w:val="bottom"/>
            <w:gridSpan w:val="3"/>
            <w:vMerge w:val="continue"/>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689,148</w:t>
            </w:r>
          </w:p>
        </w:tc>
        <w:tc>
          <w:tcPr>
            <w:tcW w:w="260" w:type="dxa"/>
            <w:vAlign w:val="bottom"/>
            <w:vMerge w:val="continue"/>
          </w:tcPr>
          <w:p>
            <w:pPr>
              <w:spacing w:after="0"/>
              <w:rPr>
                <w:sz w:val="13"/>
                <w:szCs w:val="13"/>
                <w:color w:val="auto"/>
              </w:rPr>
            </w:pP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3.17%</w:t>
            </w:r>
          </w:p>
        </w:tc>
        <w:tc>
          <w:tcPr>
            <w:tcW w:w="4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665,426</w:t>
            </w:r>
          </w:p>
        </w:tc>
        <w:tc>
          <w:tcPr>
            <w:tcW w:w="280" w:type="dxa"/>
            <w:vAlign w:val="bottom"/>
            <w:vMerge w:val="continue"/>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nonaccrual loans.</w:t>
      </w:r>
    </w:p>
    <w:p>
      <w:pPr>
        <w:ind w:left="340" w:hanging="332"/>
        <w:spacing w:after="0"/>
        <w:tabs>
          <w:tab w:leader="none" w:pos="340"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available-for-sale securities at amortized cost.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117" w:lineRule="exact"/>
        <w:rPr>
          <w:sz w:val="20"/>
          <w:szCs w:val="20"/>
          <w:color w:val="auto"/>
        </w:rPr>
      </w:pPr>
    </w:p>
    <w:p>
      <w:pPr>
        <w:ind w:firstLine="464"/>
        <w:spacing w:after="0" w:line="312" w:lineRule="auto"/>
        <w:tabs>
          <w:tab w:leader="none" w:pos="701" w:val="left"/>
        </w:tabs>
        <w:numPr>
          <w:ilvl w:val="0"/>
          <w:numId w:val="77"/>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2016.</w:t>
      </w:r>
    </w:p>
    <w:p>
      <w:pPr>
        <w:spacing w:after="0" w:line="146"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2016 that have materially affected, or are reasonably likely to materially affect, M&amp;T’s internal control over financial reporting.</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M&amp;T’s Wilmington Trust Corporation subsidiary is the subject of certain governmental investigations arising from actions undertaken by Wilmington Trust Corporation prior to M&amp;T’s acquisition of Wilmington Trust Corporation and its subsidiaries, as set forth below.</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DOJ Investigation (United States v. Wilmington Trust Corp., et al, District of Delaware, Crim. No. 15-23-RGA): </w:t>
      </w:r>
      <w:r>
        <w:rPr>
          <w:rFonts w:ascii="Arial" w:cs="Arial" w:eastAsia="Arial" w:hAnsi="Arial"/>
          <w:sz w:val="18"/>
          <w:szCs w:val="18"/>
          <w:color w:val="auto"/>
        </w:rPr>
        <w:t>Prior to M&amp;T’s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May 2011. M&amp;T strongly believes that this unprecedented action is unjustified and Wilmington Trust Corporation will vigorously defend itself.</w:t>
      </w:r>
    </w:p>
    <w:p>
      <w:pPr>
        <w:spacing w:after="0" w:line="225"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The indictment of Wilmington Trust Corporation could result in potential criminal remedies, or criminal or non-criminal resolutions or settlements, including, among other things, enforcement actions, potential statutory or regulatory restrictions on the ability to conduct certain businesses (for which waivers may or may not be available), fines, penalties, restitution, reputational damage or additional costs and expenses.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 Re Wilmington Trust Securities Litigation (U.S. District Court, District of Delaware, Case No. 10-CV-0990-SLR)</w:t>
      </w:r>
      <w:r>
        <w:rPr>
          <w:rFonts w:ascii="Arial" w:cs="Arial" w:eastAsia="Arial" w:hAnsi="Arial"/>
          <w:sz w:val="18"/>
          <w:szCs w:val="18"/>
          <w:color w:val="auto"/>
        </w:rPr>
        <w:t>: Beginning on November 18, 2010,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and Wilmington Trust Corporation moved to dismiss. The Court issued an order denying Wilmington Trust Corporation’s motion to dismiss on March 20, 2014. Fact discovery commenced. On April 13, 2016, the Court issued an order staying fact discovery in the case pending completion of the trial in </w:t>
      </w:r>
      <w:r>
        <w:rPr>
          <w:rFonts w:ascii="Arial" w:cs="Arial" w:eastAsia="Arial" w:hAnsi="Arial"/>
          <w:sz w:val="18"/>
          <w:szCs w:val="18"/>
          <w:i w:val="1"/>
          <w:iCs w:val="1"/>
          <w:color w:val="auto"/>
        </w:rPr>
        <w:t>U.S. v. Wilmington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Trust Corp., </w:t>
      </w:r>
      <w:r>
        <w:rPr>
          <w:rFonts w:ascii="Arial" w:cs="Arial" w:eastAsia="Arial" w:hAnsi="Arial"/>
          <w:sz w:val="18"/>
          <w:szCs w:val="18"/>
          <w:color w:val="auto"/>
        </w:rPr>
        <w:t>et 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is the subject of an investigation by government agencies relating to the origination of Federal Housing Administration (“FHA”) insured residential home loans and residential home loans sold to Freddie Mac and Fannie Mae. A number of other U.S. financial institutions have announced similar investigations. Regarding FHA loans, the U.S. Department of Housing and Urban Development (“HUD”) Office of Inspector General and the DOJ (collectively, the “Government”) are investigating whether the Company complied with underwriting guidelines concerning certain loans where HUD paid FHA insurance claims. The Company is fully cooperating with the investigation. The Government has advised the Company that based upon its review of a sample of loans for which an FHA insurance claim was paid by HUD, some of the loans do not meet underwriting guidelines. The Company, based on its own review of the sample, does not agree with the sampling methodology and loan analysis employed by the Government. Regarding loans originated by the Company and sold to Freddie Mac and Fannie Mae, the investigation concerns whether the mortgages sold to Freddie Mac and Fannie Mae comply with applicable underwriting guidelines. The Company is also cooperating with that portion of the investigation. The investigation could lead to claims by the Government under the False Claims Act and the Financial Institutions Reform, Recovery, and Enforcement Act of 1989, which allow treble and other special damages substantially in excess of actual losses. Remedies in these proceedings or settlements may include restitution, fines, penalties, or alterations in the Company’s business practices. The Company and the Government continue settlement discussions regarding the investigation and although progress has been made, the parties have not yet reached a definitive agreement. Based upon the current status of these negotiations, management expects that this potential settlement should not have a material impact on the Company’s consolidated financial condition or results of operations in future periods.</w:t>
      </w:r>
    </w:p>
    <w:p>
      <w:pPr>
        <w:spacing w:after="0" w:line="1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3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ind w:left="700" w:hanging="23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79"/>
        </w:numPr>
        <w:rPr>
          <w:rFonts w:ascii="Arial" w:cs="Arial" w:eastAsia="Arial" w:hAnsi="Arial"/>
          <w:sz w:val="18"/>
          <w:szCs w:val="18"/>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Issuer Purchases of Equity Securities</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7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(c)Total</w:t>
            </w:r>
          </w:p>
        </w:tc>
        <w:tc>
          <w:tcPr>
            <w:tcW w:w="3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3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3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3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w:t>
            </w:r>
          </w:p>
        </w:tc>
        <w:tc>
          <w:tcPr>
            <w:tcW w:w="3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(a)Total</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3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Number</w:t>
            </w:r>
          </w:p>
        </w:tc>
        <w:tc>
          <w:tcPr>
            <w:tcW w:w="2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(b)Average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3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of Shares</w:t>
            </w:r>
          </w:p>
        </w:tc>
        <w:tc>
          <w:tcPr>
            <w:tcW w:w="2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Price Paid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3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(or Units)</w:t>
            </w:r>
          </w:p>
        </w:tc>
        <w:tc>
          <w:tcPr>
            <w:tcW w:w="2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per Share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Plans or</w:t>
            </w:r>
          </w:p>
        </w:tc>
        <w:tc>
          <w:tcPr>
            <w:tcW w:w="3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6120" w:type="dxa"/>
            <w:vAlign w:val="bottom"/>
            <w:gridSpan w:val="3"/>
            <w:vMerge w:val="continue"/>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Purchased (1)</w:t>
            </w:r>
          </w:p>
        </w:tc>
        <w:tc>
          <w:tcPr>
            <w:tcW w:w="2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8"/>
              </w:rPr>
              <w:t>(or Unit)</w:t>
            </w: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Programs</w:t>
            </w:r>
          </w:p>
        </w:tc>
        <w:tc>
          <w:tcPr>
            <w:tcW w:w="3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7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1,186,638</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$ 106.38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20" w:type="dxa"/>
            <w:vAlign w:val="bottom"/>
            <w:gridSpan w:val="3"/>
          </w:tcPr>
          <w:p>
            <w:pPr>
              <w:spacing w:after="0"/>
              <w:rPr>
                <w:sz w:val="20"/>
                <w:szCs w:val="20"/>
                <w:color w:val="auto"/>
              </w:rPr>
            </w:pPr>
            <w:r>
              <w:rPr>
                <w:rFonts w:ascii="Arial" w:cs="Arial" w:eastAsia="Arial" w:hAnsi="Arial"/>
                <w:sz w:val="18"/>
                <w:szCs w:val="18"/>
                <w:color w:val="auto"/>
              </w:rPr>
              <w:t>February 1 – February 29, 2016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105.73</w:t>
            </w:r>
          </w:p>
        </w:tc>
        <w:tc>
          <w:tcPr>
            <w:tcW w:w="68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2016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111.45</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1,187,662</w:t>
            </w:r>
          </w:p>
        </w:tc>
        <w:tc>
          <w:tcPr>
            <w:tcW w:w="200" w:type="dxa"/>
            <w:vAlign w:val="bottom"/>
          </w:tcPr>
          <w:p>
            <w:pPr>
              <w:spacing w:after="0"/>
              <w:rPr>
                <w:sz w:val="24"/>
                <w:szCs w:val="2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$ 106.38</w:t>
            </w:r>
          </w:p>
        </w:tc>
        <w:tc>
          <w:tcPr>
            <w:tcW w:w="680" w:type="dxa"/>
            <w:vAlign w:val="bottom"/>
          </w:tcPr>
          <w:p>
            <w:pPr>
              <w:jc w:val="right"/>
              <w:spacing w:after="0"/>
              <w:rPr>
                <w:sz w:val="20"/>
                <w:szCs w:val="20"/>
                <w:color w:val="auto"/>
              </w:rPr>
            </w:pPr>
            <w:r>
              <w:rPr>
                <w:rFonts w:ascii="Arial" w:cs="Arial" w:eastAsia="Arial" w:hAnsi="Arial"/>
                <w:sz w:val="18"/>
                <w:szCs w:val="18"/>
                <w:color w:val="auto"/>
              </w:rPr>
              <w:t>948,545</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4" w:lineRule="auto"/>
        <w:tabs>
          <w:tab w:leader="none" w:pos="4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reflects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On November 17, 2015, M&amp;T announced a program to purchase up to $200,000,000 of its common stock through June 30, 2016. On March 31, 2016, M&amp;T’s Board of Directors authorized the repurchase of up to $54,000,000 of additional shares through June 30, 2016, as part of the repurchase program currently in effect.</w:t>
      </w:r>
    </w:p>
    <w:p>
      <w:pPr>
        <w:spacing w:after="0" w:line="33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260"/>
          </w:cols>
          <w:pgMar w:left="240" w:top="459" w:right="3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420" w:type="dxa"/>
            <w:vAlign w:val="bottom"/>
          </w:tcPr>
          <w:p>
            <w:pPr>
              <w:ind w:left="120"/>
              <w:spacing w:after="0"/>
              <w:rPr>
                <w:sz w:val="20"/>
                <w:szCs w:val="20"/>
                <w:color w:val="auto"/>
              </w:rPr>
            </w:pPr>
            <w:r>
              <w:rPr>
                <w:rFonts w:ascii="Arial" w:cs="Arial" w:eastAsia="Arial" w:hAnsi="Arial"/>
                <w:sz w:val="18"/>
                <w:szCs w:val="18"/>
                <w:color w:val="auto"/>
              </w:rPr>
              <w:t>Exhibits.</w:t>
            </w:r>
          </w:p>
        </w:tc>
      </w:tr>
      <w:tr>
        <w:trPr>
          <w:trHeight w:val="324"/>
        </w:trPr>
        <w:tc>
          <w:tcPr>
            <w:tcW w:w="140" w:type="dxa"/>
            <w:vAlign w:val="bottom"/>
          </w:tcPr>
          <w:p>
            <w:pPr>
              <w:spacing w:after="0"/>
              <w:rPr>
                <w:sz w:val="24"/>
                <w:szCs w:val="24"/>
                <w:color w:val="auto"/>
              </w:rPr>
            </w:pPr>
          </w:p>
        </w:tc>
        <w:tc>
          <w:tcPr>
            <w:tcW w:w="11080" w:type="dxa"/>
            <w:vAlign w:val="bottom"/>
            <w:gridSpan w:val="3"/>
          </w:tcPr>
          <w:p>
            <w:pPr>
              <w:ind w:left="32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73"/>
        </w:trPr>
        <w:tc>
          <w:tcPr>
            <w:tcW w:w="140" w:type="dxa"/>
            <w:vAlign w:val="bottom"/>
          </w:tcPr>
          <w:p>
            <w:pPr>
              <w:spacing w:after="0"/>
              <w:rPr>
                <w:sz w:val="24"/>
                <w:szCs w:val="2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rPr>
              <w:t>Exhibit</w:t>
            </w:r>
          </w:p>
        </w:tc>
        <w:tc>
          <w:tcPr>
            <w:tcW w:w="10420" w:type="dxa"/>
            <w:vAlign w:val="bottom"/>
          </w:tcPr>
          <w:p>
            <w:pPr>
              <w:spacing w:after="0"/>
              <w:rPr>
                <w:sz w:val="24"/>
                <w:szCs w:val="24"/>
                <w:color w:val="auto"/>
              </w:rPr>
            </w:pPr>
          </w:p>
        </w:tc>
      </w:tr>
      <w:tr>
        <w:trPr>
          <w:trHeight w:val="181"/>
        </w:trPr>
        <w:tc>
          <w:tcPr>
            <w:tcW w:w="14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220" w:type="dxa"/>
            <w:vAlign w:val="bottom"/>
          </w:tcPr>
          <w:p>
            <w:pPr>
              <w:spacing w:after="0"/>
              <w:rPr>
                <w:sz w:val="15"/>
                <w:szCs w:val="15"/>
                <w:color w:val="auto"/>
              </w:rPr>
            </w:pPr>
          </w:p>
        </w:tc>
        <w:tc>
          <w:tcPr>
            <w:tcW w:w="10420" w:type="dxa"/>
            <w:vAlign w:val="bottom"/>
          </w:tcPr>
          <w:p>
            <w:pPr>
              <w:spacing w:after="0"/>
              <w:rPr>
                <w:sz w:val="15"/>
                <w:szCs w:val="15"/>
                <w:color w:val="auto"/>
              </w:rPr>
            </w:pPr>
          </w:p>
        </w:tc>
      </w:tr>
      <w:tr>
        <w:trPr>
          <w:trHeight w:val="331"/>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M&amp;T Bank Corporation Supplemental Pension Plan, as amended. Filed herewith.</w:t>
            </w:r>
          </w:p>
        </w:tc>
      </w:tr>
      <w:tr>
        <w:trPr>
          <w:trHeight w:val="54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M&amp;T Bank Corporation Supplemental Retirement Savings Plan, as amended. Filed herewith.</w:t>
            </w:r>
          </w:p>
        </w:tc>
      </w:tr>
      <w:tr>
        <w:trPr>
          <w:trHeight w:val="54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54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54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756"/>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756"/>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36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36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36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tcPr>
          <w:p>
            <w:pPr>
              <w:ind w:left="4720"/>
              <w:spacing w:after="0"/>
              <w:rPr>
                <w:sz w:val="20"/>
                <w:szCs w:val="20"/>
                <w:color w:val="auto"/>
              </w:rPr>
            </w:pPr>
            <w:r>
              <w:rPr>
                <w:rFonts w:ascii="Arial" w:cs="Arial" w:eastAsia="Arial" w:hAnsi="Arial"/>
                <w:sz w:val="18"/>
                <w:szCs w:val="18"/>
                <w:color w:val="auto"/>
              </w:rPr>
              <w:t>- 96 -</w:t>
            </w:r>
          </w:p>
        </w:tc>
      </w:tr>
    </w:tbl>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M&amp;T BANK CORPORATION</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April 29, 2016</w:t>
            </w: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By:  /s/ René F. Jones</w:t>
            </w:r>
          </w:p>
        </w:tc>
      </w:tr>
      <w:tr>
        <w:trPr>
          <w:trHeight w:val="209"/>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00" w:type="dxa"/>
            <w:vAlign w:val="bottom"/>
          </w:tcPr>
          <w:p>
            <w:pPr>
              <w:ind w:left="4140"/>
              <w:spacing w:after="0"/>
              <w:rPr>
                <w:sz w:val="20"/>
                <w:szCs w:val="20"/>
                <w:color w:val="auto"/>
              </w:rPr>
            </w:pPr>
            <w:r>
              <w:rPr>
                <w:rFonts w:ascii="Arial" w:cs="Arial" w:eastAsia="Arial" w:hAnsi="Arial"/>
                <w:sz w:val="18"/>
                <w:szCs w:val="18"/>
                <w:color w:val="auto"/>
              </w:rPr>
              <w:t>EXHIBIT INDEX</w:t>
            </w:r>
          </w:p>
        </w:tc>
      </w:tr>
      <w:tr>
        <w:trPr>
          <w:trHeight w:val="373"/>
        </w:trPr>
        <w:tc>
          <w:tcPr>
            <w:tcW w:w="120" w:type="dxa"/>
            <w:vAlign w:val="bottom"/>
          </w:tcPr>
          <w:p>
            <w:pPr>
              <w:spacing w:after="0"/>
              <w:rPr>
                <w:sz w:val="24"/>
                <w:szCs w:val="2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color w:val="auto"/>
              </w:rPr>
              <w:t>Exhibit</w:t>
            </w:r>
          </w:p>
        </w:tc>
        <w:tc>
          <w:tcPr>
            <w:tcW w:w="10300" w:type="dxa"/>
            <w:vAlign w:val="bottom"/>
          </w:tcPr>
          <w:p>
            <w:pPr>
              <w:spacing w:after="0"/>
              <w:rPr>
                <w:sz w:val="24"/>
                <w:szCs w:val="24"/>
                <w:color w:val="auto"/>
              </w:rPr>
            </w:pPr>
          </w:p>
        </w:tc>
      </w:tr>
      <w:tr>
        <w:trPr>
          <w:trHeight w:val="181"/>
        </w:trPr>
        <w:tc>
          <w:tcPr>
            <w:tcW w:w="1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340" w:type="dxa"/>
            <w:vAlign w:val="bottom"/>
          </w:tcPr>
          <w:p>
            <w:pPr>
              <w:spacing w:after="0"/>
              <w:rPr>
                <w:sz w:val="15"/>
                <w:szCs w:val="15"/>
                <w:color w:val="auto"/>
              </w:rPr>
            </w:pPr>
          </w:p>
        </w:tc>
        <w:tc>
          <w:tcPr>
            <w:tcW w:w="10300" w:type="dxa"/>
            <w:vAlign w:val="bottom"/>
          </w:tcPr>
          <w:p>
            <w:pPr>
              <w:spacing w:after="0"/>
              <w:rPr>
                <w:sz w:val="15"/>
                <w:szCs w:val="15"/>
                <w:color w:val="auto"/>
              </w:rPr>
            </w:pPr>
          </w:p>
        </w:tc>
      </w:tr>
      <w:tr>
        <w:trPr>
          <w:trHeight w:val="331"/>
        </w:trPr>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M&amp;T Bank Corporation Supplemental Pension Plan, as amended. Filed herewith.</w:t>
            </w:r>
          </w:p>
        </w:tc>
      </w:tr>
      <w:tr>
        <w:trPr>
          <w:trHeight w:val="540"/>
        </w:trPr>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M&amp;T Bank Corporation Supplemental Retirement Savings Plan, as amended. Filed herewith.</w:t>
            </w:r>
          </w:p>
        </w:tc>
      </w:tr>
      <w:tr>
        <w:trPr>
          <w:trHeight w:val="540"/>
        </w:trPr>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540"/>
        </w:trPr>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540"/>
        </w:trPr>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540"/>
        </w:trPr>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540"/>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101.INS</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101.SCH</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101.CAL</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101.LAB</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101.PRE</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101.DEF</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300" w:type="dxa"/>
            <w:vAlign w:val="bottom"/>
          </w:tcPr>
          <w:p>
            <w:pPr>
              <w:ind w:left="464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20"/>
          </w:cols>
          <w:pgMar w:left="240" w:top="45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PENSION PLAN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Amended December 22</w:t>
      </w:r>
      <w:r>
        <w:rPr>
          <w:rFonts w:ascii="Arial" w:cs="Arial" w:eastAsia="Arial" w:hAnsi="Arial"/>
          <w:sz w:val="15"/>
          <w:szCs w:val="15"/>
          <w:color w:val="auto"/>
        </w:rPr>
        <w:t>nd</w:t>
      </w:r>
      <w:r>
        <w:rPr>
          <w:rFonts w:ascii="Arial" w:cs="Arial" w:eastAsia="Arial" w:hAnsi="Arial"/>
          <w:sz w:val="18"/>
          <w:szCs w:val="18"/>
          <w:color w:val="auto"/>
        </w:rPr>
        <w:t>, 2008, and Restated Effective as of January 1, 2005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HISTORY AND PURPOSE</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M&amp;T Bank Corporation Supplemental Pension Plan (the “Supplemental Pension Plan,” or “Plan”) is maintained by M&amp;T Bank Corporation to provide for the payment of supplemental retirement benefits to select management and highly compensated employees of M&amp;T Bank Corporation and certain of its affiliates whose accrued benefits under the M&amp;T Bank Corporation Pension Plan (the “Pension Plan”) are subject to certain limitations imposed by Section 401(a)(17) of the Internal Revenue Code, as amended (the “Code”). The Plan was amended and restated effective as of January 1, 2005 to bring the Plan into compliance with the new requirements of Section 409A of the Code. The Company now wishes to amend and restate the terms of the Plan, effective as of January 1, 2005, to make additional changes in payment terms and elections consistent with the final regulations to Section 409A of the Code. The Employers intend and desire that this Supplemental Pension Plan, together with the other elements of the Employers’ compensation programs, will attract, retain and motivate eligible employees.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For the purposes of this Supplemental Pension Plan, the following words and phrases shall have the meanings indicated unless a different meaning is clearly required by the context. All other terms used herein with initial capital letters that are not defined below shall have the meanings assigned to them under the provisions of the Pension Plan unless otherwise specified herein or as otherwise qualified by the context in which the term is used herein.</w:t>
      </w:r>
    </w:p>
    <w:p>
      <w:pPr>
        <w:spacing w:after="0" w:line="52" w:lineRule="exact"/>
        <w:rPr>
          <w:sz w:val="20"/>
          <w:szCs w:val="20"/>
          <w:color w:val="auto"/>
        </w:rPr>
      </w:pPr>
    </w:p>
    <w:p>
      <w:pPr>
        <w:ind w:left="580" w:right="40" w:hanging="566"/>
        <w:spacing w:after="0" w:line="264"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 xml:space="preserve">“Beneficiary” </w:t>
      </w:r>
      <w:r>
        <w:rPr>
          <w:rFonts w:ascii="Arial" w:cs="Arial" w:eastAsia="Arial" w:hAnsi="Arial"/>
          <w:sz w:val="18"/>
          <w:szCs w:val="18"/>
          <w:color w:val="auto"/>
        </w:rPr>
        <w:t>shall mean (a) with respect to a Participant who dies prior to commencement of the Participant’s Supplemental Pension Benefit,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Participant’s Surviving Spouse, and (b) with respect to a Participant who dies after commencement of the Participant’s Supplemental Pension Benefit, the survivor annuitant, if any, designated by the Participant.</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 xml:space="preserve">“Benefit” </w:t>
      </w:r>
      <w:r>
        <w:rPr>
          <w:rFonts w:ascii="Arial" w:cs="Arial" w:eastAsia="Arial" w:hAnsi="Arial"/>
          <w:sz w:val="16"/>
          <w:szCs w:val="16"/>
          <w:color w:val="auto"/>
        </w:rPr>
        <w:t>shall mean a Supplemental Pension Benefit or a Supplemental Death Benefit.</w:t>
      </w:r>
    </w:p>
    <w:p>
      <w:pPr>
        <w:spacing w:after="0" w:line="131" w:lineRule="exact"/>
        <w:rPr>
          <w:sz w:val="20"/>
          <w:szCs w:val="20"/>
          <w:color w:val="auto"/>
        </w:rPr>
      </w:pPr>
    </w:p>
    <w:p>
      <w:pPr>
        <w:ind w:left="580" w:right="580" w:hanging="566"/>
        <w:spacing w:after="0" w:line="264"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 xml:space="preserve">“Benefit Commencement Date” </w:t>
      </w:r>
      <w:r>
        <w:rPr>
          <w:rFonts w:ascii="Arial" w:cs="Arial" w:eastAsia="Arial" w:hAnsi="Arial"/>
          <w:sz w:val="18"/>
          <w:szCs w:val="18"/>
          <w:color w:val="auto"/>
        </w:rPr>
        <w:t>shall mean (a) in the case of a Participant, the date on which the Participant receives or begins to receive 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Supplemental Pension Benefit, or (b) in the case of a Surviving Spouse, the date on which the Surviving Spouse’s Supplemental Death Benefit becomes payable hereunder.</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 xml:space="preserve">“Committee” </w:t>
      </w:r>
      <w:r>
        <w:rPr>
          <w:rFonts w:ascii="Arial" w:cs="Arial" w:eastAsia="Arial" w:hAnsi="Arial"/>
          <w:sz w:val="16"/>
          <w:szCs w:val="16"/>
          <w:color w:val="auto"/>
        </w:rPr>
        <w:t>shall mean the Committee charged with the administration of this Supplemental Pension Plan under Article VI 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 xml:space="preserve">“Company” </w:t>
      </w:r>
      <w:r>
        <w:rPr>
          <w:rFonts w:ascii="Arial" w:cs="Arial" w:eastAsia="Arial" w:hAnsi="Arial"/>
          <w:sz w:val="16"/>
          <w:szCs w:val="16"/>
          <w:color w:val="auto"/>
        </w:rPr>
        <w:t>shall mean Manufacturers and Traders Trust Company or any successor by merger, purchase or otherwise.</w:t>
      </w:r>
    </w:p>
    <w:p>
      <w:pPr>
        <w:spacing w:after="0" w:line="131" w:lineRule="exact"/>
        <w:rPr>
          <w:sz w:val="20"/>
          <w:szCs w:val="20"/>
          <w:color w:val="auto"/>
        </w:rPr>
      </w:pPr>
    </w:p>
    <w:p>
      <w:pPr>
        <w:ind w:left="580" w:right="60" w:hanging="566"/>
        <w:spacing w:after="0" w:line="264" w:lineRule="auto"/>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 xml:space="preserve">“Compensation” </w:t>
      </w:r>
      <w:r>
        <w:rPr>
          <w:rFonts w:ascii="Arial" w:cs="Arial" w:eastAsia="Arial" w:hAnsi="Arial"/>
          <w:sz w:val="18"/>
          <w:szCs w:val="18"/>
          <w:color w:val="auto"/>
        </w:rPr>
        <w:t>shall mean the amount so defined in the Pension Plan, plus amounts deferred by a Participant under the M&amp;T Bank Corporation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Supplemental Retirement Savings Plan and any other nonqualified deferred compensation plan maintained by an Employer, calculated without regard to the Compensation Limitation.</w:t>
      </w:r>
    </w:p>
    <w:p>
      <w:pPr>
        <w:spacing w:after="0" w:line="87"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 xml:space="preserve">“Compensation Limitation” </w:t>
      </w:r>
      <w:r>
        <w:rPr>
          <w:rFonts w:ascii="Arial" w:cs="Arial" w:eastAsia="Arial" w:hAnsi="Arial"/>
          <w:sz w:val="18"/>
          <w:szCs w:val="18"/>
          <w:color w:val="auto"/>
        </w:rPr>
        <w:t>shall mean the dollar amount of the annual compensation limitation under Code Section 401(a)(17), as in effect from time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time and as adjusted as provided therein for any calendar year.</w:t>
      </w:r>
    </w:p>
    <w:p>
      <w:pPr>
        <w:spacing w:after="0" w:line="76" w:lineRule="exact"/>
        <w:rPr>
          <w:sz w:val="20"/>
          <w:szCs w:val="20"/>
          <w:color w:val="auto"/>
        </w:rPr>
      </w:pPr>
    </w:p>
    <w:p>
      <w:pPr>
        <w:jc w:val="both"/>
        <w:ind w:left="580" w:right="320" w:hanging="566"/>
        <w:spacing w:after="0" w:line="286" w:lineRule="auto"/>
        <w:tabs>
          <w:tab w:leader="none" w:pos="5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 xml:space="preserve">“Disability” </w:t>
      </w:r>
      <w:r>
        <w:rPr>
          <w:rFonts w:ascii="Arial" w:cs="Arial" w:eastAsia="Arial" w:hAnsi="Arial"/>
          <w:sz w:val="17"/>
          <w:szCs w:val="17"/>
          <w:color w:val="auto"/>
        </w:rPr>
        <w:t>or</w:t>
      </w:r>
      <w:r>
        <w:rPr>
          <w:rFonts w:ascii="Arial" w:cs="Arial" w:eastAsia="Arial" w:hAnsi="Arial"/>
          <w:sz w:val="17"/>
          <w:szCs w:val="17"/>
          <w:u w:val="single" w:color="auto"/>
          <w:color w:val="auto"/>
        </w:rPr>
        <w:t xml:space="preserve"> “Disabled” </w:t>
      </w:r>
      <w:r>
        <w:rPr>
          <w:rFonts w:ascii="Arial" w:cs="Arial" w:eastAsia="Arial" w:hAnsi="Arial"/>
          <w:sz w:val="17"/>
          <w:szCs w:val="17"/>
          <w:color w:val="auto"/>
        </w:rPr>
        <w:t>shall mean, with respect to a Participant, a Participant who is determined (a) to be totally disabled by the federal Social</w:t>
      </w:r>
      <w:r>
        <w:rPr>
          <w:rFonts w:ascii="Arial" w:cs="Arial" w:eastAsia="Arial" w:hAnsi="Arial"/>
          <w:sz w:val="17"/>
          <w:szCs w:val="17"/>
          <w:u w:val="single" w:color="auto"/>
          <w:color w:val="auto"/>
        </w:rPr>
        <w:t xml:space="preserve"> </w:t>
      </w:r>
      <w:r>
        <w:rPr>
          <w:rFonts w:ascii="Arial" w:cs="Arial" w:eastAsia="Arial" w:hAnsi="Arial"/>
          <w:sz w:val="17"/>
          <w:szCs w:val="17"/>
          <w:color w:val="auto"/>
        </w:rPr>
        <w:t>Security Administration, or (b) to have a “disability” under the applicable Employer’s long-term disability plan, provided that the definition of the term “disability” under such long-term disability plan satisfies the requirements for disability under Section 409A of the Code.</w:t>
      </w:r>
    </w:p>
    <w:p>
      <w:pPr>
        <w:spacing w:after="0" w:line="71" w:lineRule="exact"/>
        <w:rPr>
          <w:sz w:val="20"/>
          <w:szCs w:val="20"/>
          <w:color w:val="auto"/>
        </w:rPr>
      </w:pPr>
    </w:p>
    <w:p>
      <w:pPr>
        <w:ind w:left="580" w:right="400" w:hanging="566"/>
        <w:spacing w:after="0" w:line="342" w:lineRule="auto"/>
        <w:tabs>
          <w:tab w:leader="none" w:pos="5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 xml:space="preserve">“Earliest Retirement Age” </w:t>
      </w:r>
      <w:r>
        <w:rPr>
          <w:rFonts w:ascii="Arial" w:cs="Arial" w:eastAsia="Arial" w:hAnsi="Arial"/>
          <w:sz w:val="16"/>
          <w:szCs w:val="16"/>
          <w:color w:val="auto"/>
        </w:rPr>
        <w:t>shall mean (a) in the case of a Participant who is credited with less than 10 years of Vesting Service under the Pension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Plan, age 65, or (b) in the case of a Participant who is credited with at least 10 Years of Vesting Service under the Pension Plan, age 55.</w:t>
      </w:r>
    </w:p>
    <w:p>
      <w:pPr>
        <w:spacing w:after="0" w:line="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 xml:space="preserve">“Employee” </w:t>
      </w:r>
      <w:r>
        <w:rPr>
          <w:rFonts w:ascii="Arial" w:cs="Arial" w:eastAsia="Arial" w:hAnsi="Arial"/>
          <w:sz w:val="16"/>
          <w:szCs w:val="16"/>
          <w:color w:val="auto"/>
        </w:rPr>
        <w:t>shall mean any common law employee of an Employer who is classified by the Employer as an employee.</w:t>
      </w:r>
    </w:p>
    <w:p>
      <w:pPr>
        <w:spacing w:after="0" w:line="131" w:lineRule="exact"/>
        <w:rPr>
          <w:sz w:val="20"/>
          <w:szCs w:val="20"/>
          <w:color w:val="auto"/>
        </w:rPr>
      </w:pPr>
    </w:p>
    <w:p>
      <w:pPr>
        <w:ind w:left="580" w:right="300" w:hanging="566"/>
        <w:spacing w:after="0" w:line="277" w:lineRule="auto"/>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u w:val="single" w:color="auto"/>
          <w:color w:val="auto"/>
        </w:rPr>
        <w:t xml:space="preserve">“Employer” </w:t>
      </w:r>
      <w:r>
        <w:rPr>
          <w:rFonts w:ascii="Arial" w:cs="Arial" w:eastAsia="Arial" w:hAnsi="Arial"/>
          <w:sz w:val="18"/>
          <w:szCs w:val="18"/>
          <w:color w:val="auto"/>
        </w:rPr>
        <w:t>shall mean M&amp;T Bank Corporation and any affiliate thereof that has adopted the Pension Plan and is an “Employer” as defined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Pension Plan.</w:t>
      </w:r>
    </w:p>
    <w:p>
      <w:pPr>
        <w:spacing w:after="0" w:line="76" w:lineRule="exact"/>
        <w:rPr>
          <w:sz w:val="20"/>
          <w:szCs w:val="20"/>
          <w:color w:val="auto"/>
        </w:rPr>
      </w:pPr>
    </w:p>
    <w:p>
      <w:pPr>
        <w:ind w:left="580" w:right="320" w:hanging="566"/>
        <w:spacing w:after="0" w:line="264" w:lineRule="auto"/>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u w:val="single" w:color="auto"/>
          <w:color w:val="auto"/>
        </w:rPr>
        <w:t xml:space="preserve">“Joint and Survivor Annuity” </w:t>
      </w:r>
      <w:r>
        <w:rPr>
          <w:rFonts w:ascii="Arial" w:cs="Arial" w:eastAsia="Arial" w:hAnsi="Arial"/>
          <w:sz w:val="18"/>
          <w:szCs w:val="18"/>
          <w:color w:val="auto"/>
        </w:rPr>
        <w:t>shall mean a “Joint and Survivor Annuity” as defined in the Pension Plan, except that the monthly amount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survivor annuity shall equal 25%, 50%, 66-2/3%, 75% or 100%, as elected by the Participant, of the monthly amount of the annuity payable to the Participant.</w:t>
      </w:r>
    </w:p>
    <w:p>
      <w:pPr>
        <w:spacing w:after="0" w:line="87" w:lineRule="exact"/>
        <w:rPr>
          <w:sz w:val="20"/>
          <w:szCs w:val="20"/>
          <w:color w:val="auto"/>
        </w:rPr>
      </w:pPr>
    </w:p>
    <w:p>
      <w:pPr>
        <w:jc w:val="both"/>
        <w:ind w:left="580" w:right="120" w:hanging="566"/>
        <w:spacing w:after="0" w:line="264" w:lineRule="auto"/>
        <w:tabs>
          <w:tab w:leader="none" w:pos="5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 xml:space="preserve">“Participant” </w:t>
      </w:r>
      <w:r>
        <w:rPr>
          <w:rFonts w:ascii="Arial" w:cs="Arial" w:eastAsia="Arial" w:hAnsi="Arial"/>
          <w:sz w:val="18"/>
          <w:szCs w:val="18"/>
          <w:color w:val="auto"/>
        </w:rPr>
        <w:t>shall mean an Employee who has become a Participant in accordance with Section 3.2 hereof. The term “Participant” shall also include</w:t>
      </w:r>
      <w:r>
        <w:rPr>
          <w:rFonts w:ascii="Arial" w:cs="Arial" w:eastAsia="Arial" w:hAnsi="Arial"/>
          <w:sz w:val="18"/>
          <w:szCs w:val="18"/>
          <w:u w:val="single" w:color="auto"/>
          <w:color w:val="auto"/>
        </w:rPr>
        <w:t xml:space="preserve"> </w:t>
      </w:r>
      <w:r>
        <w:rPr>
          <w:rFonts w:ascii="Arial" w:cs="Arial" w:eastAsia="Arial" w:hAnsi="Arial"/>
          <w:sz w:val="18"/>
          <w:szCs w:val="18"/>
          <w:color w:val="auto"/>
        </w:rPr>
        <w:t>a former Employee who had met the foregoing criteria as an Employee and who, at the time of determination, is receiving a Benefit (or is entitled to receive a Benefit) hereunder.</w:t>
      </w:r>
    </w:p>
    <w:p>
      <w:pPr>
        <w:spacing w:after="0" w:line="87" w:lineRule="exact"/>
        <w:rPr>
          <w:sz w:val="20"/>
          <w:szCs w:val="20"/>
          <w:color w:val="auto"/>
        </w:rPr>
      </w:pPr>
    </w:p>
    <w:p>
      <w:pPr>
        <w:jc w:val="both"/>
        <w:ind w:left="580" w:right="120" w:hanging="566"/>
        <w:spacing w:after="0" w:line="277" w:lineRule="auto"/>
        <w:tabs>
          <w:tab w:leader="none" w:pos="5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u w:val="single" w:color="auto"/>
          <w:color w:val="auto"/>
        </w:rPr>
        <w:t xml:space="preserve">“Plan” </w:t>
      </w:r>
      <w:r>
        <w:rPr>
          <w:rFonts w:ascii="Arial" w:cs="Arial" w:eastAsia="Arial" w:hAnsi="Arial"/>
          <w:sz w:val="18"/>
          <w:szCs w:val="18"/>
          <w:color w:val="auto"/>
        </w:rPr>
        <w:t>or</w:t>
      </w:r>
      <w:r>
        <w:rPr>
          <w:rFonts w:ascii="Arial" w:cs="Arial" w:eastAsia="Arial" w:hAnsi="Arial"/>
          <w:sz w:val="18"/>
          <w:szCs w:val="18"/>
          <w:u w:val="single" w:color="auto"/>
          <w:color w:val="auto"/>
        </w:rPr>
        <w:t xml:space="preserve"> “Supplemental Pension Plan” </w:t>
      </w:r>
      <w:r>
        <w:rPr>
          <w:rFonts w:ascii="Arial" w:cs="Arial" w:eastAsia="Arial" w:hAnsi="Arial"/>
          <w:sz w:val="18"/>
          <w:szCs w:val="18"/>
          <w:color w:val="auto"/>
        </w:rPr>
        <w:t>shall mean this M&amp;T Bank Corporation Supplemental Pension Plan, as the same may be amended from time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time.</w:t>
      </w:r>
    </w:p>
    <w:p>
      <w:pPr>
        <w:spacing w:after="0" w:line="76" w:lineRule="exact"/>
        <w:rPr>
          <w:sz w:val="20"/>
          <w:szCs w:val="20"/>
          <w:color w:val="auto"/>
        </w:rPr>
      </w:pPr>
    </w:p>
    <w:p>
      <w:pPr>
        <w:ind w:left="580" w:right="80" w:hanging="566"/>
        <w:spacing w:after="0" w:line="342" w:lineRule="auto"/>
        <w:tabs>
          <w:tab w:leader="none" w:pos="5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 xml:space="preserve">“Separation from Service” </w:t>
      </w:r>
      <w:r>
        <w:rPr>
          <w:rFonts w:ascii="Arial" w:cs="Arial" w:eastAsia="Arial" w:hAnsi="Arial"/>
          <w:sz w:val="16"/>
          <w:szCs w:val="16"/>
          <w:color w:val="auto"/>
        </w:rPr>
        <w:t>shall mean a Participant’s separation from service (within the meaning of Section 409A of the Code) with the Participant’s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Employer and all entities with which the Participant’s Employer would be considered a single employer under Section 414(b) or (c) of the Code.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2" w:name="page103"/>
    <w:bookmarkEnd w:id="102"/>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69" w:lineRule="exact"/>
        <w:rPr>
          <w:sz w:val="20"/>
          <w:szCs w:val="20"/>
          <w:color w:val="auto"/>
        </w:rPr>
      </w:pPr>
    </w:p>
    <w:p>
      <w:pPr>
        <w:ind w:left="580" w:right="200" w:hanging="566"/>
        <w:spacing w:after="0" w:line="277" w:lineRule="auto"/>
        <w:tabs>
          <w:tab w:leader="none" w:pos="5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u w:val="single" w:color="auto"/>
          <w:color w:val="auto"/>
        </w:rPr>
        <w:t xml:space="preserve">“Supplemental Death Benefit” </w:t>
      </w:r>
      <w:r>
        <w:rPr>
          <w:rFonts w:ascii="Arial" w:cs="Arial" w:eastAsia="Arial" w:hAnsi="Arial"/>
          <w:sz w:val="18"/>
          <w:szCs w:val="18"/>
          <w:color w:val="auto"/>
        </w:rPr>
        <w:t>shall mean an annual annuity payable over the lifetime of a Surviving Spouse upon the death of a Participant prior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commencement of the Participant’s Supplemental Pension Benefit.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u w:val="single" w:color="auto"/>
          <w:color w:val="auto"/>
        </w:rPr>
        <w:t xml:space="preserve">“Supplemental Pension Benefit” </w:t>
      </w:r>
      <w:r>
        <w:rPr>
          <w:rFonts w:ascii="Arial" w:cs="Arial" w:eastAsia="Arial" w:hAnsi="Arial"/>
          <w:sz w:val="16"/>
          <w:szCs w:val="16"/>
          <w:color w:val="auto"/>
        </w:rPr>
        <w:t>shall mean a benefit determined under the provisions of Section 4.1 hereof.</w:t>
      </w:r>
    </w:p>
    <w:p>
      <w:pPr>
        <w:spacing w:after="0" w:line="131" w:lineRule="exact"/>
        <w:rPr>
          <w:sz w:val="20"/>
          <w:szCs w:val="20"/>
          <w:color w:val="auto"/>
        </w:rPr>
      </w:pPr>
    </w:p>
    <w:p>
      <w:pPr>
        <w:ind w:left="580" w:right="480" w:hanging="566"/>
        <w:spacing w:after="0" w:line="277" w:lineRule="auto"/>
        <w:tabs>
          <w:tab w:leader="none" w:pos="5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u w:val="single" w:color="auto"/>
          <w:color w:val="auto"/>
        </w:rPr>
        <w:t xml:space="preserve">“Surviving Spouse” </w:t>
      </w:r>
      <w:r>
        <w:rPr>
          <w:rFonts w:ascii="Arial" w:cs="Arial" w:eastAsia="Arial" w:hAnsi="Arial"/>
          <w:sz w:val="18"/>
          <w:szCs w:val="18"/>
          <w:color w:val="auto"/>
        </w:rPr>
        <w:t>shall mean the spouse (as defined and interpreted under the Pension Plan) to whom a Participant was married for at least 12</w:t>
      </w:r>
      <w:r>
        <w:rPr>
          <w:rFonts w:ascii="Arial" w:cs="Arial" w:eastAsia="Arial" w:hAnsi="Arial"/>
          <w:sz w:val="18"/>
          <w:szCs w:val="18"/>
          <w:u w:val="single" w:color="auto"/>
          <w:color w:val="auto"/>
        </w:rPr>
        <w:t xml:space="preserve"> </w:t>
      </w:r>
      <w:r>
        <w:rPr>
          <w:rFonts w:ascii="Arial" w:cs="Arial" w:eastAsia="Arial" w:hAnsi="Arial"/>
          <w:sz w:val="18"/>
          <w:szCs w:val="18"/>
          <w:color w:val="auto"/>
        </w:rPr>
        <w:t>months at the time of the Participant’s death.</w:t>
      </w:r>
    </w:p>
    <w:p>
      <w:pPr>
        <w:spacing w:after="0" w:line="76" w:lineRule="exact"/>
        <w:rPr>
          <w:sz w:val="20"/>
          <w:szCs w:val="20"/>
          <w:color w:val="auto"/>
        </w:rPr>
      </w:pPr>
    </w:p>
    <w:p>
      <w:pPr>
        <w:ind w:left="580" w:right="340" w:hanging="566"/>
        <w:spacing w:after="0" w:line="277" w:lineRule="auto"/>
        <w:tabs>
          <w:tab w:leader="none" w:pos="560" w:val="left"/>
        </w:tabs>
        <w:rPr>
          <w:sz w:val="20"/>
          <w:szCs w:val="20"/>
          <w:color w:val="auto"/>
        </w:rPr>
      </w:pPr>
      <w:r>
        <w:rPr>
          <w:rFonts w:ascii="Arial" w:cs="Arial" w:eastAsia="Arial" w:hAnsi="Arial"/>
          <w:sz w:val="18"/>
          <w:szCs w:val="18"/>
          <w:color w:val="auto"/>
        </w:rPr>
        <w:t>2.19</w:t>
        <w:tab/>
        <w:t>Any terms used herein in the masculine shall be read and construed in the feminine where they would so apply, and any terms used in the singular shall be read and construed in the plural if appropriate.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PARTICIPATION; ELECTIONS</w:t>
      </w:r>
    </w:p>
    <w:p>
      <w:pPr>
        <w:spacing w:after="0" w:line="238" w:lineRule="exact"/>
        <w:rPr>
          <w:sz w:val="20"/>
          <w:szCs w:val="20"/>
          <w:color w:val="auto"/>
        </w:rPr>
      </w:pPr>
    </w:p>
    <w:p>
      <w:pPr>
        <w:ind w:left="580" w:right="120" w:hanging="566"/>
        <w:spacing w:after="0" w:line="264"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 xml:space="preserve">Eligibility to Participate. </w:t>
      </w:r>
      <w:r>
        <w:rPr>
          <w:rFonts w:ascii="Arial" w:cs="Arial" w:eastAsia="Arial" w:hAnsi="Arial"/>
          <w:sz w:val="18"/>
          <w:szCs w:val="18"/>
          <w:color w:val="auto"/>
        </w:rPr>
        <w:t>Any Employee who is a member of a select group of management or highly compensated employees of the Employers,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who is designated by the Committee as eligible, shall be eligible to participate in this Supplemental Pension Plan, provided, however, that any such Employee shall become a Participant hereunder only as provided under Section 3.2 hereof.</w:t>
      </w:r>
    </w:p>
    <w:p>
      <w:pPr>
        <w:spacing w:after="0" w:line="87" w:lineRule="exact"/>
        <w:rPr>
          <w:sz w:val="20"/>
          <w:szCs w:val="20"/>
          <w:color w:val="auto"/>
        </w:rPr>
      </w:pPr>
    </w:p>
    <w:p>
      <w:pPr>
        <w:ind w:left="580" w:right="560" w:hanging="566"/>
        <w:spacing w:after="0" w:line="259"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 xml:space="preserve">Participation. </w:t>
      </w:r>
      <w:r>
        <w:rPr>
          <w:rFonts w:ascii="Arial" w:cs="Arial" w:eastAsia="Arial" w:hAnsi="Arial"/>
          <w:sz w:val="18"/>
          <w:szCs w:val="18"/>
          <w:color w:val="auto"/>
        </w:rPr>
        <w:t>An Employee eligible to participate in the Plan under Section 3.1 hereof shall become a Participant on the date designated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Committee. Notwithstanding the foregoing, a Participant shall become eligible for a Supplemental Pension Benefit only in the event that the Participant is entitled to receive an accrued benefit under the Pension Plan, and the amount of such accrued benefit is limited by reason of the Compensation Limitation.</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Payment Elections.</w:t>
      </w:r>
    </w:p>
    <w:p>
      <w:pPr>
        <w:spacing w:after="0" w:line="131" w:lineRule="exact"/>
        <w:rPr>
          <w:sz w:val="20"/>
          <w:szCs w:val="20"/>
          <w:color w:val="auto"/>
        </w:rPr>
      </w:pPr>
    </w:p>
    <w:p>
      <w:pPr>
        <w:ind w:left="1140" w:right="120" w:hanging="565"/>
        <w:spacing w:after="0" w:line="312" w:lineRule="auto"/>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Participant may, prior to December 31, 2008, make an election under (c) and (d) below regarding the date and form of payment of his Supplemental Pension Benefit. Any election under this Section 3.3 shall be made at the time and in the manner prescribed by the Committee. If a Participant fails to make a timely election under this Section, the Participant’s Benefit will be paid in accordance with Section 5.2.</w:t>
      </w:r>
    </w:p>
    <w:p>
      <w:pPr>
        <w:spacing w:after="0" w:line="52" w:lineRule="exact"/>
        <w:rPr>
          <w:rFonts w:ascii="Arial" w:cs="Arial" w:eastAsia="Arial" w:hAnsi="Arial"/>
          <w:sz w:val="16"/>
          <w:szCs w:val="16"/>
          <w:color w:val="auto"/>
        </w:rPr>
      </w:pPr>
    </w:p>
    <w:p>
      <w:pPr>
        <w:ind w:left="1140" w:right="40" w:hanging="565"/>
        <w:spacing w:after="0" w:line="257"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Employee who first becomes eligible to participate in the Plan under Section 3.2 shall make an election under (c) and (d) below regarding the date and form of payment of his Supplemental Pension Benefit. The election shall be made at the time and in the manner prescribed by the Committee, but shall in no event be made later than January 31 of the year following the first year the Employee becomes eligible to participate in the Plan. If a Participant fails to make a timely election under this Section, the Participant’s Benefit will be paid in accordance with Section 5.2.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58" w:lineRule="exact"/>
        <w:rPr>
          <w:sz w:val="20"/>
          <w:szCs w:val="20"/>
          <w:color w:val="auto"/>
        </w:rPr>
      </w:pPr>
    </w:p>
    <w:p>
      <w:pPr>
        <w:ind w:left="1140" w:right="40" w:hanging="565"/>
        <w:spacing w:after="0" w:line="297"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Participant shall elect as his Benefit Commencement Date either (i) the date on which the Participant has a Separation from Service; (ii) the later of the date on which the Participant (A) attains Earliest Retirement Age, or (B) has a Separation from Service; or (iii) the later of the date on which the Participant (A) attains age 65, or (B) has a Separation from Service. A Participant who has a Separation from Service prior to January 1, 2009, and who does not begin to receive pension benefits under the Pension Plan before January 1, 2009, may elect as his Benefit Commencement Date, January 1, 2009, or if later, the date that is six months after the Participant’s Separation from Service.</w:t>
      </w:r>
    </w:p>
    <w:p>
      <w:pPr>
        <w:spacing w:after="0" w:line="63" w:lineRule="exact"/>
        <w:rPr>
          <w:rFonts w:ascii="Arial" w:cs="Arial" w:eastAsia="Arial" w:hAnsi="Arial"/>
          <w:sz w:val="16"/>
          <w:szCs w:val="16"/>
          <w:color w:val="auto"/>
        </w:rPr>
      </w:pPr>
    </w:p>
    <w:p>
      <w:pPr>
        <w:ind w:left="1140" w:right="260" w:hanging="565"/>
        <w:spacing w:after="0" w:line="277" w:lineRule="auto"/>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Participant shall elect to have his Supplemental Pension Benefit paid as either (i) a Single Life Annuity, (ii) a Five-, Ten- or Fifteen-Year Certain Life Annuity, (iii) a Joint and Survivor Annuity, or (iv) a single lump sum cash payment.</w:t>
      </w:r>
    </w:p>
    <w:p>
      <w:pPr>
        <w:spacing w:after="0" w:line="75" w:lineRule="exact"/>
        <w:rPr>
          <w:rFonts w:ascii="Arial" w:cs="Arial" w:eastAsia="Arial" w:hAnsi="Arial"/>
          <w:sz w:val="18"/>
          <w:szCs w:val="18"/>
          <w:color w:val="auto"/>
        </w:rPr>
      </w:pPr>
    </w:p>
    <w:p>
      <w:pPr>
        <w:ind w:left="1140" w:right="20" w:hanging="565"/>
        <w:spacing w:after="0" w:line="279" w:lineRule="auto"/>
        <w:tabs>
          <w:tab w:leader="none" w:pos="11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Subject to Sections 5.3 through 5.6 hereof, a Participant’s elections under this Section 3.3 shall be irrevocable and may not be changed, except that, if a Participant elects an annuity form of payment, or is scheduled to receive his Benefit in the form of a Single Life Annuity under the default provisions of Section 5.2(a), then prior to his Benefit Commencement Date, to the extent permitted under Section 409A of the Code, the Participant may revoke his annuity election and make a new election for a different, Actuarially Equivalent annuity.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SUPPLEMENTAL PENSION BENEFIT; VESTING</w:t>
      </w: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Calculation of Supplemental Pension Benefit.</w:t>
      </w:r>
    </w:p>
    <w:p>
      <w:pPr>
        <w:spacing w:after="0" w:line="131" w:lineRule="exact"/>
        <w:rPr>
          <w:sz w:val="20"/>
          <w:szCs w:val="20"/>
          <w:color w:val="auto"/>
        </w:rPr>
      </w:pPr>
    </w:p>
    <w:p>
      <w:pPr>
        <w:ind w:left="1140" w:right="280" w:hanging="565"/>
        <w:spacing w:after="0" w:line="277"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of the Supplemental Pension Benefit to which a Participant is entitled hereunder shall be the result obtained by subtracting (ii) from (i), where:</w:t>
      </w:r>
    </w:p>
    <w:p>
      <w:pPr>
        <w:spacing w:after="0" w:line="75" w:lineRule="exact"/>
        <w:rPr>
          <w:rFonts w:ascii="Arial" w:cs="Arial" w:eastAsia="Arial" w:hAnsi="Arial"/>
          <w:sz w:val="18"/>
          <w:szCs w:val="18"/>
          <w:color w:val="auto"/>
        </w:rPr>
      </w:pPr>
    </w:p>
    <w:p>
      <w:pPr>
        <w:ind w:left="1820" w:right="80" w:hanging="678"/>
        <w:spacing w:after="0" w:line="272" w:lineRule="auto"/>
        <w:tabs>
          <w:tab w:leader="none" w:pos="18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equals the annual benefit (or the lump sum Actuarial Equivalent thereof) that would have been payable to the Participant under the Pension Plan, as of the Participant’s Benefit Commencement Date assuming that (A) the Participant elected to have his accrued benefit under the Pension Plan paid in the same form of payment elected by the Participant under Article V hereof, (B) such accrued benefit was not limited by the Compensation Limitation, and (C) such accrued benefit was calculated using the Participant’s Compensation, as defined herein but capped at (I) $235,840, for calendar years beginning on and after January 1, 1994, but before January 1, 2006, and (II) $350,000, for calendar years beginning on and after January 1, 2006, rather than the Participant’s compensation, as defined in the Pension Plan; and</w:t>
      </w:r>
    </w:p>
    <w:p>
      <w:pPr>
        <w:spacing w:after="0" w:line="83" w:lineRule="exact"/>
        <w:rPr>
          <w:rFonts w:ascii="Arial" w:cs="Arial" w:eastAsia="Arial" w:hAnsi="Arial"/>
          <w:sz w:val="17"/>
          <w:szCs w:val="17"/>
          <w:color w:val="auto"/>
        </w:rPr>
      </w:pPr>
    </w:p>
    <w:p>
      <w:pPr>
        <w:jc w:val="both"/>
        <w:ind w:left="1820" w:right="140" w:hanging="678"/>
        <w:spacing w:after="0" w:line="286" w:lineRule="auto"/>
        <w:tabs>
          <w:tab w:leader="none" w:pos="18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equals the annual benefit (or the lump sum Actuarial Equivalent thereof) that would have been payable to the Participant under the Pension Plan, as of the Participant’s Benefit Commencement Date, assuming that the Participant elected to have his accrued benefit thereunder paid in the form of payment elected by the Participant under Article V hereof.</w:t>
      </w:r>
    </w:p>
    <w:p>
      <w:pPr>
        <w:spacing w:after="0" w:line="70" w:lineRule="exact"/>
        <w:rPr>
          <w:rFonts w:ascii="Arial" w:cs="Arial" w:eastAsia="Arial" w:hAnsi="Arial"/>
          <w:sz w:val="17"/>
          <w:szCs w:val="17"/>
          <w:color w:val="auto"/>
        </w:rPr>
      </w:pPr>
    </w:p>
    <w:p>
      <w:pPr>
        <w:ind w:left="1140" w:right="180" w:hanging="565"/>
        <w:spacing w:after="0" w:line="257"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Supplemental Pension Benefit payable with respect to a Participant shall be calculated with the objective that the total amount that the Participant (and his Beneficiary, if any) should receive under this Supplemental Pension Plan and the Pension Plan should equal the total amount that would otherwise have been payable to the Participant (and his Beneficiary, if any) solely under the Pension Plan, as of the Participant’s Benefit Commencement Date assuming that the Participant’s accrued benefit thereunder was calculated and paid in accordance with (a)(i) above.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Calculation of Supplemental Death Benefit.</w:t>
      </w:r>
    </w:p>
    <w:p>
      <w:pPr>
        <w:spacing w:after="0" w:line="131" w:lineRule="exact"/>
        <w:rPr>
          <w:sz w:val="20"/>
          <w:szCs w:val="20"/>
          <w:color w:val="auto"/>
        </w:rPr>
      </w:pPr>
    </w:p>
    <w:p>
      <w:pPr>
        <w:ind w:left="1140" w:right="200" w:hanging="565"/>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 Participant who is vested in his Supplemental Pension Benefit dies prior to the payment or commencement of payment thereof, the Participant’s Surviving Spouse shall receive a Supplemental Death Benefit commencing on the Surviving Spouse’s Benefit Commencement Date. The amount of the Supplemental Death Benefit to which a Surviving Spouse is entitled shall be the result obtained by subtracting (ii) from (i), where:</w:t>
      </w:r>
    </w:p>
    <w:p>
      <w:pPr>
        <w:spacing w:after="0" w:line="92" w:lineRule="exact"/>
        <w:rPr>
          <w:rFonts w:ascii="Arial" w:cs="Arial" w:eastAsia="Arial" w:hAnsi="Arial"/>
          <w:sz w:val="18"/>
          <w:szCs w:val="18"/>
          <w:color w:val="auto"/>
        </w:rPr>
      </w:pPr>
    </w:p>
    <w:p>
      <w:pPr>
        <w:ind w:left="1820" w:right="60" w:hanging="678"/>
        <w:spacing w:after="0" w:line="276" w:lineRule="auto"/>
        <w:tabs>
          <w:tab w:leader="none" w:pos="18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equals the annual preretirement survivor benefit that would have been payable to the Surviving Spouse under the Pension Plan, as of the Surviving Spouse’s Benefit Commencement Date in the form of a Preretirement Survivor Annuity assuming that (A) the Participant’s accrued benefit under the Pension Plan was not limited by the Compensation Limitation, and (B) such accrued benefit was calculated using the Participant’s Compensation, as defined herein and capped in the manner set forth in Section 4.1 (a)(i) hereof, rather than the Participant’s compensation, as defined in the Pension Plan; and</w:t>
      </w:r>
    </w:p>
    <w:p>
      <w:pPr>
        <w:spacing w:after="0" w:line="77" w:lineRule="exact"/>
        <w:rPr>
          <w:rFonts w:ascii="Arial" w:cs="Arial" w:eastAsia="Arial" w:hAnsi="Arial"/>
          <w:sz w:val="17"/>
          <w:szCs w:val="17"/>
          <w:color w:val="auto"/>
        </w:rPr>
      </w:pPr>
    </w:p>
    <w:p>
      <w:pPr>
        <w:ind w:left="1820" w:right="100" w:hanging="678"/>
        <w:spacing w:after="0" w:line="308" w:lineRule="auto"/>
        <w:tabs>
          <w:tab w:leader="none" w:pos="18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equals the annual preretirement survivor benefit that would have been payable to the Surviving Spouse under the Pension Plan as of the Surviving Spouse’s Benefit Commencement Date in the form of a Preretirement Survivor Annuity.</w:t>
      </w:r>
    </w:p>
    <w:p>
      <w:pPr>
        <w:spacing w:after="0" w:line="51" w:lineRule="exact"/>
        <w:rPr>
          <w:rFonts w:ascii="Arial" w:cs="Arial" w:eastAsia="Arial" w:hAnsi="Arial"/>
          <w:sz w:val="17"/>
          <w:szCs w:val="17"/>
          <w:color w:val="auto"/>
        </w:rPr>
      </w:pPr>
    </w:p>
    <w:p>
      <w:pPr>
        <w:ind w:left="1140" w:right="160" w:hanging="565"/>
        <w:spacing w:after="0" w:line="257"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Supplemental Death Benefit payable with respect to a Participant’s Surviving Spouse shall be calculated with the objective that the total amount the Surviving Spouse should receive under this Supplemental Pension Plan and the Pension Plan should equal the total amount that would otherwise have been payable to the Surviving Spouse solely under the Pension Plan, as of the Surviving Spouse’s Benefit Commencement Date assuming that the Surviving Spouse’s preretirement survivor benefit thereunder was calculated and paid in accordance with (a) above.</w:t>
      </w:r>
    </w:p>
    <w:p>
      <w:pPr>
        <w:spacing w:after="0" w:line="93"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Supplemental Death Benefit shall be payable with respect to a Participant who, on the date of the Participant’s death, is not vested in his Supplemental Pension Benefit or has no Surviving Spouse.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5" w:name="page106"/>
    <w:bookmarkEnd w:id="105"/>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69" w:lineRule="exact"/>
        <w:rPr>
          <w:sz w:val="20"/>
          <w:szCs w:val="20"/>
          <w:color w:val="auto"/>
        </w:rPr>
      </w:pPr>
    </w:p>
    <w:p>
      <w:pPr>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 xml:space="preserve">No Duplication of Benefits. </w:t>
      </w:r>
      <w:r>
        <w:rPr>
          <w:rFonts w:ascii="Arial" w:cs="Arial" w:eastAsia="Arial" w:hAnsi="Arial"/>
          <w:sz w:val="18"/>
          <w:szCs w:val="18"/>
          <w:color w:val="auto"/>
        </w:rPr>
        <w:t>Notwithstanding any provision of this Supplemental Pension Plan to the contrary, the Supplemental Pension Benefits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under this Article IV shall be determined and coordinated by the Committee so as to prevent any duplication of benefits under this Plan and the Pension Plan or under any individual employment or supplemental pension agreement.</w:t>
      </w:r>
    </w:p>
    <w:p>
      <w:pPr>
        <w:spacing w:after="0" w:line="87" w:lineRule="exact"/>
        <w:rPr>
          <w:sz w:val="20"/>
          <w:szCs w:val="20"/>
          <w:color w:val="auto"/>
        </w:rPr>
      </w:pPr>
    </w:p>
    <w:p>
      <w:pPr>
        <w:ind w:left="580" w:right="520" w:hanging="566"/>
        <w:spacing w:after="0" w:line="277"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 xml:space="preserve">Vesting. </w:t>
      </w:r>
      <w:r>
        <w:rPr>
          <w:rFonts w:ascii="Arial" w:cs="Arial" w:eastAsia="Arial" w:hAnsi="Arial"/>
          <w:sz w:val="18"/>
          <w:szCs w:val="18"/>
          <w:color w:val="auto"/>
        </w:rPr>
        <w:t>A Participant’s Supplemental Pension Benefit shall be vested and nonforfeitable to the same extent (and in the same percentage) as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Participant’s accrued benefit under the Pension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COMMENCEMENT AND FORM OF BENEFITS</w:t>
      </w:r>
    </w:p>
    <w:p>
      <w:pPr>
        <w:spacing w:after="0" w:line="116" w:lineRule="exact"/>
        <w:rPr>
          <w:sz w:val="20"/>
          <w:szCs w:val="20"/>
          <w:color w:val="auto"/>
        </w:rPr>
      </w:pPr>
    </w:p>
    <w:p>
      <w:pPr>
        <w:ind w:left="580" w:right="40" w:hanging="566"/>
        <w:spacing w:after="0" w:line="293"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 xml:space="preserve">Pre-2009 Benefit Commencement Date and Payment Form. </w:t>
      </w:r>
      <w:r>
        <w:rPr>
          <w:rFonts w:ascii="Arial" w:cs="Arial" w:eastAsia="Arial" w:hAnsi="Arial"/>
          <w:sz w:val="16"/>
          <w:szCs w:val="16"/>
          <w:color w:val="auto"/>
        </w:rPr>
        <w:t>Notwithstanding any election made under Section 3.3, if a Participant begins to receive</w:t>
      </w:r>
      <w:r>
        <w:rPr>
          <w:rFonts w:ascii="Arial" w:cs="Arial" w:eastAsia="Arial" w:hAnsi="Arial"/>
          <w:sz w:val="16"/>
          <w:szCs w:val="16"/>
          <w:u w:val="single" w:color="auto"/>
          <w:color w:val="auto"/>
        </w:rPr>
        <w:t xml:space="preserve"> </w:t>
      </w:r>
      <w:r>
        <w:rPr>
          <w:rFonts w:ascii="Arial" w:cs="Arial" w:eastAsia="Arial" w:hAnsi="Arial"/>
          <w:sz w:val="16"/>
          <w:szCs w:val="16"/>
          <w:color w:val="auto"/>
        </w:rPr>
        <w:t>pension benefits, or a Surviving Spouse begins to receive preretirement survivor benefits, under the Pension Plan prior to January 1, 2009, the Benefit Commencement Date of the Participant’s Supplemental Pension Benefit or the Surviving Spouse’s Supplemental Death Benefit hereunder shall be the date on which the Participant or Surviving Spouse begins to receive pension or preretirement survivor benefits under the Pension Plan, and the form of payment of the Participant’s Supplemental Pension Benefit or the Surviving Spouse’s Supplemental Death Benefit hereunder shall be the same form of payment as the Participant’s or Surviving Spouse’s pension or preretirement survivor benefits under the Pension Plan.</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Post-2008 Benefit Commencement Date and Payment Form.</w:t>
      </w:r>
    </w:p>
    <w:p>
      <w:pPr>
        <w:spacing w:after="0" w:line="131" w:lineRule="exact"/>
        <w:rPr>
          <w:sz w:val="20"/>
          <w:szCs w:val="20"/>
          <w:color w:val="auto"/>
        </w:rPr>
      </w:pPr>
    </w:p>
    <w:p>
      <w:pPr>
        <w:ind w:left="1140" w:right="280" w:hanging="565"/>
        <w:spacing w:after="0" w:line="257"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 Participant does not begin to receive pension benefits under the Pension Plan before January 1, 2009, the Participant’s Supplemental Pension Benefit shall be paid or begin to be paid in accordance with the Participant’s payment elections under Section 3.3 hereof. If such Participant fails to make a timely election under Section 3.3, the Participant’s Benefit Commencement Date shall be the later of the date on which the Participant (i) attains Earliest Retirement Age, or (ii) has a Separation from Service, and payment of his Supplemental Pension Benefit shall be in the form of a Single Life Annuity.</w:t>
      </w:r>
    </w:p>
    <w:p>
      <w:pPr>
        <w:spacing w:after="0" w:line="93" w:lineRule="exact"/>
        <w:rPr>
          <w:rFonts w:ascii="Arial" w:cs="Arial" w:eastAsia="Arial" w:hAnsi="Arial"/>
          <w:sz w:val="18"/>
          <w:szCs w:val="18"/>
          <w:color w:val="auto"/>
        </w:rPr>
      </w:pPr>
    </w:p>
    <w:p>
      <w:pPr>
        <w:ind w:left="1140" w:right="80" w:hanging="565"/>
        <w:spacing w:after="0" w:line="259"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 Surviving Spouse does not begin to receive preretirement survivor benefits under the Pension Plan before January 1, 2009, the Benefit Commencement Date of the Surviving Spouse’s Supplemental Death Benefit shall be the later of the date (i) on which the Participant attains Earliest Retirement Age (or would have attained Earliest Retirement Age assuming that the Participant terminated employment on the date of his death and survived until such age), or (ii) of the Participant’s death.</w:t>
      </w:r>
    </w:p>
    <w:p>
      <w:pPr>
        <w:spacing w:after="0" w:line="92" w:lineRule="exact"/>
        <w:rPr>
          <w:rFonts w:ascii="Arial" w:cs="Arial" w:eastAsia="Arial" w:hAnsi="Arial"/>
          <w:sz w:val="18"/>
          <w:szCs w:val="18"/>
          <w:color w:val="auto"/>
        </w:rPr>
      </w:pPr>
    </w:p>
    <w:p>
      <w:pPr>
        <w:ind w:left="1140" w:right="60" w:hanging="565"/>
        <w:spacing w:after="0" w:line="264"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Benefit hereunder shall be paid or begin to be paid on a Participant’s or Surviving Spouse’s Benefit Commencement Date or as soon as practicable thereafter, but not later than the later of (i) December 31 of the calendar year in which the Benefit Commencement Date occurs, or (ii) the 15</w:t>
      </w:r>
      <w:r>
        <w:rPr>
          <w:rFonts w:ascii="Arial" w:cs="Arial" w:eastAsia="Arial" w:hAnsi="Arial"/>
          <w:sz w:val="15"/>
          <w:szCs w:val="15"/>
          <w:color w:val="auto"/>
        </w:rPr>
        <w:t>th</w:t>
      </w:r>
      <w:r>
        <w:rPr>
          <w:rFonts w:ascii="Arial" w:cs="Arial" w:eastAsia="Arial" w:hAnsi="Arial"/>
          <w:sz w:val="18"/>
          <w:szCs w:val="18"/>
          <w:color w:val="auto"/>
        </w:rPr>
        <w:t xml:space="preserve"> day of the third calendar month following the Benefit Commencement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6" w:name="page107"/>
    <w:bookmarkEnd w:id="106"/>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69" w:lineRule="exact"/>
        <w:rPr>
          <w:sz w:val="20"/>
          <w:szCs w:val="20"/>
          <w:color w:val="auto"/>
        </w:rPr>
      </w:pPr>
    </w:p>
    <w:p>
      <w:pPr>
        <w:ind w:left="580" w:right="60" w:hanging="566"/>
        <w:spacing w:after="0" w:line="291"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 xml:space="preserve">Mandatory Cashouts. </w:t>
      </w:r>
      <w:r>
        <w:rPr>
          <w:rFonts w:ascii="Arial" w:cs="Arial" w:eastAsia="Arial" w:hAnsi="Arial"/>
          <w:sz w:val="16"/>
          <w:szCs w:val="16"/>
          <w:color w:val="auto"/>
        </w:rPr>
        <w:t>Notwithstanding Sections 5.2, and 5.5 hereof and effective January 1, 2009, if the Actuarially Equivalent lump sum value of (a)</w:t>
      </w:r>
      <w:r>
        <w:rPr>
          <w:rFonts w:ascii="Arial" w:cs="Arial" w:eastAsia="Arial" w:hAnsi="Arial"/>
          <w:sz w:val="16"/>
          <w:szCs w:val="16"/>
          <w:u w:val="single" w:color="auto"/>
          <w:color w:val="auto"/>
        </w:rPr>
        <w:t xml:space="preserve"> </w:t>
      </w:r>
      <w:r>
        <w:rPr>
          <w:rFonts w:ascii="Arial" w:cs="Arial" w:eastAsia="Arial" w:hAnsi="Arial"/>
          <w:sz w:val="16"/>
          <w:szCs w:val="16"/>
          <w:color w:val="auto"/>
        </w:rPr>
        <w:t>a Participant’s Supplemental Pension Benefit as of the date of the Participant’s Separation from Service or Disability, or (b) a Surviving Spouse’s Supplemental Death Benefit as of the date of the Participant’s death, does not exceed the applicable dollar amount under Section 402(g)(1)(B) of the Code, the Participant’s Supplemental Pension Benefit or Surviving Spouse’s Supplemental Death Benefit may, in the sole discretion of the Committee, be paid in a single lump sum cash payment as soon as practicable after the date of the Participant’s Separation from Service or Disability, but not later than the later of (i) the 15</w:t>
      </w:r>
      <w:r>
        <w:rPr>
          <w:rFonts w:ascii="Arial" w:cs="Arial" w:eastAsia="Arial" w:hAnsi="Arial"/>
          <w:sz w:val="13"/>
          <w:szCs w:val="13"/>
          <w:color w:val="auto"/>
        </w:rPr>
        <w:t>th</w:t>
      </w:r>
      <w:r>
        <w:rPr>
          <w:rFonts w:ascii="Arial" w:cs="Arial" w:eastAsia="Arial" w:hAnsi="Arial"/>
          <w:sz w:val="16"/>
          <w:szCs w:val="16"/>
          <w:color w:val="auto"/>
        </w:rPr>
        <w:t xml:space="preserve"> day of the third calendar month following the date of the Participant’s Separation from Service or Disability, as applicable, or (ii) December 31 of the calendar year in which the Separation from Service or Disability, as applicable, occurs.</w:t>
      </w:r>
    </w:p>
    <w:p>
      <w:pPr>
        <w:spacing w:after="0" w:line="73" w:lineRule="exact"/>
        <w:rPr>
          <w:sz w:val="20"/>
          <w:szCs w:val="20"/>
          <w:color w:val="auto"/>
        </w:rPr>
      </w:pPr>
    </w:p>
    <w:p>
      <w:pPr>
        <w:ind w:left="580" w:right="20" w:hanging="566"/>
        <w:spacing w:after="0" w:line="291" w:lineRule="auto"/>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 xml:space="preserve">Mandatory Delay in Benefit Payments for Specified Employees. </w:t>
      </w:r>
      <w:r>
        <w:rPr>
          <w:rFonts w:ascii="Arial" w:cs="Arial" w:eastAsia="Arial" w:hAnsi="Arial"/>
          <w:sz w:val="16"/>
          <w:szCs w:val="16"/>
          <w:color w:val="auto"/>
        </w:rPr>
        <w:t>Notwithstanding Sections 5.1 through 5.3 hereof, to the extent required by Section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409A of the Code with respect to “specified employees” on a Separation from Service, the Committee shall delay payment of the Supplemental Pension Benefit of a Participant until the earlier of (a) the date that is six months after the date of any termination of employment or other event that constitutes the Participant’s Separation from Service, or (b) the date of the Participant’s death. The aggregate amount of payment(s) otherwise payable during the delay period (plus interest thereon at the short-term Applicable Federal Rate, provided that such interest does not cause the Plan to violate Section 409A of the Code) shall be payable to the Participant as soon as practicable after the expiration of the delay period. For purposes of this Section 5.4, all Participants in the Plan shall be deemed to be “specified employees” under Section 409A of the Code.</w:t>
      </w:r>
    </w:p>
    <w:p>
      <w:pPr>
        <w:spacing w:after="0" w:line="73" w:lineRule="exact"/>
        <w:rPr>
          <w:sz w:val="20"/>
          <w:szCs w:val="20"/>
          <w:color w:val="auto"/>
        </w:rPr>
      </w:pPr>
    </w:p>
    <w:p>
      <w:pPr>
        <w:jc w:val="right"/>
        <w:ind w:right="480"/>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Payment on Disability.</w:t>
      </w:r>
      <w:r>
        <w:rPr>
          <w:rFonts w:ascii="Arial" w:cs="Arial" w:eastAsia="Arial" w:hAnsi="Arial"/>
          <w:sz w:val="16"/>
          <w:szCs w:val="16"/>
          <w:color w:val="auto"/>
        </w:rPr>
        <w:t xml:space="preserve"> Notwithstanding Section 5.2 hereof, in the event of a Participant’s Disability, payment of the Participant’s Supplemental Pension Benefit will commence as soon as practicable but not later than 90 days following the date the Participant is determined to be Disabled.</w:t>
      </w:r>
    </w:p>
    <w:p>
      <w:pPr>
        <w:spacing w:after="0" w:line="29" w:lineRule="exact"/>
        <w:rPr>
          <w:sz w:val="20"/>
          <w:szCs w:val="20"/>
          <w:color w:val="auto"/>
        </w:rPr>
      </w:pPr>
    </w:p>
    <w:p>
      <w:pPr>
        <w:ind w:left="580" w:right="20" w:hanging="566"/>
        <w:spacing w:after="0" w:line="259"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Discretionary Delay in Benefit Payments</w:t>
      </w:r>
      <w:r>
        <w:rPr>
          <w:rFonts w:ascii="Arial" w:cs="Arial" w:eastAsia="Arial" w:hAnsi="Arial"/>
          <w:sz w:val="18"/>
          <w:szCs w:val="18"/>
          <w:color w:val="auto"/>
        </w:rPr>
        <w:t>. Notwithstanding Sections 5.1 through 5.5 hereof, the Committee may delay payment of a Benefit by reason</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any event(s) or condition(s) permitted under Section 409A of the Code, including without limitation, to the extent permissible, delays relating to (a) nondeductible Compensation payments under Section 162(m) of the Code; (b) violations of loan agreements; and (c) violations of federal securities law or other applicable law.</w:t>
      </w:r>
    </w:p>
    <w:p>
      <w:pPr>
        <w:spacing w:after="0" w:line="92" w:lineRule="exact"/>
        <w:rPr>
          <w:sz w:val="20"/>
          <w:szCs w:val="20"/>
          <w:color w:val="auto"/>
        </w:rPr>
      </w:pPr>
    </w:p>
    <w:p>
      <w:pPr>
        <w:ind w:left="580" w:right="100" w:hanging="566"/>
        <w:spacing w:after="0" w:line="277" w:lineRule="auto"/>
        <w:tabs>
          <w:tab w:leader="none" w:pos="5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u w:val="single" w:color="auto"/>
          <w:color w:val="auto"/>
        </w:rPr>
        <w:t xml:space="preserve">Payment by Employer. </w:t>
      </w:r>
      <w:r>
        <w:rPr>
          <w:rFonts w:ascii="Arial" w:cs="Arial" w:eastAsia="Arial" w:hAnsi="Arial"/>
          <w:sz w:val="18"/>
          <w:szCs w:val="18"/>
          <w:color w:val="auto"/>
        </w:rPr>
        <w:t>The Supplemental Pension Benefit payable hereunder to, or on behalf of, a Participant shall be paid by the Employer who last</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employed the Participant.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116" w:lineRule="exact"/>
        <w:rPr>
          <w:sz w:val="20"/>
          <w:szCs w:val="20"/>
          <w:color w:val="auto"/>
        </w:rPr>
      </w:pPr>
    </w:p>
    <w:p>
      <w:pPr>
        <w:ind w:left="580" w:right="40" w:hanging="566"/>
        <w:spacing w:after="0" w:line="269"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 xml:space="preserve">Administration. </w:t>
      </w:r>
      <w:r>
        <w:rPr>
          <w:rFonts w:ascii="Arial" w:cs="Arial" w:eastAsia="Arial" w:hAnsi="Arial"/>
          <w:sz w:val="17"/>
          <w:szCs w:val="17"/>
          <w:color w:val="auto"/>
        </w:rPr>
        <w:t>The Committee shall be charged with the administration of this Supplemental Pension Plan. The members of the Committee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selected by the Company. The Committee shall have all such powers as may be necessary to discharge its duties relative to the administration of this Supplemental Pension Plan, including by way of illustration and not limitation, discretionary authority to interpret and construe this Supplemental Pension Plan, to decide any dispute arising hereunder, to determine the right of any Employee with respect to participation herein, to determine the right of any Participant with respect to benefits payable hereunder and to adopt, alter and repeal such administrative rules, regulations and practices governing the operation of this Supplemental Pension Plan as it, in its sole discretion, may from time to time deem advisable. No member of the Committee shall be liable to any person for any action taken or omitted in connection with the interpretation and administration of this Supplemental Pension Plan unless attributable to willful misconduct or lack of good faith. The Committee shall be entitled to rely conclusively upon all tables, valuations, certificates, opinions and reports furnished by any actuary, accountant, controller, counsel or other person employed or engaged by the Committee or the Company with respect to this Supplemental Pension Plan. A Committee member shall not participate in any action or determination relating solely to his own Benefit hereunder. Except as provided in Sections 6.2 and 6.3 hereof, decisions of the Committee made in good faith shall be final, conclusive and binding upon all parties.</w:t>
      </w:r>
    </w:p>
    <w:p>
      <w:pPr>
        <w:spacing w:after="0" w:line="8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Denial of Claim for Benefits.</w:t>
      </w:r>
    </w:p>
    <w:p>
      <w:pPr>
        <w:spacing w:after="0" w:line="131" w:lineRule="exact"/>
        <w:rPr>
          <w:sz w:val="20"/>
          <w:szCs w:val="20"/>
          <w:color w:val="auto"/>
        </w:rPr>
      </w:pPr>
    </w:p>
    <w:p>
      <w:pPr>
        <w:ind w:left="1140" w:hanging="565"/>
        <w:spacing w:after="0" w:line="254" w:lineRule="auto"/>
        <w:tabs>
          <w:tab w:leader="none" w:pos="1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Claims for Benefits under the Plan shall be filed with the Committee. If any Participant or other payee (a “Claimant”) claims to be entitled to a Benefit hereunder and the Committee determines that such claim should be denied in whole or in part, the Committee shall notify such Claimant of its decision in writing (which may be provided electronically). Such notification will be written in a manner calculated to be understood by the Claimant and will contain (i) specific reasons for the denial, (ii) specific reference to pertinent Plan provisions, (iii) a description of any additional material or information necessary for the Claimant to perfect such claim and an explanation of why such material or information is necessary, and (iv) a description of the Plan’s review procedures and the time limits applicable to such procedures, including a statement of the Claimant’s right to bring a civil action under Section 502(a) of ERISA following the rendering of an adverse decision on review.</w:t>
      </w:r>
    </w:p>
    <w:p>
      <w:pPr>
        <w:spacing w:after="0" w:line="97" w:lineRule="exact"/>
        <w:rPr>
          <w:rFonts w:ascii="Arial" w:cs="Arial" w:eastAsia="Arial" w:hAnsi="Arial"/>
          <w:sz w:val="18"/>
          <w:szCs w:val="18"/>
          <w:color w:val="auto"/>
        </w:rPr>
      </w:pPr>
    </w:p>
    <w:p>
      <w:pPr>
        <w:ind w:left="1140" w:right="60" w:hanging="565"/>
        <w:spacing w:after="0" w:line="276" w:lineRule="auto"/>
        <w:tabs>
          <w:tab w:leader="none" w:pos="11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Notification of the denied claim will be given within a reasonable period of time, but not later than 90 days after the claim is received by the Committee, unless the Committee determines that special circumstances require an extension of time for processing the claim. If the Committee determines that such an extension of time is required, written notice of the extension shall be provided to the Claimant prior to the end of the initial 90-day period. The extension notice shall indicate the special circumstances requiring the extension of time and the date by which the Committee expects to render its decision. In no event shall the extension exceed an additional 90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8" w:name="page109"/>
    <w:bookmarkEnd w:id="108"/>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w:t>
      </w:r>
    </w:p>
    <w:p>
      <w:pPr>
        <w:spacing w:after="0" w:line="169" w:lineRule="exact"/>
        <w:rPr>
          <w:sz w:val="20"/>
          <w:szCs w:val="20"/>
          <w:color w:val="auto"/>
        </w:rPr>
      </w:pPr>
    </w:p>
    <w:p>
      <w:pPr>
        <w:ind w:left="1140" w:right="80"/>
        <w:spacing w:after="0" w:line="277" w:lineRule="auto"/>
        <w:rPr>
          <w:sz w:val="20"/>
          <w:szCs w:val="20"/>
          <w:color w:val="auto"/>
        </w:rPr>
      </w:pPr>
      <w:r>
        <w:rPr>
          <w:rFonts w:ascii="Arial" w:cs="Arial" w:eastAsia="Arial" w:hAnsi="Arial"/>
          <w:sz w:val="18"/>
          <w:szCs w:val="18"/>
          <w:color w:val="auto"/>
        </w:rPr>
        <w:t>days from the end of the initial 90-day period. Any electronic notification provided by the Committee under this Article VI shall comply with the standards imposed by 29 C.F.R. 2520.104b-1(c)(1)(i)-(iv).</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Review Procedures.</w:t>
      </w:r>
    </w:p>
    <w:p>
      <w:pPr>
        <w:spacing w:after="0" w:line="131" w:lineRule="exact"/>
        <w:rPr>
          <w:sz w:val="20"/>
          <w:szCs w:val="20"/>
          <w:color w:val="auto"/>
        </w:rPr>
      </w:pPr>
    </w:p>
    <w:p>
      <w:pPr>
        <w:ind w:left="1140" w:hanging="565"/>
        <w:spacing w:after="0" w:line="269" w:lineRule="auto"/>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Within 60 days after the date on which a Claimant receives a written notice of a denied claim, the Claimant may file a written request with the Committee for a review of the denied claim. If the Claimant requests a review of the denied claim, the Claimant shall be entitled to submit to the Committee written comments, documents, records and other information relating to the claim for Benefits and to receive, upon request and free of charge, reasonable access to, and copies of, all documents, records and other information relevant to the Claimant’s claim for Benefits. The Committee shall perform its review taking into account all comments, documents, records and other information submitted by the Claimant relating to the claim without regard to whether such information was submitted or considered in the initial Benefit determination. The Committee will notify the Claimant of its decision in writing (which may be provided electronically). If the claim is denied, the notification will be written in a manner calculated to be understood by the Claimant and will contain (i) the specific reasons for the denial, (ii) references to pertinent provisions of the Plan, (iii) a statement that the Claimant is entitled to receive, upon request and free of charge, reasonable access to, and copies of, all documents, records and other information relevant to the Claimant’s claim for Benefits, and (iv) a statement of the Claimant’s right to bring an action under Section 502(a) of ERISA.</w:t>
      </w:r>
    </w:p>
    <w:p>
      <w:pPr>
        <w:spacing w:after="0" w:line="88" w:lineRule="exact"/>
        <w:rPr>
          <w:rFonts w:ascii="Arial" w:cs="Arial" w:eastAsia="Arial" w:hAnsi="Arial"/>
          <w:sz w:val="17"/>
          <w:szCs w:val="17"/>
          <w:color w:val="auto"/>
        </w:rPr>
      </w:pPr>
    </w:p>
    <w:p>
      <w:pPr>
        <w:ind w:left="1140" w:right="20" w:hanging="565"/>
        <w:spacing w:after="0" w:line="271" w:lineRule="auto"/>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review provided for by (a) above will be made within a reasonable period of time, but not later than 60 days after the Committee receives the request for review, unless the Committee determines that special circumstances require an extension of time for processing the claim. If the Committee determines that an extension of time is required, written notice of the extension shall be furnished to the Claimant prior to the end of the initial 60-day period. The extension notice shall indicate the special circumstances requiring the extension of time and the date by which the Committee expects to render its decision. In no event shall the extension exceed an additional 60 days from the end of the initial 60-day period. If the extension of time is needed due to the Claimant’s failure to submit information necessary to make a decision, the period during which the Committee must make a decision shall be tolled from the date the extension notice is sent to the Claimant until the date the Claimant responds to the request for additional information.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116" w:lineRule="exact"/>
        <w:rPr>
          <w:sz w:val="20"/>
          <w:szCs w:val="20"/>
          <w:color w:val="auto"/>
        </w:rPr>
      </w:pPr>
    </w:p>
    <w:p>
      <w:pPr>
        <w:ind w:left="580" w:right="260" w:hanging="566"/>
        <w:spacing w:after="0" w:line="277"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 xml:space="preserve">Amendment and Termination of the Plan. </w:t>
      </w:r>
      <w:r>
        <w:rPr>
          <w:rFonts w:ascii="Arial" w:cs="Arial" w:eastAsia="Arial" w:hAnsi="Arial"/>
          <w:sz w:val="18"/>
          <w:szCs w:val="18"/>
          <w:color w:val="auto"/>
        </w:rPr>
        <w:t>The Company may amend or terminate this Supplemental Pension Plan at any time, if, in the Company’s</w:t>
      </w:r>
      <w:r>
        <w:rPr>
          <w:rFonts w:ascii="Arial" w:cs="Arial" w:eastAsia="Arial" w:hAnsi="Arial"/>
          <w:sz w:val="18"/>
          <w:szCs w:val="18"/>
          <w:u w:val="single" w:color="auto"/>
          <w:color w:val="auto"/>
        </w:rPr>
        <w:t xml:space="preserve"> </w:t>
      </w:r>
      <w:r>
        <w:rPr>
          <w:rFonts w:ascii="Arial" w:cs="Arial" w:eastAsia="Arial" w:hAnsi="Arial"/>
          <w:sz w:val="18"/>
          <w:szCs w:val="18"/>
          <w:color w:val="auto"/>
        </w:rPr>
        <w:t>sole judgment, such amendment or termination is necessary or desirable. Any such amendment or termination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9" w:name="page110"/>
    <w:bookmarkEnd w:id="109"/>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69" w:lineRule="exact"/>
        <w:rPr>
          <w:sz w:val="20"/>
          <w:szCs w:val="20"/>
          <w:color w:val="auto"/>
        </w:rPr>
      </w:pPr>
    </w:p>
    <w:p>
      <w:pPr>
        <w:ind w:left="580" w:right="80"/>
        <w:spacing w:after="0" w:line="257" w:lineRule="auto"/>
        <w:rPr>
          <w:sz w:val="20"/>
          <w:szCs w:val="20"/>
          <w:color w:val="auto"/>
        </w:rPr>
      </w:pPr>
      <w:r>
        <w:rPr>
          <w:rFonts w:ascii="Arial" w:cs="Arial" w:eastAsia="Arial" w:hAnsi="Arial"/>
          <w:sz w:val="18"/>
          <w:szCs w:val="18"/>
          <w:color w:val="auto"/>
        </w:rPr>
        <w:t>shall be made in writing by the Board of Directors of the Company or its designee, if applicable, and shall be effective as of the date specified in such document. No amendment or termination of this Supplemental Pension Plan shall directly or indirectly reduce the Benefit of any Participant or Beneficiary as of the effective date of such amendment or termination (assuming, in the case of a Participant, that the Participant is vested in his Benefit and has a Separation from Service as of such effective date and survives until his elected Benefit Commencement Date) without the written consent of the Participant or Beneficiary.</w:t>
      </w:r>
    </w:p>
    <w:p>
      <w:pPr>
        <w:spacing w:after="0" w:line="94" w:lineRule="exact"/>
        <w:rPr>
          <w:sz w:val="20"/>
          <w:szCs w:val="20"/>
          <w:color w:val="auto"/>
        </w:rPr>
      </w:pPr>
    </w:p>
    <w:p>
      <w:pPr>
        <w:ind w:left="580" w:right="140" w:hanging="566"/>
        <w:spacing w:after="0" w:line="259"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 xml:space="preserve">Payment of Benefits upon Termination of Plan. </w:t>
      </w:r>
      <w:r>
        <w:rPr>
          <w:rFonts w:ascii="Arial" w:cs="Arial" w:eastAsia="Arial" w:hAnsi="Arial"/>
          <w:sz w:val="18"/>
          <w:szCs w:val="18"/>
          <w:color w:val="auto"/>
        </w:rPr>
        <w:t>In the event of the termination of the Plan, the Company (or any transferee, purchaser or successor</w:t>
      </w:r>
      <w:r>
        <w:rPr>
          <w:rFonts w:ascii="Arial" w:cs="Arial" w:eastAsia="Arial" w:hAnsi="Arial"/>
          <w:sz w:val="18"/>
          <w:szCs w:val="18"/>
          <w:u w:val="single" w:color="auto"/>
          <w:color w:val="auto"/>
        </w:rPr>
        <w:t xml:space="preserve"> </w:t>
      </w:r>
      <w:r>
        <w:rPr>
          <w:rFonts w:ascii="Arial" w:cs="Arial" w:eastAsia="Arial" w:hAnsi="Arial"/>
          <w:sz w:val="18"/>
          <w:szCs w:val="18"/>
          <w:color w:val="auto"/>
        </w:rPr>
        <w:t>entity) may elect to accelerate the time and form of payment of Benefits hereunder by reason of any event(s) or condition(s) permitted under Section 409A of the Code, including, without limitation, a termination in connection with a “change of control” within the meaning of Section 409A of the Code.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16" w:lineRule="exact"/>
        <w:rPr>
          <w:sz w:val="20"/>
          <w:szCs w:val="20"/>
          <w:color w:val="auto"/>
        </w:rPr>
      </w:pPr>
    </w:p>
    <w:p>
      <w:pPr>
        <w:ind w:left="580" w:right="20" w:hanging="566"/>
        <w:spacing w:after="0" w:line="342"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 xml:space="preserve">No Effect on Employment Rights. </w:t>
      </w:r>
      <w:r>
        <w:rPr>
          <w:rFonts w:ascii="Arial" w:cs="Arial" w:eastAsia="Arial" w:hAnsi="Arial"/>
          <w:sz w:val="16"/>
          <w:szCs w:val="16"/>
          <w:color w:val="auto"/>
        </w:rPr>
        <w:t>Nothing contained herein will confer upon any Participant the right to be retained in the service of an Employer nor</w:t>
      </w:r>
      <w:r>
        <w:rPr>
          <w:rFonts w:ascii="Arial" w:cs="Arial" w:eastAsia="Arial" w:hAnsi="Arial"/>
          <w:sz w:val="16"/>
          <w:szCs w:val="16"/>
          <w:u w:val="single" w:color="auto"/>
          <w:color w:val="auto"/>
        </w:rPr>
        <w:t xml:space="preserve"> </w:t>
      </w:r>
      <w:r>
        <w:rPr>
          <w:rFonts w:ascii="Arial" w:cs="Arial" w:eastAsia="Arial" w:hAnsi="Arial"/>
          <w:sz w:val="16"/>
          <w:szCs w:val="16"/>
          <w:color w:val="auto"/>
        </w:rPr>
        <w:t>limit the right of an Employer to discharge or otherwise deal with Participants without regard to the existence of this Supplemental Pension Plan.</w:t>
      </w:r>
    </w:p>
    <w:p>
      <w:pPr>
        <w:spacing w:after="0" w:line="29" w:lineRule="exact"/>
        <w:rPr>
          <w:sz w:val="20"/>
          <w:szCs w:val="20"/>
          <w:color w:val="auto"/>
        </w:rPr>
      </w:pPr>
    </w:p>
    <w:p>
      <w:pPr>
        <w:ind w:left="580" w:right="100" w:hanging="566"/>
        <w:spacing w:after="0" w:line="290"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 xml:space="preserve">Plan Unfunded. </w:t>
      </w:r>
      <w:r>
        <w:rPr>
          <w:rFonts w:ascii="Arial" w:cs="Arial" w:eastAsia="Arial" w:hAnsi="Arial"/>
          <w:sz w:val="16"/>
          <w:szCs w:val="16"/>
          <w:color w:val="auto"/>
        </w:rPr>
        <w:t>Notwithstanding any provision herein to the contrary, the benefits offered hereunder shall constitute nothing more than unfunded,</w:t>
      </w:r>
      <w:r>
        <w:rPr>
          <w:rFonts w:ascii="Arial" w:cs="Arial" w:eastAsia="Arial" w:hAnsi="Arial"/>
          <w:sz w:val="16"/>
          <w:szCs w:val="16"/>
          <w:u w:val="single" w:color="auto"/>
          <w:color w:val="auto"/>
        </w:rPr>
        <w:t xml:space="preserve"> </w:t>
      </w:r>
      <w:r>
        <w:rPr>
          <w:rFonts w:ascii="Arial" w:cs="Arial" w:eastAsia="Arial" w:hAnsi="Arial"/>
          <w:sz w:val="16"/>
          <w:szCs w:val="16"/>
          <w:color w:val="auto"/>
        </w:rPr>
        <w:t>unsecured promises by each Employer to pay the benefits determined hereunder that such Employer is obligated to pay under Section 5.6 hereof. No provision shall at any time be made with respect to segregating any assets of any Employer for payment of any Benefits hereunder. No Participant, Beneficiary or any other person shall have any interest in any particular assets of the Employers by reason of the right to receive a Benefit hereunder, and any such Participant, Beneficiary or other person shall have only the rights of a general unsecured creditor of the Employer by whom the Participant was last employed with respect to any rights under this Supplemental Pension Plan. Nothing contained in this Supplemental Pension Plan shall constitute a guaranty by the Employers or any other entity or person that the assets of any Employer will be sufficient to pay any benefits hereunder. All expenses and fees incurred in the administration of this Supplemental Pension Plan shall be paid by the Employers.</w:t>
      </w:r>
    </w:p>
    <w:p>
      <w:pPr>
        <w:spacing w:after="0" w:line="72" w:lineRule="exact"/>
        <w:rPr>
          <w:sz w:val="20"/>
          <w:szCs w:val="20"/>
          <w:color w:val="auto"/>
        </w:rPr>
      </w:pPr>
    </w:p>
    <w:p>
      <w:pPr>
        <w:ind w:left="580" w:right="560" w:hanging="566"/>
        <w:spacing w:after="0" w:line="308"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 xml:space="preserve">Binding on Employers, Employees and Their Successors. </w:t>
      </w:r>
      <w:r>
        <w:rPr>
          <w:rFonts w:ascii="Arial" w:cs="Arial" w:eastAsia="Arial" w:hAnsi="Arial"/>
          <w:sz w:val="17"/>
          <w:szCs w:val="17"/>
          <w:color w:val="auto"/>
        </w:rPr>
        <w:t>This Supplemental Pension Plan shall be binding upon and inure to the benefit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Employers, their successors and assigns and each Participant and his heirs, executors, administrators and legal representatives.</w:t>
      </w:r>
    </w:p>
    <w:p>
      <w:pPr>
        <w:spacing w:after="0" w:line="52" w:lineRule="exact"/>
        <w:rPr>
          <w:sz w:val="20"/>
          <w:szCs w:val="20"/>
          <w:color w:val="auto"/>
        </w:rPr>
      </w:pPr>
    </w:p>
    <w:p>
      <w:pPr>
        <w:jc w:val="both"/>
        <w:ind w:left="580" w:right="480" w:hanging="566"/>
        <w:spacing w:after="0" w:line="264" w:lineRule="auto"/>
        <w:tabs>
          <w:tab w:leader="none" w:pos="5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 xml:space="preserve">Spendthrift Provisions. </w:t>
      </w:r>
      <w:r>
        <w:rPr>
          <w:rFonts w:ascii="Arial" w:cs="Arial" w:eastAsia="Arial" w:hAnsi="Arial"/>
          <w:sz w:val="18"/>
          <w:szCs w:val="18"/>
          <w:color w:val="auto"/>
        </w:rPr>
        <w:t>No benefit payable under this Supplemental Pension Plan shall be subject in any manner to anticipation, alienation, sale,</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transfer, assignment, pledge, encumbrance or charge prior to actual receipt thereof by the payee; and any attempt so to anticipate, alienate, sell, transfer, assign, pledge, encumber or charge prior to such receipt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0" w:name="page111"/>
    <w:bookmarkEnd w:id="110"/>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69" w:lineRule="exact"/>
        <w:rPr>
          <w:sz w:val="20"/>
          <w:szCs w:val="20"/>
          <w:color w:val="auto"/>
        </w:rPr>
      </w:pPr>
    </w:p>
    <w:p>
      <w:pPr>
        <w:ind w:left="580" w:right="100"/>
        <w:spacing w:after="0" w:line="277" w:lineRule="auto"/>
        <w:rPr>
          <w:sz w:val="20"/>
          <w:szCs w:val="20"/>
          <w:color w:val="auto"/>
        </w:rPr>
      </w:pPr>
      <w:r>
        <w:rPr>
          <w:rFonts w:ascii="Arial" w:cs="Arial" w:eastAsia="Arial" w:hAnsi="Arial"/>
          <w:sz w:val="18"/>
          <w:szCs w:val="18"/>
          <w:color w:val="auto"/>
        </w:rPr>
        <w:t>shall be void; and the Employers shall not be liable in any manner for or subject to the debts, contracts, liabilities, torts or engagements of any person entitled to any benefit under this Supplemental Pension Plan.</w:t>
      </w:r>
    </w:p>
    <w:p>
      <w:pPr>
        <w:spacing w:after="0" w:line="76" w:lineRule="exact"/>
        <w:rPr>
          <w:sz w:val="20"/>
          <w:szCs w:val="20"/>
          <w:color w:val="auto"/>
        </w:rPr>
      </w:pPr>
    </w:p>
    <w:p>
      <w:pPr>
        <w:ind w:left="580" w:right="340" w:hanging="566"/>
        <w:spacing w:after="0" w:line="308"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 xml:space="preserve">Disclosure. </w:t>
      </w:r>
      <w:r>
        <w:rPr>
          <w:rFonts w:ascii="Arial" w:cs="Arial" w:eastAsia="Arial" w:hAnsi="Arial"/>
          <w:sz w:val="17"/>
          <w:szCs w:val="17"/>
          <w:color w:val="auto"/>
        </w:rPr>
        <w:t>Each Participant shall receive a copy of this Supplemental Pension Plan, and the Committee will make available for inspection by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Participant a copy of any rules and regulations used by the Committee in administering this Supplemental Pension Plan.</w:t>
      </w:r>
    </w:p>
    <w:p>
      <w:pPr>
        <w:spacing w:after="0" w:line="52" w:lineRule="exact"/>
        <w:rPr>
          <w:sz w:val="20"/>
          <w:szCs w:val="20"/>
          <w:color w:val="auto"/>
        </w:rPr>
      </w:pPr>
    </w:p>
    <w:p>
      <w:pPr>
        <w:jc w:val="right"/>
        <w:ind w:right="300"/>
        <w:spacing w:after="0" w:line="34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State Law.</w:t>
      </w:r>
      <w:r>
        <w:rPr>
          <w:rFonts w:ascii="Arial" w:cs="Arial" w:eastAsia="Arial" w:hAnsi="Arial"/>
          <w:sz w:val="16"/>
          <w:szCs w:val="16"/>
          <w:color w:val="auto"/>
        </w:rPr>
        <w:t xml:space="preserve"> This Supplemental Pension Plan is established under and will be construed according to the laws of the State of New York to the extent that such laws are not preempted by the Employee Retirement Income Security Act of 1974, as amended, and regulations promulgated thereunder.</w:t>
      </w:r>
    </w:p>
    <w:p>
      <w:pPr>
        <w:spacing w:after="0" w:line="29" w:lineRule="exact"/>
        <w:rPr>
          <w:sz w:val="20"/>
          <w:szCs w:val="20"/>
          <w:color w:val="auto"/>
        </w:rPr>
      </w:pPr>
    </w:p>
    <w:p>
      <w:pPr>
        <w:ind w:left="580" w:right="40" w:hanging="566"/>
        <w:spacing w:after="0" w:line="297" w:lineRule="auto"/>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 xml:space="preserve">Incapacity of Recipient. </w:t>
      </w:r>
      <w:r>
        <w:rPr>
          <w:rFonts w:ascii="Arial" w:cs="Arial" w:eastAsia="Arial" w:hAnsi="Arial"/>
          <w:sz w:val="16"/>
          <w:szCs w:val="16"/>
          <w:color w:val="auto"/>
        </w:rPr>
        <w:t>In the event a Participant or Beneficiary is declared incompetent and a guardian, conservator or other person legally charged</w:t>
      </w:r>
      <w:r>
        <w:rPr>
          <w:rFonts w:ascii="Arial" w:cs="Arial" w:eastAsia="Arial" w:hAnsi="Arial"/>
          <w:sz w:val="16"/>
          <w:szCs w:val="16"/>
          <w:u w:val="single" w:color="auto"/>
          <w:color w:val="auto"/>
        </w:rPr>
        <w:t xml:space="preserve"> </w:t>
      </w:r>
      <w:r>
        <w:rPr>
          <w:rFonts w:ascii="Arial" w:cs="Arial" w:eastAsia="Arial" w:hAnsi="Arial"/>
          <w:sz w:val="16"/>
          <w:szCs w:val="16"/>
          <w:color w:val="auto"/>
        </w:rPr>
        <w:t>with the care of his person or of his estate is appointed, any benefits under this Supplemental Pension Plan to which such Participant or Beneficiary is entitled shall be paid to such guardian, conservator or other person legally charged with the care of his person or his estate. Except as provided herein, when the Committee, in its sole discretion, determines that a Participant or Beneficiary is unable to manage his financial affairs, the Committee may direct the Employer responsible for payment to make distributions to any person for the benefit of such Participant or Beneficiary.</w:t>
      </w:r>
    </w:p>
    <w:p>
      <w:pPr>
        <w:spacing w:after="0" w:line="64" w:lineRule="exact"/>
        <w:rPr>
          <w:sz w:val="20"/>
          <w:szCs w:val="20"/>
          <w:color w:val="auto"/>
        </w:rPr>
      </w:pPr>
    </w:p>
    <w:p>
      <w:pPr>
        <w:ind w:left="580" w:right="20" w:hanging="566"/>
        <w:spacing w:after="0" w:line="255"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u w:val="single" w:color="auto"/>
          <w:color w:val="auto"/>
        </w:rPr>
        <w:t xml:space="preserve">Unclaimed Benefit. </w:t>
      </w:r>
      <w:r>
        <w:rPr>
          <w:rFonts w:ascii="Arial" w:cs="Arial" w:eastAsia="Arial" w:hAnsi="Arial"/>
          <w:sz w:val="18"/>
          <w:szCs w:val="18"/>
          <w:color w:val="auto"/>
        </w:rPr>
        <w:t>Each Participant shall keep the Committee informed of his current address. The Committee shall not be obligated to search for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whereabouts of any person. If the location of a Participant is not made known to the Committee within three years after the date on which any payment of the Participant’s benefit hereunder may be made, payment may be made as though the Participant had died at the end of the three-year period. If, within one additional year after such three-year period has elapsed, or, within three years after the actual death of a Participant, whichever occurs first, the Committee is unable to locate any Beneficiary of the Participant, the Participant and his Beneficiary shall forfeit all rights to any Supplemental Pension Benefits.</w:t>
      </w:r>
    </w:p>
    <w:p>
      <w:pPr>
        <w:spacing w:after="0" w:line="99" w:lineRule="exact"/>
        <w:rPr>
          <w:sz w:val="20"/>
          <w:szCs w:val="20"/>
          <w:color w:val="auto"/>
        </w:rPr>
      </w:pPr>
    </w:p>
    <w:p>
      <w:pPr>
        <w:ind w:left="580" w:right="40" w:hanging="566"/>
        <w:spacing w:after="0" w:line="289" w:lineRule="auto"/>
        <w:tabs>
          <w:tab w:leader="none" w:pos="5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 xml:space="preserve">Elections, Applications, Notices. </w:t>
      </w:r>
      <w:r>
        <w:rPr>
          <w:rFonts w:ascii="Arial" w:cs="Arial" w:eastAsia="Arial" w:hAnsi="Arial"/>
          <w:sz w:val="16"/>
          <w:szCs w:val="16"/>
          <w:color w:val="auto"/>
        </w:rPr>
        <w:t>Every direction, revocation or notice authorized or required hereunder shall be deemed delivered to: the Employers</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the Committee as the case may be: (a) on the date it is sent via electronic transmission to the Secretary of the Committee (with a copy to the Company’s General Counsel), provided that receipt of the electronic transmission is acknowledged by personal action of the Secretary of the Committee or the Company’s General Counsel within three business days, (b) on the date it is personally delivered to the Secretary of the Committee (with a copy to the Company’s General Counsel) at the Company’s executive offices at Buffalo, New York or (c) three business days after it is sent by registered or certified mail, postage prepaid, addressed to the Secretary of the Committee (with a copy to the Company’s General Counsel) at the offices indicated above; and shall be deemed delivered to a Participant or Beneficiary: (a) on the date it is sent via electronic transmission to the Participant or Beneficiary, provided that receipt of the electronic transmission is acknowledged by personal action of the Participant or Beneficiary within three business days, (b) on the date it is personally delivered to the Participant or Beneficiary, or (c) three business days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1" w:name="page112"/>
    <w:bookmarkEnd w:id="111"/>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169"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color w:val="auto"/>
        </w:rPr>
        <w:t>after it is sent by registered or certified mail, postage prepaid, addressed to the Participant or Beneficiary at the last address shown for him on the records of the Employers. Any notice required hereunder may be waived by the person entitled thereto. Notwithstanding the foregoing, any notice required by Section 6.2 or 6.3 hereof that is sent via electronic transmission shall be subject to the electronic transmission requirements of Section 6.2 or 6.3 hereof.</w:t>
      </w:r>
    </w:p>
    <w:p>
      <w:pPr>
        <w:spacing w:after="0" w:line="92" w:lineRule="exact"/>
        <w:rPr>
          <w:sz w:val="20"/>
          <w:szCs w:val="20"/>
          <w:color w:val="auto"/>
        </w:rPr>
      </w:pPr>
    </w:p>
    <w:p>
      <w:pPr>
        <w:ind w:left="580" w:right="20" w:hanging="566"/>
        <w:spacing w:after="0" w:line="264" w:lineRule="auto"/>
        <w:tabs>
          <w:tab w:leader="none" w:pos="5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u w:val="single" w:color="auto"/>
          <w:color w:val="auto"/>
        </w:rPr>
        <w:t xml:space="preserve">Severability. </w:t>
      </w:r>
      <w:r>
        <w:rPr>
          <w:rFonts w:ascii="Arial" w:cs="Arial" w:eastAsia="Arial" w:hAnsi="Arial"/>
          <w:sz w:val="18"/>
          <w:szCs w:val="18"/>
          <w:color w:val="auto"/>
        </w:rPr>
        <w:t>In the event any provision of this Supplemental Pension Plan shall be held illegal or invalid for any reason, such illegality or invalidity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not affect the remaining provisions of this Supplemental Pension Plan. This Supplemental Pension Plan shall be construed and administered as if such illegal or invalid provision had never been contained herein.</w:t>
      </w:r>
    </w:p>
    <w:p>
      <w:pPr>
        <w:spacing w:after="0" w:line="87" w:lineRule="exact"/>
        <w:rPr>
          <w:sz w:val="20"/>
          <w:szCs w:val="20"/>
          <w:color w:val="auto"/>
        </w:rPr>
      </w:pPr>
    </w:p>
    <w:p>
      <w:pPr>
        <w:ind w:left="580" w:right="180" w:hanging="566"/>
        <w:spacing w:after="0" w:line="277" w:lineRule="auto"/>
        <w:tabs>
          <w:tab w:leader="none" w:pos="5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 xml:space="preserve">Headings. </w:t>
      </w:r>
      <w:r>
        <w:rPr>
          <w:rFonts w:ascii="Arial" w:cs="Arial" w:eastAsia="Arial" w:hAnsi="Arial"/>
          <w:sz w:val="18"/>
          <w:szCs w:val="18"/>
          <w:color w:val="auto"/>
        </w:rPr>
        <w:t>The headings of Sections of this Supplemental Pension Plan are for convenience of reference only and shall have no substantive effect 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provisions of this Supplemental Pension Plan.</w:t>
      </w:r>
    </w:p>
    <w:p>
      <w:pPr>
        <w:spacing w:after="0" w:line="76" w:lineRule="exact"/>
        <w:rPr>
          <w:sz w:val="20"/>
          <w:szCs w:val="20"/>
          <w:color w:val="auto"/>
        </w:rPr>
      </w:pPr>
    </w:p>
    <w:p>
      <w:pPr>
        <w:ind w:left="580" w:right="80" w:hanging="566"/>
        <w:spacing w:after="0" w:line="257" w:lineRule="auto"/>
        <w:tabs>
          <w:tab w:leader="none" w:pos="5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u w:val="single" w:color="auto"/>
          <w:color w:val="auto"/>
        </w:rPr>
        <w:t xml:space="preserve">Compliance with Section 409A of the Code. </w:t>
      </w:r>
      <w:r>
        <w:rPr>
          <w:rFonts w:ascii="Arial" w:cs="Arial" w:eastAsia="Arial" w:hAnsi="Arial"/>
          <w:sz w:val="18"/>
          <w:szCs w:val="18"/>
          <w:color w:val="auto"/>
        </w:rPr>
        <w:t>The Plan is intended to comply with the requirements of Section 409A of the Code, and the Committee</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administer and interpret the Plan in accordance with such requirements. However, the Employers shall not be liable to any Participant or Beneficiary with respect to any benefit related adverse tax consequences arising under Section 409A or other provision of the Code. If any provision of the Plan conflicts with the requirements of Section 409A of the Code, the requirements of Section 409A of the Code shall supersede any such Plan provision.</w:t>
      </w:r>
    </w:p>
    <w:p>
      <w:pPr>
        <w:spacing w:after="0" w:line="2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22</w:t>
      </w:r>
      <w:r>
        <w:rPr>
          <w:rFonts w:ascii="Arial" w:cs="Arial" w:eastAsia="Arial" w:hAnsi="Arial"/>
          <w:sz w:val="15"/>
          <w:szCs w:val="15"/>
          <w:color w:val="auto"/>
        </w:rPr>
        <w:t>nd</w:t>
      </w:r>
      <w:r>
        <w:rPr>
          <w:rFonts w:ascii="Arial" w:cs="Arial" w:eastAsia="Arial" w:hAnsi="Arial"/>
          <w:sz w:val="18"/>
          <w:szCs w:val="18"/>
          <w:color w:val="auto"/>
        </w:rPr>
        <w:t>, 2008</w:t>
      </w:r>
      <w:r>
        <w:rPr>
          <w:sz w:val="20"/>
          <w:szCs w:val="20"/>
          <w:color w:val="auto"/>
        </w:rPr>
        <w:tab/>
      </w:r>
      <w:r>
        <w:rPr>
          <w:rFonts w:ascii="Arial" w:cs="Arial" w:eastAsia="Arial" w:hAnsi="Arial"/>
          <w:sz w:val="17"/>
          <w:szCs w:val="17"/>
          <w:color w:val="auto"/>
        </w:rPr>
        <w:t>By:  /s/ Ann Marie Odrobina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M&amp;T BANK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PENSION PLAN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(Restated Effective as of January 1, 2005)</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Manufacturers and Traders Trust Company (“Company”) hereby adopts this Amendment No. 1 to the M&amp;T Bank Corporation Supplemental Pension Plan (Restated Effective as of January 1, 2005) (“SPP”).</w:t>
      </w:r>
    </w:p>
    <w:p>
      <w:pPr>
        <w:spacing w:after="0" w:line="3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under Section 7.1, the Company may amend the SPP;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wishes to amend the SPP to allow participants to change their election of the form of distribution of their SPP benefit.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SPP is amended as follows, effective for election changes made after the date this Amendment is signed.</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FIRST AND ONLY CHANGE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new Section 3.3(f) is added to read as follows:</w:t>
      </w:r>
    </w:p>
    <w:p>
      <w:pPr>
        <w:spacing w:after="0" w:line="131" w:lineRule="exact"/>
        <w:rPr>
          <w:sz w:val="20"/>
          <w:szCs w:val="20"/>
          <w:color w:val="auto"/>
        </w:rPr>
      </w:pPr>
    </w:p>
    <w:p>
      <w:pPr>
        <w:ind w:left="900" w:hanging="439"/>
        <w:spacing w:after="0" w:line="277" w:lineRule="auto"/>
        <w:tabs>
          <w:tab w:leader="none" w:pos="880" w:val="left"/>
        </w:tabs>
        <w:rPr>
          <w:sz w:val="20"/>
          <w:szCs w:val="20"/>
          <w:color w:val="auto"/>
        </w:rPr>
      </w:pPr>
      <w:r>
        <w:rPr>
          <w:rFonts w:ascii="Arial" w:cs="Arial" w:eastAsia="Arial" w:hAnsi="Arial"/>
          <w:sz w:val="18"/>
          <w:szCs w:val="18"/>
          <w:color w:val="auto"/>
        </w:rPr>
        <w:t>“(f)</w:t>
        <w:tab/>
        <w:t>Notwithstanding subsection (e), a Participant who elected to have his Supplemental Pension Benefit paid as a lump sum may change that election to have his Benefit paid as any form of Annuity available under subsection (d), subject to the following:</w:t>
      </w:r>
    </w:p>
    <w:p>
      <w:pPr>
        <w:spacing w:after="0" w:line="76" w:lineRule="exact"/>
        <w:rPr>
          <w:sz w:val="20"/>
          <w:szCs w:val="20"/>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election change must be made at least one year before the lump sum is scheduled to be paid.</w:t>
      </w:r>
    </w:p>
    <w:p>
      <w:pPr>
        <w:spacing w:after="0" w:line="130"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election change is void and does not take effect if the Participant has a Separation from Service within one year after the election change is made.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Annuity payments will begin five years after the lump sum was scheduled to be paid.</w:t>
      </w:r>
    </w:p>
    <w:p>
      <w:pPr>
        <w:spacing w:after="0" w:line="130" w:lineRule="exact"/>
        <w:rPr>
          <w:rFonts w:ascii="Arial" w:cs="Arial" w:eastAsia="Arial" w:hAnsi="Arial"/>
          <w:sz w:val="18"/>
          <w:szCs w:val="18"/>
          <w:color w:val="auto"/>
        </w:rPr>
      </w:pPr>
    </w:p>
    <w:p>
      <w:pPr>
        <w:ind w:left="1480" w:right="40" w:hanging="567"/>
        <w:spacing w:after="0" w:line="264"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Election changes may be revoked, and the lump sum election reinstated, at any time within one year after the election change is made. After that one year period has elapsed, the lump sum election cannot be reinstated and the Annuity election becomes irrevocable (subject to the ability to elect a different Actuarially Equivalent annuity under subsection (e)).”</w:t>
      </w:r>
    </w:p>
    <w:p>
      <w:pPr>
        <w:sectPr>
          <w:pgSz w:w="11900" w:h="16838" w:orient="portrait"/>
          <w:cols w:equalWidth="0" w:num="1">
            <w:col w:w="11380"/>
          </w:cols>
          <w:pgMar w:left="240" w:top="270" w:right="27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Manufacturers and Traders Trust Company has caused this Amendment No. 1 to be executed by its duly authorized officer.</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MANUFACTURERS AND TRADERS TRUST</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Ann Marie Odrobina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Ann Marie Odrobina,</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Group Vice President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April 19, 2016</w:t>
      </w:r>
    </w:p>
    <w:p>
      <w:pPr>
        <w:sectPr>
          <w:pgSz w:w="11900" w:h="16838" w:orient="portrait"/>
          <w:cols w:equalWidth="0" w:num="1">
            <w:col w:w="10880"/>
          </w:cols>
          <w:pgMar w:left="700" w:top="274"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10.2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SUPPLEMENTAL RETIREMENT SAVINGS PLAN</w:t>
      </w:r>
    </w:p>
    <w:p>
      <w:pPr>
        <w:spacing w:after="0" w:line="23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(January 1, 2013 Restatement)</w:t>
      </w:r>
    </w:p>
    <w:p>
      <w:pPr>
        <w:sectPr>
          <w:pgSz w:w="11900" w:h="16838" w:orient="portrait"/>
          <w:cols w:equalWidth="0" w:num="1">
            <w:col w:w="10220"/>
          </w:cols>
          <w:pgMar w:left="1440" w:top="125"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EXHIBIT 10.2</w:t>
            </w:r>
          </w:p>
        </w:tc>
      </w:tr>
      <w:tr>
        <w:trPr>
          <w:trHeight w:val="365"/>
        </w:trPr>
        <w:tc>
          <w:tcPr>
            <w:tcW w:w="800" w:type="dxa"/>
            <w:vAlign w:val="bottom"/>
          </w:tcPr>
          <w:p>
            <w:pPr>
              <w:spacing w:after="0"/>
              <w:rPr>
                <w:sz w:val="24"/>
                <w:szCs w:val="24"/>
                <w:color w:val="auto"/>
              </w:rPr>
            </w:pPr>
          </w:p>
        </w:tc>
        <w:tc>
          <w:tcPr>
            <w:tcW w:w="7540" w:type="dxa"/>
            <w:vAlign w:val="bottom"/>
          </w:tcPr>
          <w:p>
            <w:pPr>
              <w:ind w:left="4280"/>
              <w:spacing w:after="0"/>
              <w:rPr>
                <w:sz w:val="20"/>
                <w:szCs w:val="20"/>
                <w:color w:val="auto"/>
              </w:rPr>
            </w:pPr>
            <w:r>
              <w:rPr>
                <w:rFonts w:ascii="Arial" w:cs="Arial" w:eastAsia="Arial" w:hAnsi="Arial"/>
                <w:sz w:val="18"/>
                <w:szCs w:val="18"/>
                <w:color w:val="auto"/>
              </w:rPr>
              <w:t>Table of Contents</w:t>
            </w:r>
          </w:p>
        </w:tc>
        <w:tc>
          <w:tcPr>
            <w:tcW w:w="3080" w:type="dxa"/>
            <w:vAlign w:val="bottom"/>
          </w:tcPr>
          <w:p>
            <w:pPr>
              <w:spacing w:after="0"/>
              <w:rPr>
                <w:sz w:val="24"/>
                <w:szCs w:val="24"/>
                <w:color w:val="auto"/>
              </w:rPr>
            </w:pPr>
          </w:p>
        </w:tc>
      </w:tr>
      <w:tr>
        <w:trPr>
          <w:trHeight w:val="407"/>
        </w:trPr>
        <w:tc>
          <w:tcPr>
            <w:tcW w:w="8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308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309"/>
        </w:trPr>
        <w:tc>
          <w:tcPr>
            <w:tcW w:w="8340" w:type="dxa"/>
            <w:vAlign w:val="bottom"/>
            <w:gridSpan w:val="2"/>
          </w:tcPr>
          <w:p>
            <w:pPr>
              <w:spacing w:after="0"/>
              <w:rPr>
                <w:sz w:val="20"/>
                <w:szCs w:val="20"/>
                <w:color w:val="auto"/>
              </w:rPr>
            </w:pPr>
            <w:r>
              <w:rPr>
                <w:rFonts w:ascii="Arial" w:cs="Arial" w:eastAsia="Arial" w:hAnsi="Arial"/>
                <w:sz w:val="18"/>
                <w:szCs w:val="18"/>
                <w:color w:val="auto"/>
              </w:rPr>
              <w:t>ARTICLE I HISTORY AND PURPOSE</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II DEFINITIONS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III ELIGIBILITY AND PARTICIPATION</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3.1</w:t>
            </w:r>
          </w:p>
        </w:tc>
        <w:tc>
          <w:tcPr>
            <w:tcW w:w="7540" w:type="dxa"/>
            <w:vAlign w:val="bottom"/>
          </w:tcPr>
          <w:p>
            <w:pPr>
              <w:ind w:left="180"/>
              <w:spacing w:after="0"/>
              <w:rPr>
                <w:sz w:val="20"/>
                <w:szCs w:val="20"/>
                <w:color w:val="auto"/>
              </w:rPr>
            </w:pPr>
            <w:r>
              <w:rPr>
                <w:rFonts w:ascii="Arial" w:cs="Arial" w:eastAsia="Arial" w:hAnsi="Arial"/>
                <w:sz w:val="18"/>
                <w:szCs w:val="18"/>
                <w:color w:val="auto"/>
              </w:rPr>
              <w:t>Eligibility to Participate</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3.2</w:t>
            </w:r>
          </w:p>
        </w:tc>
        <w:tc>
          <w:tcPr>
            <w:tcW w:w="7540" w:type="dxa"/>
            <w:vAlign w:val="bottom"/>
          </w:tcPr>
          <w:p>
            <w:pPr>
              <w:ind w:left="180"/>
              <w:spacing w:after="0"/>
              <w:rPr>
                <w:sz w:val="20"/>
                <w:szCs w:val="20"/>
                <w:color w:val="auto"/>
              </w:rPr>
            </w:pPr>
            <w:r>
              <w:rPr>
                <w:rFonts w:ascii="Arial" w:cs="Arial" w:eastAsia="Arial" w:hAnsi="Arial"/>
                <w:sz w:val="18"/>
                <w:szCs w:val="18"/>
                <w:color w:val="auto"/>
              </w:rPr>
              <w:t>Deferral Elections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800" w:type="dxa"/>
            <w:vAlign w:val="bottom"/>
          </w:tcPr>
          <w:p>
            <w:pPr>
              <w:ind w:left="320"/>
              <w:spacing w:after="0"/>
              <w:rPr>
                <w:sz w:val="20"/>
                <w:szCs w:val="20"/>
                <w:color w:val="auto"/>
              </w:rPr>
            </w:pPr>
            <w:r>
              <w:rPr>
                <w:rFonts w:ascii="Arial" w:cs="Arial" w:eastAsia="Arial" w:hAnsi="Arial"/>
                <w:sz w:val="18"/>
                <w:szCs w:val="18"/>
                <w:color w:val="auto"/>
              </w:rPr>
              <w:t>3.3</w:t>
            </w:r>
          </w:p>
        </w:tc>
        <w:tc>
          <w:tcPr>
            <w:tcW w:w="7540" w:type="dxa"/>
            <w:vAlign w:val="bottom"/>
          </w:tcPr>
          <w:p>
            <w:pPr>
              <w:ind w:left="180"/>
              <w:spacing w:after="0"/>
              <w:rPr>
                <w:sz w:val="20"/>
                <w:szCs w:val="20"/>
                <w:color w:val="auto"/>
              </w:rPr>
            </w:pPr>
            <w:r>
              <w:rPr>
                <w:rFonts w:ascii="Arial" w:cs="Arial" w:eastAsia="Arial" w:hAnsi="Arial"/>
                <w:sz w:val="18"/>
                <w:szCs w:val="18"/>
                <w:color w:val="auto"/>
              </w:rPr>
              <w:t>Payment Elections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IV CALCULATION OF CREDITS TO PLAN ACCOUNTS; VESTING</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4.1</w:t>
            </w:r>
          </w:p>
        </w:tc>
        <w:tc>
          <w:tcPr>
            <w:tcW w:w="7540" w:type="dxa"/>
            <w:vAlign w:val="bottom"/>
          </w:tcPr>
          <w:p>
            <w:pPr>
              <w:ind w:left="180"/>
              <w:spacing w:after="0"/>
              <w:rPr>
                <w:sz w:val="20"/>
                <w:szCs w:val="20"/>
                <w:color w:val="auto"/>
              </w:rPr>
            </w:pPr>
            <w:r>
              <w:rPr>
                <w:rFonts w:ascii="Arial" w:cs="Arial" w:eastAsia="Arial" w:hAnsi="Arial"/>
                <w:sz w:val="18"/>
                <w:szCs w:val="18"/>
                <w:color w:val="auto"/>
              </w:rPr>
              <w:t>Matching Contributions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4.2</w:t>
            </w:r>
          </w:p>
        </w:tc>
        <w:tc>
          <w:tcPr>
            <w:tcW w:w="7540" w:type="dxa"/>
            <w:vAlign w:val="bottom"/>
          </w:tcPr>
          <w:p>
            <w:pPr>
              <w:ind w:left="180"/>
              <w:spacing w:after="0"/>
              <w:rPr>
                <w:sz w:val="20"/>
                <w:szCs w:val="20"/>
                <w:color w:val="auto"/>
              </w:rPr>
            </w:pPr>
            <w:r>
              <w:rPr>
                <w:rFonts w:ascii="Arial" w:cs="Arial" w:eastAsia="Arial" w:hAnsi="Arial"/>
                <w:sz w:val="18"/>
                <w:szCs w:val="18"/>
                <w:color w:val="auto"/>
              </w:rPr>
              <w:t>Retirement Accumulation Contributions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4.3</w:t>
            </w:r>
          </w:p>
        </w:tc>
        <w:tc>
          <w:tcPr>
            <w:tcW w:w="7540" w:type="dxa"/>
            <w:vAlign w:val="bottom"/>
          </w:tcPr>
          <w:p>
            <w:pPr>
              <w:ind w:left="180"/>
              <w:spacing w:after="0"/>
              <w:rPr>
                <w:sz w:val="20"/>
                <w:szCs w:val="20"/>
                <w:color w:val="auto"/>
              </w:rPr>
            </w:pPr>
            <w:r>
              <w:rPr>
                <w:rFonts w:ascii="Arial" w:cs="Arial" w:eastAsia="Arial" w:hAnsi="Arial"/>
                <w:sz w:val="18"/>
                <w:szCs w:val="18"/>
                <w:color w:val="auto"/>
              </w:rPr>
              <w:t>Elective Deferrals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4.4</w:t>
            </w:r>
          </w:p>
        </w:tc>
        <w:tc>
          <w:tcPr>
            <w:tcW w:w="7540" w:type="dxa"/>
            <w:vAlign w:val="bottom"/>
          </w:tcPr>
          <w:p>
            <w:pPr>
              <w:ind w:left="180"/>
              <w:spacing w:after="0"/>
              <w:rPr>
                <w:sz w:val="20"/>
                <w:szCs w:val="20"/>
                <w:color w:val="auto"/>
              </w:rPr>
            </w:pPr>
            <w:r>
              <w:rPr>
                <w:rFonts w:ascii="Arial" w:cs="Arial" w:eastAsia="Arial" w:hAnsi="Arial"/>
                <w:sz w:val="18"/>
                <w:szCs w:val="18"/>
                <w:color w:val="auto"/>
              </w:rPr>
              <w:t>No Duplication of Benefits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30"/>
        </w:trPr>
        <w:tc>
          <w:tcPr>
            <w:tcW w:w="800" w:type="dxa"/>
            <w:vAlign w:val="bottom"/>
          </w:tcPr>
          <w:p>
            <w:pPr>
              <w:ind w:left="320"/>
              <w:spacing w:after="0"/>
              <w:rPr>
                <w:sz w:val="20"/>
                <w:szCs w:val="20"/>
                <w:color w:val="auto"/>
              </w:rPr>
            </w:pPr>
            <w:r>
              <w:rPr>
                <w:rFonts w:ascii="Arial" w:cs="Arial" w:eastAsia="Arial" w:hAnsi="Arial"/>
                <w:sz w:val="18"/>
                <w:szCs w:val="18"/>
                <w:color w:val="auto"/>
              </w:rPr>
              <w:t>4.5</w:t>
            </w:r>
          </w:p>
        </w:tc>
        <w:tc>
          <w:tcPr>
            <w:tcW w:w="7540" w:type="dxa"/>
            <w:vAlign w:val="bottom"/>
          </w:tcPr>
          <w:p>
            <w:pPr>
              <w:ind w:left="180"/>
              <w:spacing w:after="0"/>
              <w:rPr>
                <w:sz w:val="20"/>
                <w:szCs w:val="20"/>
                <w:color w:val="auto"/>
              </w:rPr>
            </w:pPr>
            <w:r>
              <w:rPr>
                <w:rFonts w:ascii="Arial" w:cs="Arial" w:eastAsia="Arial" w:hAnsi="Arial"/>
                <w:sz w:val="18"/>
                <w:szCs w:val="18"/>
                <w:color w:val="auto"/>
              </w:rPr>
              <w:t>Vesting</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V INDIVIDUAL ACCOUNTS, INVESTMENTS AND VALUATIONS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5.1</w:t>
            </w:r>
          </w:p>
        </w:tc>
        <w:tc>
          <w:tcPr>
            <w:tcW w:w="7540" w:type="dxa"/>
            <w:vAlign w:val="bottom"/>
          </w:tcPr>
          <w:p>
            <w:pPr>
              <w:ind w:left="180"/>
              <w:spacing w:after="0"/>
              <w:rPr>
                <w:sz w:val="20"/>
                <w:szCs w:val="20"/>
                <w:color w:val="auto"/>
              </w:rPr>
            </w:pPr>
            <w:r>
              <w:rPr>
                <w:rFonts w:ascii="Arial" w:cs="Arial" w:eastAsia="Arial" w:hAnsi="Arial"/>
                <w:sz w:val="18"/>
                <w:szCs w:val="18"/>
                <w:color w:val="auto"/>
              </w:rPr>
              <w:t>Accounts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5.2</w:t>
            </w:r>
          </w:p>
        </w:tc>
        <w:tc>
          <w:tcPr>
            <w:tcW w:w="7540" w:type="dxa"/>
            <w:vAlign w:val="bottom"/>
          </w:tcPr>
          <w:p>
            <w:pPr>
              <w:ind w:left="180"/>
              <w:spacing w:after="0"/>
              <w:rPr>
                <w:sz w:val="20"/>
                <w:szCs w:val="20"/>
                <w:color w:val="auto"/>
              </w:rPr>
            </w:pPr>
            <w:r>
              <w:rPr>
                <w:rFonts w:ascii="Arial" w:cs="Arial" w:eastAsia="Arial" w:hAnsi="Arial"/>
                <w:sz w:val="18"/>
                <w:szCs w:val="18"/>
                <w:color w:val="auto"/>
              </w:rPr>
              <w:t>Investment Elections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5.3</w:t>
            </w:r>
          </w:p>
        </w:tc>
        <w:tc>
          <w:tcPr>
            <w:tcW w:w="7540" w:type="dxa"/>
            <w:vAlign w:val="bottom"/>
          </w:tcPr>
          <w:p>
            <w:pPr>
              <w:ind w:left="180"/>
              <w:spacing w:after="0"/>
              <w:rPr>
                <w:sz w:val="20"/>
                <w:szCs w:val="20"/>
                <w:color w:val="auto"/>
              </w:rPr>
            </w:pPr>
            <w:r>
              <w:rPr>
                <w:rFonts w:ascii="Arial" w:cs="Arial" w:eastAsia="Arial" w:hAnsi="Arial"/>
                <w:sz w:val="18"/>
                <w:szCs w:val="18"/>
                <w:color w:val="auto"/>
              </w:rPr>
              <w:t>Reallocation of Investments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30"/>
        </w:trPr>
        <w:tc>
          <w:tcPr>
            <w:tcW w:w="800" w:type="dxa"/>
            <w:vAlign w:val="bottom"/>
          </w:tcPr>
          <w:p>
            <w:pPr>
              <w:ind w:left="320"/>
              <w:spacing w:after="0"/>
              <w:rPr>
                <w:sz w:val="20"/>
                <w:szCs w:val="20"/>
                <w:color w:val="auto"/>
              </w:rPr>
            </w:pPr>
            <w:r>
              <w:rPr>
                <w:rFonts w:ascii="Arial" w:cs="Arial" w:eastAsia="Arial" w:hAnsi="Arial"/>
                <w:sz w:val="18"/>
                <w:szCs w:val="18"/>
                <w:color w:val="auto"/>
              </w:rPr>
              <w:t>5.4</w:t>
            </w:r>
          </w:p>
        </w:tc>
        <w:tc>
          <w:tcPr>
            <w:tcW w:w="7540" w:type="dxa"/>
            <w:vAlign w:val="bottom"/>
          </w:tcPr>
          <w:p>
            <w:pPr>
              <w:ind w:left="180"/>
              <w:spacing w:after="0"/>
              <w:rPr>
                <w:sz w:val="20"/>
                <w:szCs w:val="20"/>
                <w:color w:val="auto"/>
              </w:rPr>
            </w:pPr>
            <w:r>
              <w:rPr>
                <w:rFonts w:ascii="Arial" w:cs="Arial" w:eastAsia="Arial" w:hAnsi="Arial"/>
                <w:sz w:val="18"/>
                <w:szCs w:val="18"/>
                <w:color w:val="auto"/>
              </w:rPr>
              <w:t>Investment Returns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 PAYMENT OF BENEFITS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6.1</w:t>
            </w:r>
          </w:p>
        </w:tc>
        <w:tc>
          <w:tcPr>
            <w:tcW w:w="7540" w:type="dxa"/>
            <w:vAlign w:val="bottom"/>
          </w:tcPr>
          <w:p>
            <w:pPr>
              <w:ind w:left="180"/>
              <w:spacing w:after="0"/>
              <w:rPr>
                <w:sz w:val="20"/>
                <w:szCs w:val="20"/>
                <w:color w:val="auto"/>
              </w:rPr>
            </w:pPr>
            <w:r>
              <w:rPr>
                <w:rFonts w:ascii="Arial" w:cs="Arial" w:eastAsia="Arial" w:hAnsi="Arial"/>
                <w:sz w:val="18"/>
                <w:szCs w:val="18"/>
                <w:color w:val="auto"/>
              </w:rPr>
              <w:t>Commencement of Benefits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6.2</w:t>
            </w:r>
          </w:p>
        </w:tc>
        <w:tc>
          <w:tcPr>
            <w:tcW w:w="7540" w:type="dxa"/>
            <w:vAlign w:val="bottom"/>
          </w:tcPr>
          <w:p>
            <w:pPr>
              <w:ind w:left="180"/>
              <w:spacing w:after="0"/>
              <w:rPr>
                <w:sz w:val="20"/>
                <w:szCs w:val="20"/>
                <w:color w:val="auto"/>
              </w:rPr>
            </w:pPr>
            <w:r>
              <w:rPr>
                <w:rFonts w:ascii="Arial" w:cs="Arial" w:eastAsia="Arial" w:hAnsi="Arial"/>
                <w:sz w:val="18"/>
                <w:szCs w:val="18"/>
                <w:color w:val="auto"/>
              </w:rPr>
              <w:t>Mandatory Delay of Certain Benefit Payments to Specified Employees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6.3</w:t>
            </w:r>
          </w:p>
        </w:tc>
        <w:tc>
          <w:tcPr>
            <w:tcW w:w="7540" w:type="dxa"/>
            <w:vAlign w:val="bottom"/>
          </w:tcPr>
          <w:p>
            <w:pPr>
              <w:ind w:left="180"/>
              <w:spacing w:after="0"/>
              <w:rPr>
                <w:sz w:val="20"/>
                <w:szCs w:val="20"/>
                <w:color w:val="auto"/>
              </w:rPr>
            </w:pPr>
            <w:r>
              <w:rPr>
                <w:rFonts w:ascii="Arial" w:cs="Arial" w:eastAsia="Arial" w:hAnsi="Arial"/>
                <w:sz w:val="18"/>
                <w:szCs w:val="18"/>
                <w:color w:val="auto"/>
              </w:rPr>
              <w:t>Accelerated Payments Due to Financial Hardship</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6.4</w:t>
            </w:r>
          </w:p>
        </w:tc>
        <w:tc>
          <w:tcPr>
            <w:tcW w:w="7540" w:type="dxa"/>
            <w:vAlign w:val="bottom"/>
          </w:tcPr>
          <w:p>
            <w:pPr>
              <w:ind w:left="180"/>
              <w:spacing w:after="0"/>
              <w:rPr>
                <w:sz w:val="20"/>
                <w:szCs w:val="20"/>
                <w:color w:val="auto"/>
              </w:rPr>
            </w:pPr>
            <w:r>
              <w:rPr>
                <w:rFonts w:ascii="Arial" w:cs="Arial" w:eastAsia="Arial" w:hAnsi="Arial"/>
                <w:sz w:val="18"/>
                <w:szCs w:val="18"/>
                <w:color w:val="auto"/>
              </w:rPr>
              <w:t>Mandatory Cashouts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6.5</w:t>
            </w:r>
          </w:p>
        </w:tc>
        <w:tc>
          <w:tcPr>
            <w:tcW w:w="7540" w:type="dxa"/>
            <w:vAlign w:val="bottom"/>
          </w:tcPr>
          <w:p>
            <w:pPr>
              <w:ind w:left="180"/>
              <w:spacing w:after="0"/>
              <w:rPr>
                <w:sz w:val="20"/>
                <w:szCs w:val="20"/>
                <w:color w:val="auto"/>
              </w:rPr>
            </w:pPr>
            <w:r>
              <w:rPr>
                <w:rFonts w:ascii="Arial" w:cs="Arial" w:eastAsia="Arial" w:hAnsi="Arial"/>
                <w:sz w:val="18"/>
                <w:szCs w:val="18"/>
                <w:color w:val="auto"/>
              </w:rPr>
              <w:t>Discretionary Delay in Benefit Payments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6.6</w:t>
            </w:r>
          </w:p>
        </w:tc>
        <w:tc>
          <w:tcPr>
            <w:tcW w:w="7540" w:type="dxa"/>
            <w:vAlign w:val="bottom"/>
          </w:tcPr>
          <w:p>
            <w:pPr>
              <w:ind w:left="180"/>
              <w:spacing w:after="0"/>
              <w:rPr>
                <w:sz w:val="20"/>
                <w:szCs w:val="20"/>
                <w:color w:val="auto"/>
              </w:rPr>
            </w:pPr>
            <w:r>
              <w:rPr>
                <w:rFonts w:ascii="Arial" w:cs="Arial" w:eastAsia="Arial" w:hAnsi="Arial"/>
                <w:sz w:val="18"/>
                <w:szCs w:val="18"/>
                <w:color w:val="auto"/>
              </w:rPr>
              <w:t>Payment on Death or Disability</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30"/>
        </w:trPr>
        <w:tc>
          <w:tcPr>
            <w:tcW w:w="800" w:type="dxa"/>
            <w:vAlign w:val="bottom"/>
          </w:tcPr>
          <w:p>
            <w:pPr>
              <w:ind w:left="320"/>
              <w:spacing w:after="0"/>
              <w:rPr>
                <w:sz w:val="20"/>
                <w:szCs w:val="20"/>
                <w:color w:val="auto"/>
              </w:rPr>
            </w:pPr>
            <w:r>
              <w:rPr>
                <w:rFonts w:ascii="Arial" w:cs="Arial" w:eastAsia="Arial" w:hAnsi="Arial"/>
                <w:sz w:val="18"/>
                <w:szCs w:val="18"/>
                <w:color w:val="auto"/>
              </w:rPr>
              <w:t>6.7</w:t>
            </w:r>
          </w:p>
        </w:tc>
        <w:tc>
          <w:tcPr>
            <w:tcW w:w="7540" w:type="dxa"/>
            <w:vAlign w:val="bottom"/>
          </w:tcPr>
          <w:p>
            <w:pPr>
              <w:ind w:left="180"/>
              <w:spacing w:after="0"/>
              <w:rPr>
                <w:sz w:val="20"/>
                <w:szCs w:val="20"/>
                <w:color w:val="auto"/>
              </w:rPr>
            </w:pPr>
            <w:r>
              <w:rPr>
                <w:rFonts w:ascii="Arial" w:cs="Arial" w:eastAsia="Arial" w:hAnsi="Arial"/>
                <w:sz w:val="18"/>
                <w:szCs w:val="18"/>
                <w:color w:val="auto"/>
              </w:rPr>
              <w:t>Payment by Employer</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 ADMINISTRATION</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7.1</w:t>
            </w:r>
          </w:p>
        </w:tc>
        <w:tc>
          <w:tcPr>
            <w:tcW w:w="7540" w:type="dxa"/>
            <w:vAlign w:val="bottom"/>
          </w:tcPr>
          <w:p>
            <w:pPr>
              <w:ind w:left="180"/>
              <w:spacing w:after="0"/>
              <w:rPr>
                <w:sz w:val="20"/>
                <w:szCs w:val="20"/>
                <w:color w:val="auto"/>
              </w:rPr>
            </w:pPr>
            <w:r>
              <w:rPr>
                <w:rFonts w:ascii="Arial" w:cs="Arial" w:eastAsia="Arial" w:hAnsi="Arial"/>
                <w:sz w:val="18"/>
                <w:szCs w:val="18"/>
                <w:color w:val="auto"/>
              </w:rPr>
              <w:t>Administration</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30"/>
        </w:trPr>
        <w:tc>
          <w:tcPr>
            <w:tcW w:w="800" w:type="dxa"/>
            <w:vAlign w:val="bottom"/>
          </w:tcPr>
          <w:p>
            <w:pPr>
              <w:ind w:left="320"/>
              <w:spacing w:after="0"/>
              <w:rPr>
                <w:sz w:val="20"/>
                <w:szCs w:val="20"/>
                <w:color w:val="auto"/>
              </w:rPr>
            </w:pPr>
            <w:r>
              <w:rPr>
                <w:rFonts w:ascii="Arial" w:cs="Arial" w:eastAsia="Arial" w:hAnsi="Arial"/>
                <w:sz w:val="18"/>
                <w:szCs w:val="18"/>
                <w:color w:val="auto"/>
              </w:rPr>
              <w:t>7.2</w:t>
            </w:r>
          </w:p>
        </w:tc>
        <w:tc>
          <w:tcPr>
            <w:tcW w:w="7540" w:type="dxa"/>
            <w:vAlign w:val="bottom"/>
          </w:tcPr>
          <w:p>
            <w:pPr>
              <w:ind w:left="180"/>
              <w:spacing w:after="0"/>
              <w:rPr>
                <w:sz w:val="20"/>
                <w:szCs w:val="20"/>
                <w:color w:val="auto"/>
              </w:rPr>
            </w:pPr>
            <w:r>
              <w:rPr>
                <w:rFonts w:ascii="Arial" w:cs="Arial" w:eastAsia="Arial" w:hAnsi="Arial"/>
                <w:sz w:val="18"/>
                <w:szCs w:val="18"/>
                <w:color w:val="auto"/>
              </w:rPr>
              <w:t>Claims and Appeals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VIII AMENDMENT AND TERMINATION</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8.1</w:t>
            </w:r>
          </w:p>
        </w:tc>
        <w:tc>
          <w:tcPr>
            <w:tcW w:w="7540" w:type="dxa"/>
            <w:vAlign w:val="bottom"/>
          </w:tcPr>
          <w:p>
            <w:pPr>
              <w:ind w:left="180"/>
              <w:spacing w:after="0"/>
              <w:rPr>
                <w:sz w:val="20"/>
                <w:szCs w:val="20"/>
                <w:color w:val="auto"/>
              </w:rPr>
            </w:pPr>
            <w:r>
              <w:rPr>
                <w:rFonts w:ascii="Arial" w:cs="Arial" w:eastAsia="Arial" w:hAnsi="Arial"/>
                <w:sz w:val="18"/>
                <w:szCs w:val="18"/>
                <w:color w:val="auto"/>
              </w:rPr>
              <w:t>Amendment and Termination of Plan</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800" w:type="dxa"/>
            <w:vAlign w:val="bottom"/>
          </w:tcPr>
          <w:p>
            <w:pPr>
              <w:ind w:left="320"/>
              <w:spacing w:after="0"/>
              <w:rPr>
                <w:sz w:val="20"/>
                <w:szCs w:val="20"/>
                <w:color w:val="auto"/>
              </w:rPr>
            </w:pPr>
            <w:r>
              <w:rPr>
                <w:rFonts w:ascii="Arial" w:cs="Arial" w:eastAsia="Arial" w:hAnsi="Arial"/>
                <w:sz w:val="18"/>
                <w:szCs w:val="18"/>
                <w:color w:val="auto"/>
              </w:rPr>
              <w:t>8.2</w:t>
            </w:r>
          </w:p>
        </w:tc>
        <w:tc>
          <w:tcPr>
            <w:tcW w:w="7540" w:type="dxa"/>
            <w:vAlign w:val="bottom"/>
          </w:tcPr>
          <w:p>
            <w:pPr>
              <w:ind w:left="180"/>
              <w:spacing w:after="0"/>
              <w:rPr>
                <w:sz w:val="20"/>
                <w:szCs w:val="20"/>
                <w:color w:val="auto"/>
              </w:rPr>
            </w:pPr>
            <w:r>
              <w:rPr>
                <w:rFonts w:ascii="Arial" w:cs="Arial" w:eastAsia="Arial" w:hAnsi="Arial"/>
                <w:sz w:val="18"/>
                <w:szCs w:val="18"/>
                <w:color w:val="auto"/>
              </w:rPr>
              <w:t>Benefit Payments Upon Termination of Plan</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9.1</w:t>
            </w:r>
          </w:p>
        </w:tc>
        <w:tc>
          <w:tcPr>
            <w:tcW w:w="7540" w:type="dxa"/>
            <w:vAlign w:val="bottom"/>
          </w:tcPr>
          <w:p>
            <w:pPr>
              <w:ind w:left="180"/>
              <w:spacing w:after="0"/>
              <w:rPr>
                <w:sz w:val="20"/>
                <w:szCs w:val="20"/>
                <w:color w:val="auto"/>
              </w:rPr>
            </w:pPr>
            <w:r>
              <w:rPr>
                <w:rFonts w:ascii="Arial" w:cs="Arial" w:eastAsia="Arial" w:hAnsi="Arial"/>
                <w:sz w:val="18"/>
                <w:szCs w:val="18"/>
                <w:color w:val="auto"/>
              </w:rPr>
              <w:t>No Effect on Employment Rights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9.2</w:t>
            </w:r>
          </w:p>
        </w:tc>
        <w:tc>
          <w:tcPr>
            <w:tcW w:w="7540" w:type="dxa"/>
            <w:vAlign w:val="bottom"/>
          </w:tcPr>
          <w:p>
            <w:pPr>
              <w:ind w:left="180"/>
              <w:spacing w:after="0"/>
              <w:rPr>
                <w:sz w:val="20"/>
                <w:szCs w:val="20"/>
                <w:color w:val="auto"/>
              </w:rPr>
            </w:pPr>
            <w:r>
              <w:rPr>
                <w:rFonts w:ascii="Arial" w:cs="Arial" w:eastAsia="Arial" w:hAnsi="Arial"/>
                <w:sz w:val="18"/>
                <w:szCs w:val="18"/>
                <w:color w:val="auto"/>
              </w:rPr>
              <w:t>Plan Unfunded</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9.3</w:t>
            </w:r>
          </w:p>
        </w:tc>
        <w:tc>
          <w:tcPr>
            <w:tcW w:w="7540" w:type="dxa"/>
            <w:vAlign w:val="bottom"/>
          </w:tcPr>
          <w:p>
            <w:pPr>
              <w:ind w:left="180"/>
              <w:spacing w:after="0"/>
              <w:rPr>
                <w:sz w:val="20"/>
                <w:szCs w:val="20"/>
                <w:color w:val="auto"/>
              </w:rPr>
            </w:pPr>
            <w:r>
              <w:rPr>
                <w:rFonts w:ascii="Arial" w:cs="Arial" w:eastAsia="Arial" w:hAnsi="Arial"/>
                <w:sz w:val="18"/>
                <w:szCs w:val="18"/>
                <w:color w:val="auto"/>
              </w:rPr>
              <w:t>Binding on Employers, Employees and Their Successors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9.4</w:t>
            </w:r>
          </w:p>
        </w:tc>
        <w:tc>
          <w:tcPr>
            <w:tcW w:w="7540" w:type="dxa"/>
            <w:vAlign w:val="bottom"/>
          </w:tcPr>
          <w:p>
            <w:pPr>
              <w:ind w:left="180"/>
              <w:spacing w:after="0"/>
              <w:rPr>
                <w:sz w:val="20"/>
                <w:szCs w:val="20"/>
                <w:color w:val="auto"/>
              </w:rPr>
            </w:pPr>
            <w:r>
              <w:rPr>
                <w:rFonts w:ascii="Arial" w:cs="Arial" w:eastAsia="Arial" w:hAnsi="Arial"/>
                <w:sz w:val="18"/>
                <w:szCs w:val="18"/>
                <w:color w:val="auto"/>
              </w:rPr>
              <w:t>Spendthrift Provisions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9.5</w:t>
            </w:r>
          </w:p>
        </w:tc>
        <w:tc>
          <w:tcPr>
            <w:tcW w:w="7540" w:type="dxa"/>
            <w:vAlign w:val="bottom"/>
          </w:tcPr>
          <w:p>
            <w:pPr>
              <w:ind w:left="180"/>
              <w:spacing w:after="0"/>
              <w:rPr>
                <w:sz w:val="20"/>
                <w:szCs w:val="20"/>
                <w:color w:val="auto"/>
              </w:rPr>
            </w:pPr>
            <w:r>
              <w:rPr>
                <w:rFonts w:ascii="Arial" w:cs="Arial" w:eastAsia="Arial" w:hAnsi="Arial"/>
                <w:sz w:val="18"/>
                <w:szCs w:val="18"/>
                <w:color w:val="auto"/>
              </w:rPr>
              <w:t>Disclosure</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9.6</w:t>
            </w:r>
          </w:p>
        </w:tc>
        <w:tc>
          <w:tcPr>
            <w:tcW w:w="7540" w:type="dxa"/>
            <w:vAlign w:val="bottom"/>
          </w:tcPr>
          <w:p>
            <w:pPr>
              <w:ind w:left="180"/>
              <w:spacing w:after="0"/>
              <w:rPr>
                <w:sz w:val="20"/>
                <w:szCs w:val="20"/>
                <w:color w:val="auto"/>
              </w:rPr>
            </w:pPr>
            <w:r>
              <w:rPr>
                <w:rFonts w:ascii="Arial" w:cs="Arial" w:eastAsia="Arial" w:hAnsi="Arial"/>
                <w:sz w:val="18"/>
                <w:szCs w:val="18"/>
                <w:color w:val="auto"/>
              </w:rPr>
              <w:t>State Law</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9.7</w:t>
            </w:r>
          </w:p>
        </w:tc>
        <w:tc>
          <w:tcPr>
            <w:tcW w:w="7540" w:type="dxa"/>
            <w:vAlign w:val="bottom"/>
          </w:tcPr>
          <w:p>
            <w:pPr>
              <w:ind w:left="180"/>
              <w:spacing w:after="0"/>
              <w:rPr>
                <w:sz w:val="20"/>
                <w:szCs w:val="20"/>
                <w:color w:val="auto"/>
              </w:rPr>
            </w:pPr>
            <w:r>
              <w:rPr>
                <w:rFonts w:ascii="Arial" w:cs="Arial" w:eastAsia="Arial" w:hAnsi="Arial"/>
                <w:sz w:val="18"/>
                <w:szCs w:val="18"/>
                <w:color w:val="auto"/>
              </w:rPr>
              <w:t>Incapacity of Recipient</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9.8</w:t>
            </w:r>
          </w:p>
        </w:tc>
        <w:tc>
          <w:tcPr>
            <w:tcW w:w="7540" w:type="dxa"/>
            <w:vAlign w:val="bottom"/>
          </w:tcPr>
          <w:p>
            <w:pPr>
              <w:ind w:left="180"/>
              <w:spacing w:after="0"/>
              <w:rPr>
                <w:sz w:val="20"/>
                <w:szCs w:val="20"/>
                <w:color w:val="auto"/>
              </w:rPr>
            </w:pPr>
            <w:r>
              <w:rPr>
                <w:rFonts w:ascii="Arial" w:cs="Arial" w:eastAsia="Arial" w:hAnsi="Arial"/>
                <w:sz w:val="18"/>
                <w:szCs w:val="18"/>
                <w:color w:val="auto"/>
              </w:rPr>
              <w:t>Unclaimed Benefit</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9.9</w:t>
            </w:r>
          </w:p>
        </w:tc>
        <w:tc>
          <w:tcPr>
            <w:tcW w:w="7540" w:type="dxa"/>
            <w:vAlign w:val="bottom"/>
          </w:tcPr>
          <w:p>
            <w:pPr>
              <w:ind w:left="180"/>
              <w:spacing w:after="0"/>
              <w:rPr>
                <w:sz w:val="20"/>
                <w:szCs w:val="20"/>
                <w:color w:val="auto"/>
              </w:rPr>
            </w:pPr>
            <w:r>
              <w:rPr>
                <w:rFonts w:ascii="Arial" w:cs="Arial" w:eastAsia="Arial" w:hAnsi="Arial"/>
                <w:sz w:val="18"/>
                <w:szCs w:val="18"/>
                <w:color w:val="auto"/>
              </w:rPr>
              <w:t>Elections, Applications, Notices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9.10</w:t>
            </w:r>
          </w:p>
        </w:tc>
        <w:tc>
          <w:tcPr>
            <w:tcW w:w="754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ind w:left="320"/>
              <w:spacing w:after="0"/>
              <w:rPr>
                <w:sz w:val="20"/>
                <w:szCs w:val="20"/>
                <w:color w:val="auto"/>
              </w:rPr>
            </w:pPr>
            <w:r>
              <w:rPr>
                <w:rFonts w:ascii="Arial" w:cs="Arial" w:eastAsia="Arial" w:hAnsi="Arial"/>
                <w:sz w:val="18"/>
                <w:szCs w:val="18"/>
                <w:color w:val="auto"/>
              </w:rPr>
              <w:t>9.11</w:t>
            </w:r>
          </w:p>
        </w:tc>
        <w:tc>
          <w:tcPr>
            <w:tcW w:w="7540" w:type="dxa"/>
            <w:vAlign w:val="bottom"/>
          </w:tcPr>
          <w:p>
            <w:pPr>
              <w:ind w:left="180"/>
              <w:spacing w:after="0"/>
              <w:rPr>
                <w:sz w:val="20"/>
                <w:szCs w:val="20"/>
                <w:color w:val="auto"/>
              </w:rPr>
            </w:pPr>
            <w:r>
              <w:rPr>
                <w:rFonts w:ascii="Arial" w:cs="Arial" w:eastAsia="Arial" w:hAnsi="Arial"/>
                <w:sz w:val="18"/>
                <w:szCs w:val="18"/>
                <w:color w:val="auto"/>
              </w:rPr>
              <w:t>Headings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800" w:type="dxa"/>
            <w:vAlign w:val="bottom"/>
          </w:tcPr>
          <w:p>
            <w:pPr>
              <w:ind w:left="320"/>
              <w:spacing w:after="0"/>
              <w:rPr>
                <w:sz w:val="20"/>
                <w:szCs w:val="20"/>
                <w:color w:val="auto"/>
              </w:rPr>
            </w:pPr>
            <w:r>
              <w:rPr>
                <w:rFonts w:ascii="Arial" w:cs="Arial" w:eastAsia="Arial" w:hAnsi="Arial"/>
                <w:sz w:val="18"/>
                <w:szCs w:val="18"/>
                <w:color w:val="auto"/>
              </w:rPr>
              <w:t>9.12</w:t>
            </w:r>
          </w:p>
        </w:tc>
        <w:tc>
          <w:tcPr>
            <w:tcW w:w="7540" w:type="dxa"/>
            <w:vAlign w:val="bottom"/>
          </w:tcPr>
          <w:p>
            <w:pPr>
              <w:ind w:left="180"/>
              <w:spacing w:after="0"/>
              <w:rPr>
                <w:sz w:val="20"/>
                <w:szCs w:val="20"/>
                <w:color w:val="auto"/>
              </w:rPr>
            </w:pPr>
            <w:r>
              <w:rPr>
                <w:rFonts w:ascii="Arial" w:cs="Arial" w:eastAsia="Arial" w:hAnsi="Arial"/>
                <w:sz w:val="18"/>
                <w:szCs w:val="18"/>
                <w:color w:val="auto"/>
              </w:rPr>
              <w:t>Compliance with Code Section 409A</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13</w:t>
            </w:r>
          </w:p>
        </w:tc>
      </w:tr>
    </w:tbl>
    <w:p>
      <w:pPr>
        <w:jc w:val="right"/>
        <w:ind w:right="1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6" w:name="page117"/>
    <w:bookmarkEnd w:id="1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HISTORY AND PURPOSE</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M&amp;T Bank Corporation Supplemental Retirement Savings Plan is maintained by the Manufacturers and Traders Trust Company to provide supplemental retirement benefits to select management and highly compensated employees of the Company and certain of its affiliates, contributions on whose behalf under the M&amp;T Bank Corporation Retirement Savings Plan (the “RSP”) are subject to certain limitations imposed by the Internal Revenue Code (the “Code”). The Plan was amended and/or restated several times for compliance with Code Section 409A, most recently as of January 1, 2008. The Manufacturers and Traders Trust Company now wishes to further amend and restate the Plan, effective as of January 1, 2013, to make changes to the Plan’s design.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When used herein, the following words have the meanings indicated unless a different meaning is clearly required by the context. All other terms used herein with initial capital letters that are not defined below have the meanings given them under the RSP unless otherwise specified herein or as otherwise qualified by the context in which the term is used.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 the account maintained for a Participant under Section 5.1.</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xml:space="preserve"> – the person entitled to distribution of a Participant’s Account after the Participant’s death. A Participant’s Beneficiary under this Plan is the person designated (or otherwise determined) as the Participant’s beneficiary under the RSP.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 see Article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Manufacturers and Traders Trust Company, or any successor.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 has the meaning given in the RSP, without regard to the Compensation Limitation, plus amounts deferred by a Participant under this Plan and any other nonqualified deferred compensation plan maintained by any Employer. For purposes of deferral elections under Section 3.2 and matching contributions under Section 4.1, Compensation does not include any bonus pay that constitutes “performance based compensation” as defined in regulations under Code Section 409A.</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Compensation Limitation</w:t>
      </w:r>
      <w:r>
        <w:rPr>
          <w:rFonts w:ascii="Arial" w:cs="Arial" w:eastAsia="Arial" w:hAnsi="Arial"/>
          <w:sz w:val="18"/>
          <w:szCs w:val="18"/>
          <w:color w:val="auto"/>
        </w:rPr>
        <w:t xml:space="preserve"> – the annual compensation limitation under Code Section 401(a)(17), as in effect for any calendar year and as determined for the RSP.</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 exists when a Participant is determined (a) to be totally disabled by the federal Social Security Administration, or (b) to have a “disability” under his Employer’s long-term disability plan. A Disability must also satisfy the requirements for being a disability under Code Section 409A.</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 a common law employee of an Employer who is classified by the Employer at the Senior Vice President level or higher and who is designated by the Committee as eligible for this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 xml:space="preserve"> – Manufacturers and Traders Trust Company and any affiliate that has adopted the RSP and is an “Employer”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Grandfathered Account Balance</w:t>
      </w:r>
      <w:r>
        <w:rPr>
          <w:rFonts w:ascii="Arial" w:cs="Arial" w:eastAsia="Arial" w:hAnsi="Arial"/>
          <w:sz w:val="18"/>
          <w:szCs w:val="18"/>
          <w:color w:val="auto"/>
        </w:rPr>
        <w:t xml:space="preserve"> – a Participant’s vested Account balance as of December 31, 2004, as adjusted for earnings and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 an Employee who has become a Participant under Section 3.1, including a former Employee who still has an Account balance under this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 the M&amp;T Bank Corporation Supplemental Retirement Savings Plan, as contained herein, as amended.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xml:space="preserve"> – the calendar year.</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Post-2004 Account Balance</w:t>
      </w:r>
      <w:r>
        <w:rPr>
          <w:rFonts w:ascii="Arial" w:cs="Arial" w:eastAsia="Arial" w:hAnsi="Arial"/>
          <w:sz w:val="18"/>
          <w:szCs w:val="18"/>
          <w:color w:val="auto"/>
        </w:rPr>
        <w:t xml:space="preserve"> – that portion of a Participant’s Account attributable to amounts credited as of a date after December 31, 2004, as adjusted for earnings and losses.</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xml:space="preserve"> – a Participant’s separation from service (within the meaning of regulations under Code Section 409A) with the Participant’s Employer and all entities with which the Participant’s Employer would be considered a single employer under Code Section 414(b) or (c).</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terms used herein in the masculine will be read and construed in the feminine where they would so apply, and any terms used in the singular will be read and construed in the plural if appropriate.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 AND 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xml:space="preserve"> An Employee will become a Participant if he has amounts credited to his Account under Sections 4.1, 4.2 or 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sz w:val="20"/>
          <w:szCs w:val="20"/>
          <w:color w:val="auto"/>
        </w:rPr>
      </w:pPr>
    </w:p>
    <w:p>
      <w:pPr>
        <w:ind w:right="260" w:firstLine="464"/>
        <w:spacing w:after="0" w:line="277" w:lineRule="auto"/>
        <w:tabs>
          <w:tab w:leader="none" w:pos="7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each Plan Year, an Employee may elect to defer any whole percentage up to 50% of his Compensation, and his Account will be credited with the amount deferred in accordance with Section 4.3.</w:t>
      </w:r>
    </w:p>
    <w:p>
      <w:pPr>
        <w:spacing w:after="0" w:line="170" w:lineRule="exact"/>
        <w:rPr>
          <w:rFonts w:ascii="Arial" w:cs="Arial" w:eastAsia="Arial" w:hAnsi="Arial"/>
          <w:sz w:val="18"/>
          <w:szCs w:val="18"/>
          <w:color w:val="auto"/>
        </w:rPr>
      </w:pPr>
    </w:p>
    <w:p>
      <w:pPr>
        <w:jc w:val="both"/>
        <w:ind w:right="40" w:firstLine="464"/>
        <w:spacing w:after="0" w:line="264" w:lineRule="auto"/>
        <w:tabs>
          <w:tab w:leader="none" w:pos="7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deferral election for a Plan Year must be made prior to the beginning of the Plan Year. All deferral elections take effect for the first payroll period beginning in a Plan Year. There is no mid-Year entry for an Employee who first becomes eligible to participate during a Plan Year. A deferral election must be made in the manner prescribed by the Committee.</w:t>
      </w:r>
    </w:p>
    <w:p>
      <w:pPr>
        <w:spacing w:after="0" w:line="181" w:lineRule="exact"/>
        <w:rPr>
          <w:rFonts w:ascii="Arial" w:cs="Arial" w:eastAsia="Arial" w:hAnsi="Arial"/>
          <w:sz w:val="18"/>
          <w:szCs w:val="18"/>
          <w:color w:val="auto"/>
        </w:rPr>
      </w:pPr>
    </w:p>
    <w:p>
      <w:pPr>
        <w:ind w:right="160" w:firstLine="464"/>
        <w:spacing w:after="0" w:line="259" w:lineRule="auto"/>
        <w:tabs>
          <w:tab w:leader="none" w:pos="7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deferral election for a Plan Year is irrevocable and may not be changed once the Plan Year has begun. However, if a Participant takes a hardship withdrawal under the RSP, the Participant’s deferral election under this Plan will be cancelled automatically for the remaining payroll periods in the Plan Year. In that event, the Participant may not make a new deferral election under this Plan until the election for the Plan Year that begins at least six months after the date of the hardship withdrawal.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Elections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9" w:lineRule="auto"/>
        <w:tabs>
          <w:tab w:leader="none" w:pos="70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409A Transition Elections</w:t>
      </w:r>
      <w:r>
        <w:rPr>
          <w:rFonts w:ascii="Arial" w:cs="Arial" w:eastAsia="Arial" w:hAnsi="Arial"/>
          <w:sz w:val="17"/>
          <w:szCs w:val="17"/>
          <w:color w:val="auto"/>
        </w:rPr>
        <w:t>. (1) An Employee who was a Participant as of December 31, 2007, could have irrevocably elected by December 31, 2008, to receive payment of his Post-2004 Account Balance either in a single lump sum or in annual installments payable over 5 or 10 years, and to receive such payment(s) either: (i) at a specified age or date; (ii) upon Separation from Service; or (iii) at the earlier of (i) or (ii). Any such election had to be made in the manner prescribed by the Committee and became effective on January 1 of the year following the year of the election.</w:t>
      </w:r>
    </w:p>
    <w:p>
      <w:pPr>
        <w:spacing w:after="0" w:line="63" w:lineRule="exact"/>
        <w:rPr>
          <w:rFonts w:ascii="Arial" w:cs="Arial" w:eastAsia="Arial" w:hAnsi="Arial"/>
          <w:sz w:val="17"/>
          <w:szCs w:val="17"/>
          <w:color w:val="auto"/>
        </w:rPr>
      </w:pPr>
    </w:p>
    <w:p>
      <w:pPr>
        <w:ind w:left="460" w:right="160" w:firstLine="443"/>
        <w:spacing w:after="0" w:line="277" w:lineRule="auto"/>
        <w:tabs>
          <w:tab w:leader="none" w:pos="1153"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a Participant described in paragraph (1) failed to make a timely election under paragraph (1), the Participant’s Post-2004 Account Balance will be paid in accordance with Section 6.1(b) as follows:</w:t>
      </w:r>
    </w:p>
    <w:p>
      <w:pPr>
        <w:spacing w:after="0" w:line="62" w:lineRule="exact"/>
        <w:rPr>
          <w:rFonts w:ascii="Arial" w:cs="Arial" w:eastAsia="Arial" w:hAnsi="Arial"/>
          <w:sz w:val="18"/>
          <w:szCs w:val="18"/>
          <w:color w:val="auto"/>
        </w:rPr>
      </w:pPr>
    </w:p>
    <w:p>
      <w:pPr>
        <w:ind w:left="920" w:right="440" w:firstLine="421"/>
        <w:spacing w:after="0" w:line="277" w:lineRule="auto"/>
        <w:tabs>
          <w:tab w:leader="none" w:pos="1555" w:val="left"/>
        </w:tabs>
        <w:numPr>
          <w:ilvl w:val="2"/>
          <w:numId w:val="90"/>
        </w:numPr>
        <w:rPr>
          <w:rFonts w:ascii="Arial" w:cs="Arial" w:eastAsia="Arial" w:hAnsi="Arial"/>
          <w:sz w:val="18"/>
          <w:szCs w:val="18"/>
          <w:color w:val="auto"/>
        </w:rPr>
      </w:pPr>
      <w:r>
        <w:rPr>
          <w:rFonts w:ascii="Arial" w:cs="Arial" w:eastAsia="Arial" w:hAnsi="Arial"/>
          <w:sz w:val="18"/>
          <w:szCs w:val="18"/>
          <w:color w:val="auto"/>
        </w:rPr>
        <w:t>If the Participant had an election in effect for a Grandfathered Account Balance, that election applies to the Participant’s Post-2004 Account Balance.</w:t>
      </w:r>
    </w:p>
    <w:p>
      <w:pPr>
        <w:spacing w:after="0" w:line="62" w:lineRule="exact"/>
        <w:rPr>
          <w:rFonts w:ascii="Arial" w:cs="Arial" w:eastAsia="Arial" w:hAnsi="Arial"/>
          <w:sz w:val="18"/>
          <w:szCs w:val="18"/>
          <w:color w:val="auto"/>
        </w:rPr>
      </w:pPr>
    </w:p>
    <w:p>
      <w:pPr>
        <w:ind w:left="920" w:right="160" w:firstLine="421"/>
        <w:spacing w:after="0" w:line="277" w:lineRule="auto"/>
        <w:tabs>
          <w:tab w:leader="none" w:pos="1605" w:val="left"/>
        </w:tabs>
        <w:numPr>
          <w:ilvl w:val="2"/>
          <w:numId w:val="90"/>
        </w:numPr>
        <w:rPr>
          <w:rFonts w:ascii="Arial" w:cs="Arial" w:eastAsia="Arial" w:hAnsi="Arial"/>
          <w:sz w:val="18"/>
          <w:szCs w:val="18"/>
          <w:color w:val="auto"/>
        </w:rPr>
      </w:pPr>
      <w:r>
        <w:rPr>
          <w:rFonts w:ascii="Arial" w:cs="Arial" w:eastAsia="Arial" w:hAnsi="Arial"/>
          <w:sz w:val="18"/>
          <w:szCs w:val="18"/>
          <w:color w:val="auto"/>
        </w:rPr>
        <w:t>If the Participant did not have an election in effect for a Grandfathered Account Balance, the Participant’s Post-2004 Account Balance will be paid in a single lump sum upon Separation from Service.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Elections made (or deemed made) under this subsection (a) may be prospectively changed in accordance with subsection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ind w:right="40" w:firstLine="464"/>
        <w:spacing w:after="0" w:line="297" w:lineRule="auto"/>
        <w:tabs>
          <w:tab w:leader="none" w:pos="71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Ongoing Election Rule – New Participant</w:t>
      </w:r>
      <w:r>
        <w:rPr>
          <w:rFonts w:ascii="Arial" w:cs="Arial" w:eastAsia="Arial" w:hAnsi="Arial"/>
          <w:sz w:val="16"/>
          <w:szCs w:val="16"/>
          <w:color w:val="auto"/>
        </w:rPr>
        <w:t>. When a Participant first elects to contribute to the Plan, he may irrevocably (subject to subsection (c)) elect to receive payment of his Account balance either in the form of a single lump sum or in annual installments payable over 5 or 10 years, and to receive or begin to receive such payment(s) either: (i) at a specified age or date; (ii) upon Separation from Service; or (iii) at the earlier of (i) or (ii). If the Participant fails to make a timely election under this subsection (b), the Participant’s Account balance will be paid in a single lump sum upon (and on account of) Separation from Service. Elections made (or deemed made) under this subsection (b) may be prospectively changed in accordance with subsection (c).</w:t>
      </w:r>
    </w:p>
    <w:p>
      <w:pPr>
        <w:spacing w:after="0" w:line="158" w:lineRule="exact"/>
        <w:rPr>
          <w:rFonts w:ascii="Arial" w:cs="Arial" w:eastAsia="Arial" w:hAnsi="Arial"/>
          <w:sz w:val="16"/>
          <w:szCs w:val="16"/>
          <w:color w:val="auto"/>
        </w:rPr>
      </w:pPr>
    </w:p>
    <w:p>
      <w:pPr>
        <w:ind w:right="180" w:firstLine="464"/>
        <w:spacing w:after="0" w:line="259" w:lineRule="auto"/>
        <w:tabs>
          <w:tab w:leader="none" w:pos="70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Ongoing Election Rule – Subsequent Years</w:t>
      </w:r>
      <w:r>
        <w:rPr>
          <w:rFonts w:ascii="Arial" w:cs="Arial" w:eastAsia="Arial" w:hAnsi="Arial"/>
          <w:sz w:val="18"/>
          <w:szCs w:val="18"/>
          <w:color w:val="auto"/>
        </w:rPr>
        <w:t>. Subject to Sections 6.2 through 6.6, a Participant’s payment election (or deemed election) under subsections (a) or (b) of this Section 3.3 is irrevocable and may not be changed. However, a Participant may prospectively change his payment election for amounts to be credited to his Post-2004 Account Balance in Plan Years beginning after the date that the new election is made. A new election must be made before the beginning of the first Plan Year to which it applies.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CREDITS TO PLAN ACCOUNTS; VESTING</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Article IV sets forth the credits to Participant Accounts to be made for Plan Years starting January 1, 2013 and thereafter. The credits made for previous Plan Years are set forth in this Plan as it read before this January 1, 2013 Restatement.</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Matching Contributions.</w:t>
      </w:r>
      <w:r>
        <w:rPr>
          <w:rFonts w:ascii="Arial" w:cs="Arial" w:eastAsia="Arial" w:hAnsi="Arial"/>
          <w:sz w:val="16"/>
          <w:szCs w:val="16"/>
          <w:color w:val="auto"/>
        </w:rPr>
        <w:t xml:space="preserve"> Each Plan Year, there will be credited to a Participant’s Account 150% of the Participant’s elective deferrals for the Plan Year under Section 4.3 that do not exceed 3% of the Participant’s Compensation for the Plan Year. However, no amount will be credited for a Plan Year unless the Participant (i) contributed the maximum dollar amount allowed under the RSP for the Plan Year and (ii) contributed at least 3% of the Participant’s Compensation for the Plan Year to this Supplemental Plan. In addition, the amount credited will not exceed the lesser of (a) and (b), where:</w:t>
      </w:r>
    </w:p>
    <w:p>
      <w:pPr>
        <w:spacing w:after="0" w:line="46" w:lineRule="exact"/>
        <w:rPr>
          <w:sz w:val="20"/>
          <w:szCs w:val="20"/>
          <w:color w:val="auto"/>
        </w:rPr>
      </w:pPr>
    </w:p>
    <w:p>
      <w:pPr>
        <w:ind w:left="700" w:hanging="23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4.5% times $350,000 minus the Compensation Limitation for the Plan Year,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4.5% times the Participant’s Compensation that exceeds the Compensation Limitation for the Plan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Retirement Accumulation Contributions.</w:t>
      </w:r>
      <w:r>
        <w:rPr>
          <w:rFonts w:ascii="Arial" w:cs="Arial" w:eastAsia="Arial" w:hAnsi="Arial"/>
          <w:sz w:val="18"/>
          <w:szCs w:val="18"/>
          <w:color w:val="auto"/>
        </w:rPr>
        <w:t xml:space="preserve"> Each Plan Year, there will be credited to a Participant’s Account the excess of (a) over (b), where:</w:t>
      </w:r>
    </w:p>
    <w:p>
      <w:pPr>
        <w:spacing w:after="0" w:line="117" w:lineRule="exact"/>
        <w:rPr>
          <w:sz w:val="20"/>
          <w:szCs w:val="20"/>
          <w:color w:val="auto"/>
        </w:rPr>
      </w:pPr>
    </w:p>
    <w:p>
      <w:pPr>
        <w:ind w:left="460" w:right="140" w:firstLine="4"/>
        <w:spacing w:after="0" w:line="277"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the Retirement Accumulation Contribution that would have been contributed under Section 4.10 of the RSP for the Participant for the Plan Year, assuming that the Compensation Limitation was $350,000, and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the amount actually contributed under Section 4.10 of the RSP for the Participant for the Plan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Elective Deferrals.</w:t>
      </w:r>
      <w:r>
        <w:rPr>
          <w:rFonts w:ascii="Arial" w:cs="Arial" w:eastAsia="Arial" w:hAnsi="Arial"/>
          <w:sz w:val="17"/>
          <w:szCs w:val="17"/>
          <w:color w:val="auto"/>
        </w:rPr>
        <w:t xml:space="preserve"> Each Plan Year, there will be credited to a Participant’s Account the amount that the Participant elects to defer under Section 3.2.</w:t>
      </w:r>
    </w:p>
    <w:p>
      <w:pPr>
        <w:spacing w:after="0" w:line="2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Duplication of Benefits.</w:t>
      </w:r>
      <w:r>
        <w:rPr>
          <w:rFonts w:ascii="Arial" w:cs="Arial" w:eastAsia="Arial" w:hAnsi="Arial"/>
          <w:sz w:val="18"/>
          <w:szCs w:val="18"/>
          <w:color w:val="auto"/>
        </w:rPr>
        <w:t xml:space="preserve"> The credits to a Participant’s Account under this Article IV will be determined and coordinated so as to prevent any duplication of benefits under this Plan and under the RSP or any individual agreement with the Participant.</w:t>
      </w:r>
    </w:p>
    <w:p>
      <w:pPr>
        <w:spacing w:after="0" w:line="17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The portion of a Participant’s Account attributable to credits under Sections 4.1 (Match) and 4.3 (Elective Deferrals) is fully vested at all times. The portion of a Participant’s Account attributable to credits under Section 4.2 (Retirement Accumulation) is vested to the same extent as the Participant’s Retirement Accumulation Account under the RSP.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 ACCOUNTS, INVESTMENTS AND VALUATIONS</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Accounts.</w:t>
      </w:r>
      <w:r>
        <w:rPr>
          <w:rFonts w:ascii="Arial" w:cs="Arial" w:eastAsia="Arial" w:hAnsi="Arial"/>
          <w:sz w:val="16"/>
          <w:szCs w:val="16"/>
          <w:color w:val="auto"/>
        </w:rPr>
        <w:t xml:space="preserve"> The provisions of the RSP concerning the maintenance of individual accounts and investment elections by Participants will apply equally under this Supplemental Retirement Savings Plan. Subaccounts will be maintained under each Account to separately reflect amounts credited under Sections 4.1,</w:t>
      </w:r>
    </w:p>
    <w:p>
      <w:pPr>
        <w:ind w:right="100"/>
        <w:spacing w:after="0" w:line="273" w:lineRule="auto"/>
        <w:rPr>
          <w:sz w:val="20"/>
          <w:szCs w:val="20"/>
          <w:color w:val="auto"/>
        </w:rPr>
      </w:pPr>
      <w:r>
        <w:rPr>
          <w:rFonts w:ascii="Arial" w:cs="Arial" w:eastAsia="Arial" w:hAnsi="Arial"/>
          <w:sz w:val="17"/>
          <w:szCs w:val="17"/>
          <w:color w:val="auto"/>
        </w:rPr>
        <w:t>4.2 and 4.3. Amounts will be credited to a Participant’s Account under this Plan at substantially the same time as corresponding amounts are credited under the RSP for the Plan Year, except that matching contributions under Section 4.1 will be credited as soon as administratively practicable, but not more than 90 days, after the end of the Plan Year for which the matching contributions apply. If a Participant makes multiple payment elections under Section 3.3, his Account will be maintained so that the portion of the Account attributable to each payment election may be separately determined.</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Investment Elections.</w:t>
      </w:r>
      <w:r>
        <w:rPr>
          <w:rFonts w:ascii="Arial" w:cs="Arial" w:eastAsia="Arial" w:hAnsi="Arial"/>
          <w:sz w:val="18"/>
          <w:szCs w:val="18"/>
          <w:color w:val="auto"/>
        </w:rPr>
        <w:t xml:space="preserve"> Participant investment elections under the RSP for Salary Reduction Contributions will apply to all amounts credited to Participant Accounts hereunder. Such amounts will be deemed to be invested initially in the Investment Funds available under the RSP in the same proportion as reflected in elections under the RSP. Accounts hereunder will be valued in the same manner as RSP accounts, except that stock of M&amp;T Bank Corporation will be stated in dollars instead of shares.</w:t>
      </w:r>
    </w:p>
    <w:p>
      <w:pPr>
        <w:spacing w:after="0" w:line="18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Reallocation of Investments.</w:t>
      </w:r>
      <w:r>
        <w:rPr>
          <w:rFonts w:ascii="Arial" w:cs="Arial" w:eastAsia="Arial" w:hAnsi="Arial"/>
          <w:sz w:val="18"/>
          <w:szCs w:val="18"/>
          <w:color w:val="auto"/>
        </w:rPr>
        <w:t xml:space="preserve"> The deemed investment of amounts already credited to a Participant’s Account may be reallocated, at the Participant’s election, among the available RSP Investment Funds in accordance with procedures established by the Committee. Reallocation elections hereunder are independent of reallocation elections under the RSP.</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Investment Returns.</w:t>
      </w:r>
      <w:r>
        <w:rPr>
          <w:rFonts w:ascii="Arial" w:cs="Arial" w:eastAsia="Arial" w:hAnsi="Arial"/>
          <w:sz w:val="18"/>
          <w:szCs w:val="18"/>
          <w:color w:val="auto"/>
        </w:rPr>
        <w:t xml:space="preserve"> Accounts hereunder will be credited with the investment return reported by the Trust for the Investment Funds under the RSP in which the Accounts are treated as invested.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OF BENEFITS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Commencement of Benefits</w:t>
      </w:r>
      <w:r>
        <w:rPr>
          <w:rFonts w:ascii="Arial" w:cs="Arial" w:eastAsia="Arial" w:hAnsi="Arial"/>
          <w:sz w:val="18"/>
          <w:szCs w:val="18"/>
          <w:color w:val="auto"/>
        </w:rPr>
        <w:t>.</w:t>
      </w:r>
    </w:p>
    <w:p>
      <w:pPr>
        <w:spacing w:after="0" w:line="225" w:lineRule="exact"/>
        <w:rPr>
          <w:sz w:val="20"/>
          <w:szCs w:val="20"/>
          <w:color w:val="auto"/>
        </w:rPr>
      </w:pPr>
    </w:p>
    <w:p>
      <w:pPr>
        <w:ind w:right="360" w:firstLine="464"/>
        <w:spacing w:after="0" w:line="277" w:lineRule="auto"/>
        <w:tabs>
          <w:tab w:leader="none" w:pos="701"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of a Participant’s Grandfathered Account Balance will be made in accordance with the terms of the Plan and the Participant’s payment election as in effect on October 3, 2004.</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Payment of a Participant’s Post-2004 Account Balance will be made in the form elected by or applicable to the Participant under Section 3.3,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2" w:lineRule="exact"/>
        <w:rPr>
          <w:rFonts w:ascii="Arial" w:cs="Arial" w:eastAsia="Arial" w:hAnsi="Arial"/>
          <w:sz w:val="16"/>
          <w:szCs w:val="16"/>
          <w:color w:val="auto"/>
        </w:rPr>
      </w:pPr>
    </w:p>
    <w:p>
      <w:pPr>
        <w:ind w:left="460" w:right="80" w:firstLine="443"/>
        <w:spacing w:after="0" w:line="286" w:lineRule="auto"/>
        <w:tabs>
          <w:tab w:leader="none" w:pos="1153" w:val="left"/>
        </w:tabs>
        <w:numPr>
          <w:ilvl w:val="1"/>
          <w:numId w:val="94"/>
        </w:numPr>
        <w:rPr>
          <w:rFonts w:ascii="Arial" w:cs="Arial" w:eastAsia="Arial" w:hAnsi="Arial"/>
          <w:sz w:val="17"/>
          <w:szCs w:val="17"/>
          <w:color w:val="auto"/>
        </w:rPr>
      </w:pPr>
      <w:r>
        <w:rPr>
          <w:rFonts w:ascii="Arial" w:cs="Arial" w:eastAsia="Arial" w:hAnsi="Arial"/>
          <w:sz w:val="17"/>
          <w:szCs w:val="17"/>
          <w:color w:val="auto"/>
        </w:rPr>
        <w:t>If payment is made on attainment of a specified age or date, payment will be made or commence as soon as practicable (but not more than 30 days) after January 1 of the year elected or in which the specified age is attained. If installment payments are elected, subsequent installments will be paid as soon as practicable (but not more than 30 days) after January 1 of each following year during the installment period.</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If payment is made on account of a Separation from Service, payment will be made or commence in accordance with Section 6.2.</w:t>
      </w:r>
    </w:p>
    <w:p>
      <w:pPr>
        <w:spacing w:after="0" w:line="23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Mandatory Delay of Certain Benefit Payments to Specified Employees.</w:t>
      </w:r>
      <w:r>
        <w:rPr>
          <w:rFonts w:ascii="Arial" w:cs="Arial" w:eastAsia="Arial" w:hAnsi="Arial"/>
          <w:sz w:val="16"/>
          <w:szCs w:val="16"/>
          <w:color w:val="auto"/>
        </w:rPr>
        <w:t xml:space="preserve"> For purposes of this Section, all Participants in the Plan are deemed to be “specified employees” under Code Section 409A. In accordance with regulations under Code Section 409A for payments to specified employees on account of a Separation from Service, payment of any portion of a Participant’s Post-2004 Account Balance will be delayed until the earlier of (i) six months after the termination of employment or other event that constitutes the Participant’s Separation from Service, or (ii) the Participant’s death. Payment of any such delayed portion of the Participant’s Account will be made or commence on the last day of the quarter in which occurs the date that is six months after the Participant’s Separation from Service. If installment payments are elected, then subject to the six-month delay, the second installment will be paid as soon as practicable (but not more than 30 days) after January 1 of the year in which occurs the first anniversary of the Participant’s Separation from Service. Subsequent installments will be paid as soon as practicable (but not more than 30 days) after January 1 of each subsequent year.</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Accelerated Payments Due to Financial Hardship.</w:t>
      </w:r>
      <w:r>
        <w:rPr>
          <w:rFonts w:ascii="Arial" w:cs="Arial" w:eastAsia="Arial" w:hAnsi="Arial"/>
          <w:sz w:val="18"/>
          <w:szCs w:val="18"/>
          <w:color w:val="auto"/>
        </w:rPr>
        <w:t xml:space="preserve"> Notwithstanding Section 6.1, payment of all or part of a Participant’s Grandfathered Account Balance due to financial hardship may be made to the extent permitted under the terms of the Plan as in effect on October 3, 2004. A Participant’s Post-2004 Account Balance may not be paid due to financial hardship.</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Mandatory Cashouts.</w:t>
      </w:r>
      <w:r>
        <w:rPr>
          <w:rFonts w:ascii="Arial" w:cs="Arial" w:eastAsia="Arial" w:hAnsi="Arial"/>
          <w:sz w:val="17"/>
          <w:szCs w:val="17"/>
          <w:color w:val="auto"/>
        </w:rPr>
        <w:t xml:space="preserve"> Notwithstanding Section 6.1 and subject to Sections 6.2 and 6.5, if a Participant’s Post-2004 Account Balance as of the date of the Participant’s Separation from Service or Disability does not exceed the applicable dollar amount under Code Section 402(g)(1)(B), the Participant’s entire Post-2004 Account Balance may, in the discretion of the Committee, be paid in a single lump sum as soon as practicable after the Participant’s Separation from Service or Disability, but not later than the later of (i) the 15th day of the third calendar month following the Participant’s Separation from Service or Disability, or (ii) December 31 of the calendar year in which the Separation from Service or Disability occurs.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4" w:name="page125"/>
    <w:bookmarkEnd w:id="124"/>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Discretionary Delay in Benefit Payments.</w:t>
      </w:r>
      <w:r>
        <w:rPr>
          <w:rFonts w:ascii="Arial" w:cs="Arial" w:eastAsia="Arial" w:hAnsi="Arial"/>
          <w:sz w:val="18"/>
          <w:szCs w:val="18"/>
          <w:color w:val="auto"/>
        </w:rPr>
        <w:t xml:space="preserve"> Notwithstanding Sections 6.1 and 6.4, the Committee may delay payment of any portion of a Participant’s Post-2004 Account Balance by reason of any event or condition permitted under Code Section 409A, including, to the extent permissible, delays relating to (i) nondeductible Compensation payments under Code Section 162(m), (ii) violations of loan agreements and (iii) violations of federal securities law and other applicable law.</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Payment on Death or Disability.</w:t>
      </w:r>
      <w:r>
        <w:rPr>
          <w:rFonts w:ascii="Arial" w:cs="Arial" w:eastAsia="Arial" w:hAnsi="Arial"/>
          <w:sz w:val="18"/>
          <w:szCs w:val="18"/>
          <w:color w:val="auto"/>
        </w:rPr>
        <w:t xml:space="preserve"> Notwithstanding Sections 3.3 and 6.1, in the event of a Participant’s death or Disability, payment of any remaining portion of the Participant’s Post-2004 Account Balance will be made to the Participant or Beneficiary in a single lump sum on the last day of the calendar quarter in which occurs the Participant’s death or a determination of the Participant’s Disability.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Payment by Employer.</w:t>
      </w:r>
      <w:r>
        <w:rPr>
          <w:rFonts w:ascii="Arial" w:cs="Arial" w:eastAsia="Arial" w:hAnsi="Arial"/>
          <w:sz w:val="18"/>
          <w:szCs w:val="18"/>
          <w:color w:val="auto"/>
        </w:rPr>
        <w:t xml:space="preserve"> Benefits payable to, or on behalf of, a Participant will be paid by the Employer who last employed the Participant.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M&amp;T Bank Employee Benefits Plan Committee is charged with the administration of this Plan. The Committee will have all such powers as may be necessary to administer this Plan, including discretionary authority to interpret and construe this Plan, to decide any dispute or question of fact arising hereunder, to determine the right of any Employee to participate herein, to determine the right of any Participant or Beneficiary to benefits hereunder and to adopt such administrative rules for operation of this Plan as the Committee, in its discretion, may deem advisable. No member of the Committee will be liable to any person for any action taken or omitted in connection with the interpretation and administration of this Plan unless attributable to willful misconduct or lack of good faith. The Committee is entitled to rely conclusively upon all tables, valuations, certificates, opinions and reports furnished by any actuary, accountant, controller, counsel or other person employed or engaged by the Committee or the Company with respect to this Plan. A Committee member may not participate in any action or determination relating solely to payment of the member’s own Account hereunder. Except as provided in Section 7.2, decisions of the Committee made in good faith will be final, conclusive and binding upon all parties.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Claims and Appeals</w:t>
      </w:r>
      <w:r>
        <w:rPr>
          <w:rFonts w:ascii="Arial" w:cs="Arial" w:eastAsia="Arial" w:hAnsi="Arial"/>
          <w:sz w:val="18"/>
          <w:szCs w:val="18"/>
          <w:color w:val="auto"/>
        </w:rPr>
        <w:t>. All claims for benefits, denials of claims and appeals of denials under this Plan will be handled in accordance with the claims and appeals procedures of the RSP.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and Termination of Plan.</w:t>
      </w:r>
      <w:r>
        <w:rPr>
          <w:rFonts w:ascii="Arial" w:cs="Arial" w:eastAsia="Arial" w:hAnsi="Arial"/>
          <w:sz w:val="18"/>
          <w:szCs w:val="18"/>
          <w:color w:val="auto"/>
        </w:rPr>
        <w:t xml:space="preserve"> The Company may amend or terminate this Plan at any time. Any such amendment or termination will be made in writing by the Board of Directors of the Company or its designee, and will be effective as of the date specified in such writing. No amendment or termination may directly or indirectly deprive any Participant or Beneficiary of any portion of the Participant’s Account balance as of the date of amendment or termination without the written consent of the Participant or Beneficiary.</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Benefit Payments Upon Termination of Plan.</w:t>
      </w:r>
      <w:r>
        <w:rPr>
          <w:rFonts w:ascii="Arial" w:cs="Arial" w:eastAsia="Arial" w:hAnsi="Arial"/>
          <w:sz w:val="16"/>
          <w:szCs w:val="16"/>
          <w:color w:val="auto"/>
        </w:rPr>
        <w:t xml:space="preserve"> Upon termination of the Plan, the Company may elect to accelerate the time and form of payment of Grandfathered Account Balances to the extent permitted under the terms of the Plan in effect as of October 3, 2004. The time and form of payment of Post-2004 Account Balances may be accelerated upon Plan termination, but only as allowed in accordance with regulations under Code Section 409A.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 Effect on Employment Rights.</w:t>
      </w:r>
      <w:r>
        <w:rPr>
          <w:rFonts w:ascii="Arial" w:cs="Arial" w:eastAsia="Arial" w:hAnsi="Arial"/>
          <w:sz w:val="18"/>
          <w:szCs w:val="18"/>
          <w:color w:val="auto"/>
        </w:rPr>
        <w:t xml:space="preserve"> Nothing contained herein will confer upon any Participant the right to be retained in the service of an Employer nor limit the right of an Employer to discharge or otherwise deal with Participants without regard to this Plan.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Plan Unfunded.</w:t>
      </w:r>
      <w:r>
        <w:rPr>
          <w:rFonts w:ascii="Arial" w:cs="Arial" w:eastAsia="Arial" w:hAnsi="Arial"/>
          <w:sz w:val="18"/>
          <w:szCs w:val="18"/>
          <w:color w:val="auto"/>
        </w:rPr>
        <w:t xml:space="preserve"> The benefits offered under this Plan constitute nothing more than unfunded, unsecured promises by each Employer to pay the benefits determined under the Plan that the Employer is obligated to pay under Section 6.7. No provision will be made to segregate any assets of any Employer for payment of benefits under this Plan. No Participant, Beneficiary or any other person has any interest in any particular assets of the Employers by reason of the right to receive a benefit under this Plan. A Participant, Beneficiary or other person has only the rights of a general unsecured creditor of the Employer by whom the Participant was last employed with respect to any rights under this Plan. Nothing contained in this Plan constitutes a guaranty by the Employers or any other entity that the assets of any Employer will be sufficient to pay any benefit hereunder. All expenses and fees incurred in the administration of this Plan will be paid by the Employers.</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Binding on Employers, Employees and Their Successors.</w:t>
      </w:r>
      <w:r>
        <w:rPr>
          <w:rFonts w:ascii="Arial" w:cs="Arial" w:eastAsia="Arial" w:hAnsi="Arial"/>
          <w:sz w:val="18"/>
          <w:szCs w:val="18"/>
          <w:color w:val="auto"/>
        </w:rPr>
        <w:t xml:space="preserve"> This Plan is binding upon and inures to the benefit of the Employers, their successors and assigns and each Participant and his heirs, executors, administrators and legal representatives.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Spendthrift Provisions.</w:t>
      </w:r>
      <w:r>
        <w:rPr>
          <w:rFonts w:ascii="Arial" w:cs="Arial" w:eastAsia="Arial" w:hAnsi="Arial"/>
          <w:sz w:val="18"/>
          <w:szCs w:val="18"/>
          <w:color w:val="auto"/>
        </w:rPr>
        <w:t xml:space="preserve"> No benefit payable under this Plan may be subject in any manner to anticipation, alienation, sale, transfer, assignment, pledge, encumbrance or charge prior to actual receipt thereof by the payee. Any attempt to anticipate, alienate, sell, transfer, assign, pledge, encumber or charge prior to receipt will be void. The Employers are not liable in any manner for or subject to the debts, contracts, liabilities, torts or engagements of any person entitled to any benefit under this Plan.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The Committee will make available for inspection by any Participant a copy of this Plan and any rules and regulations used by the Committee in administering this Plan.</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State Law.</w:t>
      </w:r>
      <w:r>
        <w:rPr>
          <w:rFonts w:ascii="Arial" w:cs="Arial" w:eastAsia="Arial" w:hAnsi="Arial"/>
          <w:sz w:val="18"/>
          <w:szCs w:val="18"/>
          <w:color w:val="auto"/>
        </w:rPr>
        <w:t xml:space="preserve"> This Plan is established under and will be construed according to the laws of the State of New York to the extent that such laws are not preempted by the Employee Retirement Income Security Act.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Incapacity of Recipient.</w:t>
      </w:r>
      <w:r>
        <w:rPr>
          <w:rFonts w:ascii="Arial" w:cs="Arial" w:eastAsia="Arial" w:hAnsi="Arial"/>
          <w:sz w:val="18"/>
          <w:szCs w:val="18"/>
          <w:color w:val="auto"/>
        </w:rPr>
        <w:t xml:space="preserve"> If a Participant or Beneficiary is declared incompetent and a guardian, conservator or other person legally charged with the care of his person or of his estate is appointed, any benefits under this Plan to which such Participant or Beneficiary is entitled may, as determined by the Committee in its discretion, be paid to such guardian, conservator or other person. Except as provided herein, when the Committee in its discretion determines that a Participant or Beneficiary is unable to manage his financial affairs, the Committee may direct the Employer responsible for payment to make distributions to any person for the benefit of such Participant or Beneficiary.</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Unclaimed Benefit.</w:t>
      </w:r>
      <w:r>
        <w:rPr>
          <w:rFonts w:ascii="Arial" w:cs="Arial" w:eastAsia="Arial" w:hAnsi="Arial"/>
          <w:sz w:val="18"/>
          <w:szCs w:val="18"/>
          <w:color w:val="auto"/>
        </w:rPr>
        <w:t xml:space="preserve"> Each Participant must keep the Committee informed of his current address. The Committee is not obligated to search for the whereabouts of any person.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8" w:name="page129"/>
    <w:bookmarkEnd w:id="128"/>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16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obligation of the Employer to make payment of an amount due under the Plan is satisfied by sending the payment to the last known address of the Participant (or Beneficiary). If the Participant (or Beneficiary) does not receive the payment within three years after it is sent, the Participant (or Beneficiary) will forfeit all rights to the payment.</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Elections, Applications, Notices.</w:t>
      </w:r>
      <w:r>
        <w:rPr>
          <w:rFonts w:ascii="Arial" w:cs="Arial" w:eastAsia="Arial" w:hAnsi="Arial"/>
          <w:sz w:val="16"/>
          <w:szCs w:val="16"/>
          <w:color w:val="auto"/>
        </w:rPr>
        <w:t xml:space="preserve"> Every direction, revocation or notice authorized or required hereunder will be deemed delivered to the Employers or the Committee: (a) on the date it is sent via electronic transmission to the Secretary of the Committee (with a copy to the Company’s General Counsel), provided that receipt of the electronic transmission is acknowledged by personal action of the Secretary of the Committee or the Company’s General Counsel within three business days, (b) the date it is personally delivered to the Company’s executive offices at Buffalo, New York, or (c) three business days after it is sent by registered or certified mail, addressed to the Secretary of the Committee (with a copy to the Company’s General Counsel) at the offices indicated above; and will be deemed delivered to a Participant or Beneficiary: (a) on the date it is sent via electronic transmission to the Participant or Beneficiary, provided that receipt of the electronic transmission is acknowledged by personal action of the Participant or Beneficiary within three business days, (b) the date it is personally delivered to the Participant or Beneficiary, or (c) three business days after it is sent by registered or certified mail, addressed to the Participant or Beneficiary at the last address shown for him on the records of the Employers. Any notice required hereunder may be waived by the person entitled thereto.</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Plan is held illegal or invalid for any reason, such illegality or invalidity will not affect the remaining provisions of this Plan, which will be construed and administered as if such illegal or invalid provision had never been contained herein.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Headings.</w:t>
      </w:r>
      <w:r>
        <w:rPr>
          <w:rFonts w:ascii="Arial" w:cs="Arial" w:eastAsia="Arial" w:hAnsi="Arial"/>
          <w:sz w:val="16"/>
          <w:szCs w:val="16"/>
          <w:color w:val="auto"/>
        </w:rPr>
        <w:t xml:space="preserve"> The headings of Sections of this Plan are for convenience of reference only and have no substantive effect on the provisions of this Plan.</w:t>
      </w: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xml:space="preserve"> The Plan is intended to comply with the requirements of Code Section 409A, and the Committee will administer and interpret the Plan in accordance with such requirements. However, the Employers will not be liable to any Participant or Beneficiary for any benefit related adverse tax consequences arising under Section 409A or other provision of the Code. If any provision of the Plan conflicts with the requirements of Code Section 409A, the requirements of Section 409A will supersede any such Plan provision.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signed this restated Plan document on the date set forth below.</w:t>
      </w: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MANUFACTURERS AND TRADERS TRUST COMPANY</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2/27/15</w:t>
      </w:r>
      <w:r>
        <w:rPr>
          <w:sz w:val="20"/>
          <w:szCs w:val="20"/>
          <w:color w:val="auto"/>
        </w:rPr>
        <w:tab/>
      </w:r>
      <w:r>
        <w:rPr>
          <w:rFonts w:ascii="Arial" w:cs="Arial" w:eastAsia="Arial" w:hAnsi="Arial"/>
          <w:sz w:val="17"/>
          <w:szCs w:val="17"/>
          <w:color w:val="auto"/>
        </w:rPr>
        <w:t>By:  /s/ Ann Marie Odrobina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29" w:name="page130"/>
    <w:bookmarkEnd w:id="12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M&amp;T BANK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SUPPLEMENTAL RETIREMENT SAVINGS PLAN</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(January 1, 2013 Restatement)</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Manufacturers and Traders Trust Company (“Company”) hereby adopts this Amendment No. 1 to the M&amp;T Bank Corporation Supplemental Retirement Savings Plan (January 1, 2013 Restatement) (“SRSP”).</w:t>
      </w:r>
    </w:p>
    <w:p>
      <w:pPr>
        <w:spacing w:after="0" w:line="3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under Section 8.1, the Company may amend the SRSP; and</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Company wishes to amend the SRSP to allow participants to change their election of the form of distribution of their Post-2004 Account Balance;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nothing in this Amendment applies to payment of the Participant’s Grandfathered Account Balance.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SRSP is amended as follows, effective for election changes made after the date this Amendment is signed.</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FIRST AND ONLY CHANGE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new Section 3.3(d) is added to read as follows:</w:t>
      </w:r>
    </w:p>
    <w:p>
      <w:pPr>
        <w:spacing w:after="0" w:line="117" w:lineRule="exact"/>
        <w:rPr>
          <w:sz w:val="20"/>
          <w:szCs w:val="20"/>
          <w:color w:val="auto"/>
        </w:rPr>
      </w:pPr>
    </w:p>
    <w:p>
      <w:pPr>
        <w:ind w:left="460" w:right="20" w:firstLine="438"/>
        <w:spacing w:after="0" w:line="264" w:lineRule="auto"/>
        <w:rPr>
          <w:sz w:val="20"/>
          <w:szCs w:val="20"/>
          <w:color w:val="auto"/>
        </w:rPr>
      </w:pPr>
      <w:r>
        <w:rPr>
          <w:rFonts w:ascii="Arial" w:cs="Arial" w:eastAsia="Arial" w:hAnsi="Arial"/>
          <w:sz w:val="18"/>
          <w:szCs w:val="18"/>
          <w:color w:val="auto"/>
        </w:rPr>
        <w:t>“(d) Notwithstanding subsection (c), a Participant who elected (or is deemed to have elected) to have any portion of his Post-2004 Account Balance paid as a lump sum may change that election to have such portion of his Post-2004 Account Balance paid in annual installments over 5 or 10 years, subject to the following:</w:t>
      </w:r>
    </w:p>
    <w:p>
      <w:pPr>
        <w:spacing w:after="0" w:line="73" w:lineRule="exact"/>
        <w:rPr>
          <w:sz w:val="20"/>
          <w:szCs w:val="20"/>
          <w:color w:val="auto"/>
        </w:rPr>
      </w:pPr>
    </w:p>
    <w:p>
      <w:pPr>
        <w:ind w:left="1600" w:hanging="259"/>
        <w:spacing w:after="0"/>
        <w:tabs>
          <w:tab w:leader="none" w:pos="1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election change must be made at least one year before the lump sum is scheduled to be paid.</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election change is void and does not take effect if the Participant has a Separation from Service within one year after the election change is made.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Installment payments will begin five years after the lump sum was scheduled to be paid.</w:t>
      </w:r>
    </w:p>
    <w:p>
      <w:pPr>
        <w:spacing w:after="0" w:line="117" w:lineRule="exact"/>
        <w:rPr>
          <w:rFonts w:ascii="Arial" w:cs="Arial" w:eastAsia="Arial" w:hAnsi="Arial"/>
          <w:sz w:val="18"/>
          <w:szCs w:val="18"/>
          <w:color w:val="auto"/>
        </w:rPr>
      </w:pPr>
    </w:p>
    <w:p>
      <w:pPr>
        <w:ind w:left="920" w:firstLine="421"/>
        <w:spacing w:after="0" w:line="342" w:lineRule="auto"/>
        <w:tabs>
          <w:tab w:leader="none" w:pos="15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Election changes may be revoked, and the lump sum election reinstated, at any time within one year after the election change is made. After that one year period has elapsed, the lump sum election cannot be reinstated and the installment payment election becomes irrevocable.”</w:t>
      </w:r>
    </w:p>
    <w:p>
      <w:pPr>
        <w:sectPr>
          <w:pgSz w:w="11900" w:h="16838" w:orient="portrait"/>
          <w:cols w:equalWidth="0" w:num="1">
            <w:col w:w="11260"/>
          </w:cols>
          <w:pgMar w:left="240" w:top="270" w:right="39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Manufacturers and Traders Trust Company has caused this Amendment No. 1 to be executed by its duly authorized officer.</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MANUFACTURERS AND TRADERS TRUST</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Ann Marie Odrobina,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Ann Marie Odrobina,</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Group Vice President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4/19/16</w:t>
      </w:r>
    </w:p>
    <w:p>
      <w:pPr>
        <w:sectPr>
          <w:pgSz w:w="11900" w:h="16838" w:orient="portrait"/>
          <w:cols w:equalWidth="0" w:num="1">
            <w:col w:w="10880"/>
          </w:cols>
          <w:pgMar w:left="700" w:top="274"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6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2016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6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2016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1."/>
      <w:numFmt w:val="decimal"/>
      <w:start w:val="2"/>
    </w:lvl>
  </w:abstractNum>
  <w:abstractNum w:abstractNumId="4">
    <w:nsid w:val="23F9C13C"/>
    <w:multiLevelType w:val="hybridMultilevel"/>
    <w:lvl w:ilvl="0">
      <w:lvlJc w:val="left"/>
      <w:lvlText w:val="%1."/>
      <w:numFmt w:val="decimal"/>
      <w:start w:val="2"/>
    </w:lvl>
  </w:abstractNum>
  <w:abstractNum w:abstractNumId="5">
    <w:nsid w:val="649BB77C"/>
    <w:multiLevelType w:val="hybridMultilevel"/>
    <w:lvl w:ilvl="0">
      <w:lvlJc w:val="left"/>
      <w:lvlText w:val="(%1)"/>
      <w:numFmt w:val="lowerLetter"/>
      <w:start w:val="1"/>
    </w:lvl>
  </w:abstractNum>
  <w:abstractNum w:abstractNumId="6">
    <w:nsid w:val="275AC794"/>
    <w:multiLevelType w:val="hybridMultilevel"/>
    <w:lvl w:ilvl="0">
      <w:lvlJc w:val="left"/>
      <w:lvlText w:val="%1."/>
      <w:numFmt w:val="decimal"/>
      <w:start w:val="2"/>
    </w:lvl>
  </w:abstractNum>
  <w:abstractNum w:abstractNumId="7">
    <w:nsid w:val="39386575"/>
    <w:multiLevelType w:val="hybridMultilevel"/>
    <w:lvl w:ilvl="0">
      <w:lvlJc w:val="left"/>
      <w:lvlText w:val="%1."/>
      <w:numFmt w:val="decimal"/>
      <w:start w:val="3"/>
    </w:lvl>
  </w:abstractNum>
  <w:abstractNum w:abstractNumId="8">
    <w:nsid w:val="1CF10FD8"/>
    <w:multiLevelType w:val="hybridMultilevel"/>
    <w:lvl w:ilvl="0">
      <w:lvlJc w:val="left"/>
      <w:lvlText w:val="%1."/>
      <w:numFmt w:val="decimal"/>
      <w:start w:val="3"/>
    </w:lvl>
  </w:abstractNum>
  <w:abstractNum w:abstractNumId="9">
    <w:nsid w:val="180115BE"/>
    <w:multiLevelType w:val="hybridMultilevel"/>
    <w:lvl w:ilvl="0">
      <w:lvlJc w:val="left"/>
      <w:lvlText w:val="%1."/>
      <w:numFmt w:val="decimal"/>
      <w:start w:val="4"/>
    </w:lvl>
  </w:abstractNum>
  <w:abstractNum w:abstractNumId="10">
    <w:nsid w:val="235BA861"/>
    <w:multiLevelType w:val="hybridMultilevel"/>
    <w:lvl w:ilvl="0">
      <w:lvlJc w:val="left"/>
      <w:lvlText w:val="%1."/>
      <w:numFmt w:val="decimal"/>
      <w:start w:val="4"/>
    </w:lvl>
  </w:abstractNum>
  <w:abstractNum w:abstractNumId="11">
    <w:nsid w:val="47398C89"/>
    <w:multiLevelType w:val="hybridMultilevel"/>
    <w:lvl w:ilvl="0">
      <w:lvlJc w:val="left"/>
      <w:lvlText w:val="(%1)"/>
      <w:numFmt w:val="lowerLetter"/>
      <w:start w:val="1"/>
    </w:lvl>
  </w:abstractNum>
  <w:abstractNum w:abstractNumId="12">
    <w:nsid w:val="354FE9F9"/>
    <w:multiLevelType w:val="hybridMultilevel"/>
    <w:lvl w:ilvl="0">
      <w:lvlJc w:val="left"/>
      <w:lvlText w:val="%1."/>
      <w:numFmt w:val="decimal"/>
      <w:start w:val="4"/>
    </w:lvl>
  </w:abstractNum>
  <w:abstractNum w:abstractNumId="13">
    <w:nsid w:val="15B5AF5C"/>
    <w:multiLevelType w:val="hybridMultilevel"/>
    <w:lvl w:ilvl="0">
      <w:lvlJc w:val="left"/>
      <w:lvlText w:val="(%1)"/>
      <w:numFmt w:val="lowerLetter"/>
      <w:start w:val="1"/>
    </w:lvl>
  </w:abstractNum>
  <w:abstractNum w:abstractNumId="14">
    <w:nsid w:val="741226BB"/>
    <w:multiLevelType w:val="hybridMultilevel"/>
    <w:lvl w:ilvl="0">
      <w:lvlJc w:val="left"/>
      <w:lvlText w:val="%1."/>
      <w:numFmt w:val="decimal"/>
      <w:start w:val="4"/>
    </w:lvl>
  </w:abstractNum>
  <w:abstractNum w:abstractNumId="15">
    <w:nsid w:val="D34B6A8"/>
    <w:multiLevelType w:val="hybridMultilevel"/>
    <w:lvl w:ilvl="0">
      <w:lvlJc w:val="left"/>
      <w:lvlText w:val="%1."/>
      <w:numFmt w:val="decimal"/>
      <w:start w:val="4"/>
    </w:lvl>
  </w:abstractNum>
  <w:abstractNum w:abstractNumId="16">
    <w:nsid w:val="10233C99"/>
    <w:multiLevelType w:val="hybridMultilevel"/>
    <w:lvl w:ilvl="0">
      <w:lvlJc w:val="left"/>
      <w:lvlText w:val="%1."/>
      <w:numFmt w:val="decimal"/>
      <w:start w:val="4"/>
    </w:lvl>
  </w:abstractNum>
  <w:abstractNum w:abstractNumId="17">
    <w:nsid w:val="3F6AB60F"/>
    <w:multiLevelType w:val="hybridMultilevel"/>
    <w:lvl w:ilvl="0">
      <w:lvlJc w:val="left"/>
      <w:lvlText w:val="%1."/>
      <w:numFmt w:val="decimal"/>
      <w:start w:val="4"/>
    </w:lvl>
  </w:abstractNum>
  <w:abstractNum w:abstractNumId="18">
    <w:nsid w:val="61574095"/>
    <w:multiLevelType w:val="hybridMultilevel"/>
    <w:lvl w:ilvl="0">
      <w:lvlJc w:val="left"/>
      <w:lvlText w:val="%1."/>
      <w:numFmt w:val="decimal"/>
      <w:start w:val="4"/>
    </w:lvl>
  </w:abstractNum>
  <w:abstractNum w:abstractNumId="19">
    <w:nsid w:val="7E0C57B1"/>
    <w:multiLevelType w:val="hybridMultilevel"/>
    <w:lvl w:ilvl="0">
      <w:lvlJc w:val="left"/>
      <w:lvlText w:val="%1."/>
      <w:numFmt w:val="decimal"/>
      <w:start w:val="4"/>
    </w:lvl>
  </w:abstractNum>
  <w:abstractNum w:abstractNumId="20">
    <w:nsid w:val="77AE35EB"/>
    <w:multiLevelType w:val="hybridMultilevel"/>
    <w:lvl w:ilvl="0">
      <w:lvlJc w:val="left"/>
      <w:lvlText w:val="(%1)"/>
      <w:numFmt w:val="lowerLetter"/>
      <w:start w:val="1"/>
    </w:lvl>
    <w:lvl w:ilvl="1">
      <w:lvlJc w:val="left"/>
      <w:lvlText w:val="-"/>
      <w:numFmt w:val="bullet"/>
      <w:start w:val="1"/>
    </w:lvl>
  </w:abstractNum>
  <w:abstractNum w:abstractNumId="21">
    <w:nsid w:val="579BE4F1"/>
    <w:multiLevelType w:val="hybridMultilevel"/>
    <w:lvl w:ilvl="0">
      <w:lvlJc w:val="left"/>
      <w:lvlText w:val="%1."/>
      <w:numFmt w:val="decimal"/>
      <w:start w:val="4"/>
    </w:lvl>
  </w:abstractNum>
  <w:abstractNum w:abstractNumId="22">
    <w:nsid w:val="310C50B3"/>
    <w:multiLevelType w:val="hybridMultilevel"/>
    <w:lvl w:ilvl="0">
      <w:lvlJc w:val="left"/>
      <w:lvlText w:val="(%1)"/>
      <w:numFmt w:val="lowerLetter"/>
      <w:start w:val="1"/>
    </w:lvl>
  </w:abstractNum>
  <w:abstractNum w:abstractNumId="23">
    <w:nsid w:val="5FF87E05"/>
    <w:multiLevelType w:val="hybridMultilevel"/>
    <w:lvl w:ilvl="0">
      <w:lvlJc w:val="left"/>
      <w:lvlText w:val="%1."/>
      <w:numFmt w:val="decimal"/>
      <w:start w:val="5"/>
    </w:lvl>
  </w:abstractNum>
  <w:abstractNum w:abstractNumId="24">
    <w:nsid w:val="2F305DEF"/>
    <w:multiLevelType w:val="hybridMultilevel"/>
    <w:lvl w:ilvl="0">
      <w:lvlJc w:val="left"/>
      <w:lvlText w:val="%1."/>
      <w:numFmt w:val="decimal"/>
      <w:start w:val="6"/>
    </w:lvl>
  </w:abstractNum>
  <w:abstractNum w:abstractNumId="25">
    <w:nsid w:val="25A70BF7"/>
    <w:multiLevelType w:val="hybridMultilevel"/>
    <w:lvl w:ilvl="0">
      <w:lvlJc w:val="left"/>
      <w:lvlText w:val="(%1)"/>
      <w:numFmt w:val="lowerLetter"/>
      <w:start w:val="1"/>
    </w:lvl>
  </w:abstractNum>
  <w:abstractNum w:abstractNumId="26">
    <w:nsid w:val="1DBABF00"/>
    <w:multiLevelType w:val="hybridMultilevel"/>
    <w:lvl w:ilvl="0">
      <w:lvlJc w:val="left"/>
      <w:lvlText w:val="%1."/>
      <w:numFmt w:val="decimal"/>
      <w:start w:val="7"/>
    </w:lvl>
  </w:abstractNum>
  <w:abstractNum w:abstractNumId="27">
    <w:nsid w:val="4AD084E9"/>
    <w:multiLevelType w:val="hybridMultilevel"/>
    <w:lvl w:ilvl="0">
      <w:lvlJc w:val="left"/>
      <w:lvlText w:val="%1."/>
      <w:numFmt w:val="decimal"/>
      <w:start w:val="8"/>
    </w:lvl>
  </w:abstractNum>
  <w:abstractNum w:abstractNumId="28">
    <w:nsid w:val="1F48EAA1"/>
    <w:multiLevelType w:val="hybridMultilevel"/>
    <w:lvl w:ilvl="0">
      <w:lvlJc w:val="left"/>
      <w:lvlText w:val="%1."/>
      <w:numFmt w:val="decimal"/>
      <w:start w:val="9"/>
    </w:lvl>
  </w:abstractNum>
  <w:abstractNum w:abstractNumId="29">
    <w:nsid w:val="1381823A"/>
    <w:multiLevelType w:val="hybridMultilevel"/>
    <w:lvl w:ilvl="0">
      <w:lvlJc w:val="left"/>
      <w:lvlText w:val="(%1)"/>
      <w:numFmt w:val="lowerLetter"/>
      <w:start w:val="1"/>
    </w:lvl>
  </w:abstractNum>
  <w:abstractNum w:abstractNumId="30">
    <w:nsid w:val="5DB70AE5"/>
    <w:multiLevelType w:val="hybridMultilevel"/>
    <w:lvl w:ilvl="0">
      <w:lvlJc w:val="left"/>
      <w:lvlText w:val="%1."/>
      <w:numFmt w:val="decimal"/>
      <w:start w:val="10"/>
    </w:lvl>
  </w:abstractNum>
  <w:abstractNum w:abstractNumId="31">
    <w:nsid w:val="100F8FCA"/>
    <w:multiLevelType w:val="hybridMultilevel"/>
    <w:lvl w:ilvl="0">
      <w:lvlJc w:val="left"/>
      <w:lvlText w:val="(%1)"/>
      <w:numFmt w:val="lowerLetter"/>
      <w:start w:val="1"/>
    </w:lvl>
  </w:abstractNum>
  <w:abstractNum w:abstractNumId="32">
    <w:nsid w:val="6590700B"/>
    <w:multiLevelType w:val="hybridMultilevel"/>
    <w:lvl w:ilvl="0">
      <w:lvlJc w:val="left"/>
      <w:lvlText w:val="%1."/>
      <w:numFmt w:val="decimal"/>
      <w:start w:val="10"/>
    </w:lvl>
  </w:abstractNum>
  <w:abstractNum w:abstractNumId="33">
    <w:nsid w:val="15014ACB"/>
    <w:multiLevelType w:val="hybridMultilevel"/>
    <w:lvl w:ilvl="0">
      <w:lvlJc w:val="left"/>
      <w:lvlText w:val="(%1)"/>
      <w:numFmt w:val="lowerLetter"/>
      <w:start w:val="1"/>
    </w:lvl>
    <w:lvl w:ilvl="1">
      <w:lvlJc w:val="left"/>
      <w:lvlText w:val="-"/>
      <w:numFmt w:val="bullet"/>
      <w:start w:val="1"/>
    </w:lvl>
  </w:abstractNum>
  <w:abstractNum w:abstractNumId="34">
    <w:nsid w:val="5F5E7FD0"/>
    <w:multiLevelType w:val="hybridMultilevel"/>
    <w:lvl w:ilvl="0">
      <w:lvlJc w:val="left"/>
      <w:lvlText w:val="(%1)"/>
      <w:numFmt w:val="lowerLetter"/>
      <w:start w:val="1"/>
    </w:lvl>
  </w:abstractNum>
  <w:abstractNum w:abstractNumId="35">
    <w:nsid w:val="98A3148"/>
    <w:multiLevelType w:val="hybridMultilevel"/>
    <w:lvl w:ilvl="0">
      <w:lvlJc w:val="left"/>
      <w:lvlText w:val="%1."/>
      <w:numFmt w:val="decimal"/>
      <w:start w:val="10"/>
    </w:lvl>
  </w:abstractNum>
  <w:abstractNum w:abstractNumId="36">
    <w:nsid w:val="799D0247"/>
    <w:multiLevelType w:val="hybridMultilevel"/>
    <w:lvl w:ilvl="0">
      <w:lvlJc w:val="left"/>
      <w:lvlText w:val="%1."/>
      <w:numFmt w:val="decimal"/>
      <w:start w:val="11"/>
    </w:lvl>
  </w:abstractNum>
  <w:abstractNum w:abstractNumId="37">
    <w:nsid w:val="6B94764"/>
    <w:multiLevelType w:val="hybridMultilevel"/>
    <w:lvl w:ilvl="0">
      <w:lvlJc w:val="left"/>
      <w:lvlText w:val="%1."/>
      <w:numFmt w:val="decimal"/>
      <w:start w:val="11"/>
    </w:lvl>
  </w:abstractNum>
  <w:abstractNum w:abstractNumId="38">
    <w:nsid w:val="42C296BD"/>
    <w:multiLevelType w:val="hybridMultilevel"/>
    <w:lvl w:ilvl="0">
      <w:lvlJc w:val="left"/>
      <w:lvlText w:val="%1."/>
      <w:numFmt w:val="decimal"/>
      <w:start w:val="12"/>
    </w:lvl>
  </w:abstractNum>
  <w:abstractNum w:abstractNumId="39">
    <w:nsid w:val="168E121F"/>
    <w:multiLevelType w:val="hybridMultilevel"/>
    <w:lvl w:ilvl="0">
      <w:lvlJc w:val="left"/>
      <w:lvlText w:val="•"/>
      <w:numFmt w:val="bullet"/>
      <w:start w:val="1"/>
    </w:lvl>
    <w:lvl w:ilvl="1">
      <w:lvlJc w:val="left"/>
      <w:lvlText w:val="-"/>
      <w:numFmt w:val="bullet"/>
      <w:start w:val="1"/>
    </w:lvl>
  </w:abstractNum>
  <w:abstractNum w:abstractNumId="40">
    <w:nsid w:val="1EBA5D23"/>
    <w:multiLevelType w:val="hybridMultilevel"/>
    <w:lvl w:ilvl="0">
      <w:lvlJc w:val="left"/>
      <w:lvlText w:val="%1."/>
      <w:numFmt w:val="decimal"/>
      <w:start w:val="12"/>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1."/>
      <w:numFmt w:val="decimal"/>
      <w:start w:val="12"/>
    </w:lvl>
  </w:abstractNum>
  <w:abstractNum w:abstractNumId="43">
    <w:nsid w:val="540A471C"/>
    <w:multiLevelType w:val="hybridMultilevel"/>
    <w:lvl w:ilvl="0">
      <w:lvlJc w:val="left"/>
      <w:lvlText w:val="%1."/>
      <w:numFmt w:val="decimal"/>
      <w:start w:val="12"/>
    </w:lvl>
  </w:abstractNum>
  <w:abstractNum w:abstractNumId="44">
    <w:nsid w:val="7BD3EE7B"/>
    <w:multiLevelType w:val="hybridMultilevel"/>
    <w:lvl w:ilvl="0">
      <w:lvlJc w:val="left"/>
      <w:lvlText w:val="(%1)"/>
      <w:numFmt w:val="lowerLetter"/>
      <w:start w:val="1"/>
    </w:lvl>
    <w:lvl w:ilvl="1">
      <w:lvlJc w:val="left"/>
      <w:lvlText w:val="-"/>
      <w:numFmt w:val="bullet"/>
      <w:start w:val="1"/>
    </w:lvl>
  </w:abstractNum>
  <w:abstractNum w:abstractNumId="45">
    <w:nsid w:val="51D9C564"/>
    <w:multiLevelType w:val="hybridMultilevel"/>
    <w:lvl w:ilvl="0">
      <w:lvlJc w:val="left"/>
      <w:lvlText w:val="%1."/>
      <w:numFmt w:val="decimal"/>
      <w:start w:val="12"/>
    </w:lvl>
  </w:abstractNum>
  <w:abstractNum w:abstractNumId="46">
    <w:nsid w:val="613EFDC5"/>
    <w:multiLevelType w:val="hybridMultilevel"/>
    <w:lvl w:ilvl="0">
      <w:lvlJc w:val="left"/>
      <w:lvlText w:val="%1."/>
      <w:numFmt w:val="decimal"/>
      <w:start w:val="12"/>
    </w:lvl>
  </w:abstractNum>
  <w:abstractNum w:abstractNumId="47">
    <w:nsid w:val="BF72B14"/>
    <w:multiLevelType w:val="hybridMultilevel"/>
    <w:lvl w:ilvl="0">
      <w:lvlJc w:val="left"/>
      <w:lvlText w:val="(%1)"/>
      <w:numFmt w:val="lowerLetter"/>
      <w:start w:val="1"/>
    </w:lvl>
    <w:lvl w:ilvl="1">
      <w:lvlJc w:val="left"/>
      <w:lvlText w:val="-"/>
      <w:numFmt w:val="bullet"/>
      <w:start w:val="1"/>
    </w:lvl>
  </w:abstractNum>
  <w:abstractNum w:abstractNumId="48">
    <w:nsid w:val="11447B73"/>
    <w:multiLevelType w:val="hybridMultilevel"/>
    <w:lvl w:ilvl="0">
      <w:lvlJc w:val="left"/>
      <w:lvlText w:val="%1."/>
      <w:numFmt w:val="decimal"/>
      <w:start w:val="12"/>
    </w:lvl>
  </w:abstractNum>
  <w:abstractNum w:abstractNumId="49">
    <w:nsid w:val="42963E5A"/>
    <w:multiLevelType w:val="hybridMultilevel"/>
    <w:lvl w:ilvl="0">
      <w:lvlJc w:val="left"/>
      <w:lvlText w:val="%1."/>
      <w:numFmt w:val="decimal"/>
      <w:start w:val="12"/>
    </w:lvl>
  </w:abstractNum>
  <w:abstractNum w:abstractNumId="50">
    <w:nsid w:val="A0382C5"/>
    <w:multiLevelType w:val="hybridMultilevel"/>
    <w:lvl w:ilvl="0">
      <w:lvlJc w:val="left"/>
      <w:lvlText w:val="(%1)"/>
      <w:numFmt w:val="lowerLetter"/>
      <w:start w:val="1"/>
    </w:lvl>
  </w:abstractNum>
  <w:abstractNum w:abstractNumId="51">
    <w:nsid w:val="8F2B15E"/>
    <w:multiLevelType w:val="hybridMultilevel"/>
    <w:lvl w:ilvl="0">
      <w:lvlJc w:val="left"/>
      <w:lvlText w:val="%1."/>
      <w:numFmt w:val="decimal"/>
      <w:start w:val="12"/>
    </w:lvl>
  </w:abstractNum>
  <w:abstractNum w:abstractNumId="52">
    <w:nsid w:val="1A32234B"/>
    <w:multiLevelType w:val="hybridMultilevel"/>
    <w:lvl w:ilvl="0">
      <w:lvlJc w:val="left"/>
      <w:lvlText w:val="%1."/>
      <w:numFmt w:val="decimal"/>
      <w:start w:val="12"/>
    </w:lvl>
  </w:abstractNum>
  <w:abstractNum w:abstractNumId="53">
    <w:nsid w:val="3B0FD379"/>
    <w:multiLevelType w:val="hybridMultilevel"/>
    <w:lvl w:ilvl="0">
      <w:lvlJc w:val="left"/>
      <w:lvlText w:val="%1."/>
      <w:numFmt w:val="decimal"/>
      <w:start w:val="12"/>
    </w:lvl>
  </w:abstractNum>
  <w:abstractNum w:abstractNumId="54">
    <w:nsid w:val="68EB2F63"/>
    <w:multiLevelType w:val="hybridMultilevel"/>
    <w:lvl w:ilvl="0">
      <w:lvlJc w:val="left"/>
      <w:lvlText w:val="%1."/>
      <w:numFmt w:val="decimal"/>
      <w:start w:val="13"/>
    </w:lvl>
  </w:abstractNum>
  <w:abstractNum w:abstractNumId="55">
    <w:nsid w:val="4962813B"/>
    <w:multiLevelType w:val="hybridMultilevel"/>
    <w:lvl w:ilvl="0">
      <w:lvlJc w:val="left"/>
      <w:lvlText w:val="%1."/>
      <w:numFmt w:val="decimal"/>
      <w:start w:val="13"/>
    </w:lvl>
  </w:abstractNum>
  <w:abstractNum w:abstractNumId="56">
    <w:nsid w:val="60B6DF70"/>
    <w:multiLevelType w:val="hybridMultilevel"/>
    <w:lvl w:ilvl="0">
      <w:lvlJc w:val="left"/>
      <w:lvlText w:val="%1."/>
      <w:numFmt w:val="decimal"/>
      <w:start w:val="13"/>
    </w:lvl>
  </w:abstractNum>
  <w:abstractNum w:abstractNumId="57">
    <w:nsid w:val="6A5EE64"/>
    <w:multiLevelType w:val="hybridMultilevel"/>
    <w:lvl w:ilvl="0">
      <w:lvlJc w:val="left"/>
      <w:lvlText w:val="%1."/>
      <w:numFmt w:val="decimal"/>
      <w:start w:val="14"/>
    </w:lvl>
  </w:abstractNum>
  <w:abstractNum w:abstractNumId="58">
    <w:nsid w:val="14330624"/>
    <w:multiLevelType w:val="hybridMultilevel"/>
    <w:lvl w:ilvl="0">
      <w:lvlJc w:val="left"/>
      <w:lvlText w:val="%1."/>
      <w:numFmt w:val="decimal"/>
      <w:start w:val="14"/>
    </w:lvl>
  </w:abstractNum>
  <w:abstractNum w:abstractNumId="59">
    <w:nsid w:val="7FFFCA11"/>
    <w:multiLevelType w:val="hybridMultilevel"/>
    <w:lvl w:ilvl="0">
      <w:lvlJc w:val="left"/>
      <w:lvlText w:val="(%1)"/>
      <w:numFmt w:val="lowerLetter"/>
      <w:start w:val="1"/>
    </w:lvl>
    <w:lvl w:ilvl="1">
      <w:lvlJc w:val="left"/>
      <w:lvlText w:val="-"/>
      <w:numFmt w:val="bullet"/>
      <w:start w:val="1"/>
    </w:lvl>
  </w:abstractNum>
  <w:abstractNum w:abstractNumId="60">
    <w:nsid w:val="1A27709E"/>
    <w:multiLevelType w:val="hybridMultilevel"/>
    <w:lvl w:ilvl="0">
      <w:lvlJc w:val="left"/>
      <w:lvlText w:val="%1."/>
      <w:numFmt w:val="decimal"/>
      <w:start w:val="14"/>
    </w:lvl>
  </w:abstractNum>
  <w:abstractNum w:abstractNumId="61">
    <w:nsid w:val="71EA1109"/>
    <w:multiLevelType w:val="hybridMultilevel"/>
    <w:lvl w:ilvl="0">
      <w:lvlJc w:val="left"/>
      <w:lvlText w:val="(%1)"/>
      <w:numFmt w:val="lowerLetter"/>
      <w:start w:val="2"/>
    </w:lvl>
  </w:abstractNum>
  <w:abstractNum w:abstractNumId="62">
    <w:nsid w:val="100F59DC"/>
    <w:multiLevelType w:val="hybridMultilevel"/>
    <w:lvl w:ilvl="0">
      <w:lvlJc w:val="left"/>
      <w:lvlText w:val="%1."/>
      <w:numFmt w:val="decimal"/>
      <w:start w:val="15"/>
    </w:lvl>
  </w:abstractNum>
  <w:abstractNum w:abstractNumId="63">
    <w:nsid w:val="7FB7E0AA"/>
    <w:multiLevelType w:val="hybridMultilevel"/>
    <w:lvl w:ilvl="0">
      <w:lvlJc w:val="left"/>
      <w:lvlText w:val="%1."/>
      <w:numFmt w:val="decimal"/>
      <w:start w:val="16"/>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1"/>
    </w:lvl>
    <w:lvl w:ilvl="1">
      <w:lvlJc w:val="left"/>
      <w:lvlText w:val="-"/>
      <w:numFmt w:val="bullet"/>
      <w:start w:val="1"/>
    </w:lvl>
  </w:abstractNum>
  <w:abstractNum w:abstractNumId="67">
    <w:nsid w:val="885E1B"/>
    <w:multiLevelType w:val="hybridMultilevel"/>
    <w:lvl w:ilvl="0">
      <w:lvlJc w:val="left"/>
      <w:lvlText w:val="(%1)"/>
      <w:numFmt w:val="lowerLetter"/>
      <w:start w:val="1"/>
    </w:lvl>
  </w:abstractNum>
  <w:abstractNum w:abstractNumId="68">
    <w:nsid w:val="76272110"/>
    <w:multiLevelType w:val="hybridMultilevel"/>
    <w:lvl w:ilvl="0">
      <w:lvlJc w:val="left"/>
      <w:lvlText w:val="•"/>
      <w:numFmt w:val="bullet"/>
      <w:start w:val="1"/>
    </w:lvl>
    <w:lvl w:ilvl="1">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decimal"/>
      <w:start w:val="3"/>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2"/>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lowerLetter"/>
      <w:start w:val="3"/>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1)"/>
      <w:numFmt w:val="lowerLetter"/>
      <w:start w:val="1"/>
    </w:lvl>
  </w:abstractNum>
  <w:abstractNum w:abstractNumId="81">
    <w:nsid w:val="43F18422"/>
    <w:multiLevelType w:val="hybridMultilevel"/>
    <w:lvl w:ilvl="0">
      <w:lvlJc w:val="left"/>
      <w:lvlText w:val="(%1)"/>
      <w:numFmt w:val="lowerLetter"/>
      <w:start w:val="3"/>
    </w:lvl>
  </w:abstractNum>
  <w:abstractNum w:abstractNumId="82">
    <w:nsid w:val="60EF0119"/>
    <w:multiLevelType w:val="hybridMultilevel"/>
    <w:lvl w:ilvl="0">
      <w:lvlJc w:val="left"/>
      <w:lvlText w:val="(%1)"/>
      <w:numFmt w:val="lowerLetter"/>
      <w:start w:val="1"/>
    </w:lvl>
    <w:lvl w:ilvl="1">
      <w:lvlJc w:val="left"/>
      <w:lvlText w:val="(%2)"/>
      <w:numFmt w:val="lowerRoman"/>
      <w:start w:val="1"/>
    </w:lvl>
  </w:abstractNum>
  <w:abstractNum w:abstractNumId="83">
    <w:nsid w:val="26F324BA"/>
    <w:multiLevelType w:val="hybridMultilevel"/>
    <w:lvl w:ilvl="0">
      <w:lvlJc w:val="left"/>
      <w:lvlText w:val="(%1)"/>
      <w:numFmt w:val="lowerLetter"/>
      <w:start w:val="1"/>
    </w:lvl>
    <w:lvl w:ilvl="1">
      <w:lvlJc w:val="left"/>
      <w:lvlText w:val="(%2)"/>
      <w:numFmt w:val="lowerRoman"/>
      <w:start w:val="1"/>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Letter"/>
      <w:start w:val="1"/>
    </w:lvl>
  </w:abstractNum>
  <w:abstractNum w:abstractNumId="86">
    <w:nsid w:val="7055A5F5"/>
    <w:multiLevelType w:val="hybridMultilevel"/>
    <w:lvl w:ilvl="0">
      <w:lvlJc w:val="left"/>
      <w:lvlText w:val="(%1)"/>
      <w:numFmt w:val="lowerLetter"/>
      <w:start w:val="1"/>
    </w:lvl>
  </w:abstractNum>
  <w:abstractNum w:abstractNumId="87">
    <w:nsid w:val="5FB8370B"/>
    <w:multiLevelType w:val="hybridMultilevel"/>
    <w:lvl w:ilvl="0">
      <w:lvlJc w:val="left"/>
      <w:lvlText w:val="(%1)"/>
      <w:numFmt w:val="lowerRoman"/>
      <w:start w:val="1"/>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90">
    <w:nsid w:val="5FB8011C"/>
    <w:multiLevelType w:val="hybridMultilevel"/>
    <w:lvl w:ilvl="0">
      <w:lvlJc w:val="left"/>
      <w:lvlText w:val="(%1)"/>
      <w:numFmt w:val="lowerLetter"/>
      <w:start w:val="2"/>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lowerLetter"/>
      <w:start w:val="1"/>
    </w:lvl>
    <w:lvl w:ilvl="1">
      <w:lvlJc w:val="left"/>
      <w:lvlText w:val="(%2)"/>
      <w:numFmt w:val="decimal"/>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decimal"/>
      <w:start w:val="5"/>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5"/>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2019-12-29T11:12:30Z</dcterms:created>
  <dcterms:modified xsi:type="dcterms:W3CDTF">2019-12-29T11:12:30Z</dcterms:modified>
</cp:coreProperties>
</file>