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149860</wp:posOffset>
            </wp:positionV>
            <wp:extent cx="64852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5255" cy="24765"/>
                    </a:xfrm>
                    <a:prstGeom prst="rect">
                      <a:avLst/>
                    </a:prstGeom>
                    <a:noFill/>
                  </pic:spPr>
                </pic:pic>
              </a:graphicData>
            </a:graphic>
          </wp:anchor>
        </w:drawing>
      </w:r>
    </w:p>
    <w:p>
      <w:pPr>
        <w:spacing w:after="0" w:line="228"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0"/>
          <w:szCs w:val="20"/>
          <w:color w:val="auto"/>
        </w:rPr>
      </w:pPr>
    </w:p>
    <w:p>
      <w:pPr>
        <w:jc w:val="center"/>
        <w:ind w:right="-579"/>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26"/>
          <w:szCs w:val="26"/>
          <w:b w:val="1"/>
          <w:bCs w:val="1"/>
          <w:color w:val="auto"/>
        </w:rPr>
        <w:t>Form 10-K</w:t>
      </w:r>
    </w:p>
    <w:p>
      <w:pPr>
        <w:spacing w:after="0" w:line="24" w:lineRule="exact"/>
        <w:rPr>
          <w:sz w:val="20"/>
          <w:szCs w:val="20"/>
          <w:color w:val="auto"/>
        </w:rPr>
      </w:pPr>
    </w:p>
    <w:p>
      <w:pPr>
        <w:ind w:left="1300" w:hanging="695"/>
        <w:spacing w:after="0"/>
        <w:tabs>
          <w:tab w:leader="none" w:pos="13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For the fiscal year ended December 31, 2010</w:t>
      </w:r>
    </w:p>
    <w:p>
      <w:pPr>
        <w:spacing w:after="0" w:line="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w:t>
      </w:r>
    </w:p>
    <w:p>
      <w:pPr>
        <w:spacing w:after="0" w:line="15" w:lineRule="exact"/>
        <w:rPr>
          <w:sz w:val="20"/>
          <w:szCs w:val="20"/>
          <w:color w:val="auto"/>
        </w:rPr>
      </w:pPr>
    </w:p>
    <w:p>
      <w:pPr>
        <w:ind w:left="1300" w:hanging="664"/>
        <w:spacing w:after="0"/>
        <w:tabs>
          <w:tab w:leader="none" w:pos="13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6" w:lineRule="exact"/>
        <w:rPr>
          <w:sz w:val="20"/>
          <w:szCs w:val="20"/>
          <w:color w:val="auto"/>
        </w:rPr>
      </w:pPr>
    </w:p>
    <w:p>
      <w:pPr>
        <w:jc w:val="center"/>
        <w:ind w:right="-579"/>
        <w:spacing w:after="0"/>
        <w:rPr>
          <w:sz w:val="20"/>
          <w:szCs w:val="20"/>
          <w:color w:val="auto"/>
        </w:rPr>
      </w:pPr>
      <w:r>
        <w:rPr>
          <w:rFonts w:ascii="Arial" w:cs="Arial" w:eastAsia="Arial" w:hAnsi="Arial"/>
          <w:sz w:val="13"/>
          <w:szCs w:val="13"/>
          <w:b w:val="1"/>
          <w:bCs w:val="1"/>
          <w:color w:val="auto"/>
        </w:rPr>
        <w:t>Commission file number 1-9861</w:t>
      </w:r>
    </w:p>
    <w:p>
      <w:pPr>
        <w:spacing w:after="0" w:line="21" w:lineRule="exact"/>
        <w:rPr>
          <w:sz w:val="20"/>
          <w:szCs w:val="20"/>
          <w:color w:val="auto"/>
        </w:rPr>
      </w:pPr>
    </w:p>
    <w:p>
      <w:pPr>
        <w:jc w:val="center"/>
        <w:ind w:right="-579"/>
        <w:spacing w:after="0"/>
        <w:rPr>
          <w:sz w:val="20"/>
          <w:szCs w:val="20"/>
          <w:color w:val="auto"/>
        </w:rPr>
      </w:pPr>
      <w:r>
        <w:rPr>
          <w:rFonts w:ascii="Arial" w:cs="Arial" w:eastAsia="Arial" w:hAnsi="Arial"/>
          <w:sz w:val="37"/>
          <w:szCs w:val="37"/>
          <w:b w:val="1"/>
          <w:bCs w:val="1"/>
          <w:color w:val="auto"/>
        </w:rPr>
        <w:t>M&amp;T BANK CORPORATION</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65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7"/>
              </w:rPr>
              <w:t>New York</w:t>
            </w:r>
          </w:p>
        </w:tc>
        <w:tc>
          <w:tcPr>
            <w:tcW w:w="3660" w:type="dxa"/>
            <w:vAlign w:val="bottom"/>
            <w:gridSpan w:val="2"/>
          </w:tcPr>
          <w:p>
            <w:pPr>
              <w:jc w:val="right"/>
              <w:ind w:right="2088"/>
              <w:spacing w:after="0"/>
              <w:rPr>
                <w:sz w:val="20"/>
                <w:szCs w:val="20"/>
                <w:color w:val="auto"/>
              </w:rPr>
            </w:pPr>
            <w:r>
              <w:rPr>
                <w:rFonts w:ascii="Arial" w:cs="Arial" w:eastAsia="Arial" w:hAnsi="Arial"/>
                <w:sz w:val="14"/>
                <w:szCs w:val="14"/>
                <w:b w:val="1"/>
                <w:bCs w:val="1"/>
                <w:color w:val="auto"/>
              </w:rPr>
              <w:t>16-0968385</w:t>
            </w:r>
          </w:p>
        </w:tc>
      </w:tr>
      <w:tr>
        <w:trPr>
          <w:trHeight w:val="149"/>
        </w:trPr>
        <w:tc>
          <w:tcPr>
            <w:tcW w:w="6540" w:type="dxa"/>
            <w:vAlign w:val="bottom"/>
            <w:gridSpan w:val="3"/>
          </w:tcPr>
          <w:p>
            <w:pPr>
              <w:jc w:val="center"/>
              <w:ind w:right="1420"/>
              <w:spacing w:after="0"/>
              <w:rPr>
                <w:sz w:val="20"/>
                <w:szCs w:val="20"/>
                <w:color w:val="auto"/>
              </w:rPr>
            </w:pPr>
            <w:r>
              <w:rPr>
                <w:rFonts w:ascii="Arial" w:cs="Arial" w:eastAsia="Arial" w:hAnsi="Arial"/>
                <w:sz w:val="12"/>
                <w:szCs w:val="12"/>
                <w:i w:val="1"/>
                <w:iCs w:val="1"/>
                <w:color w:val="auto"/>
                <w:w w:val="91"/>
              </w:rPr>
              <w:t>(State of incorporation)</w:t>
            </w:r>
          </w:p>
        </w:tc>
        <w:tc>
          <w:tcPr>
            <w:tcW w:w="3660" w:type="dxa"/>
            <w:vAlign w:val="bottom"/>
            <w:gridSpan w:val="2"/>
          </w:tcPr>
          <w:p>
            <w:pPr>
              <w:jc w:val="center"/>
              <w:ind w:right="1268"/>
              <w:spacing w:after="0"/>
              <w:rPr>
                <w:sz w:val="20"/>
                <w:szCs w:val="20"/>
                <w:color w:val="auto"/>
              </w:rPr>
            </w:pPr>
            <w:r>
              <w:rPr>
                <w:rFonts w:ascii="Arial" w:cs="Arial" w:eastAsia="Arial" w:hAnsi="Arial"/>
                <w:sz w:val="12"/>
                <w:szCs w:val="12"/>
                <w:i w:val="1"/>
                <w:iCs w:val="1"/>
                <w:color w:val="auto"/>
                <w:w w:val="90"/>
              </w:rPr>
              <w:t>(I.R.S. Employer Identification No.)</w:t>
            </w:r>
          </w:p>
        </w:tc>
      </w:tr>
      <w:tr>
        <w:trPr>
          <w:trHeight w:val="274"/>
        </w:trPr>
        <w:tc>
          <w:tcPr>
            <w:tcW w:w="65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7"/>
              </w:rPr>
              <w:t>One M&amp;T Plaza, Buffalo, New York</w:t>
            </w:r>
          </w:p>
        </w:tc>
        <w:tc>
          <w:tcPr>
            <w:tcW w:w="3660" w:type="dxa"/>
            <w:vAlign w:val="bottom"/>
            <w:gridSpan w:val="2"/>
          </w:tcPr>
          <w:p>
            <w:pPr>
              <w:jc w:val="right"/>
              <w:ind w:right="2248"/>
              <w:spacing w:after="0"/>
              <w:rPr>
                <w:sz w:val="20"/>
                <w:szCs w:val="20"/>
                <w:color w:val="auto"/>
              </w:rPr>
            </w:pPr>
            <w:r>
              <w:rPr>
                <w:rFonts w:ascii="Arial" w:cs="Arial" w:eastAsia="Arial" w:hAnsi="Arial"/>
                <w:sz w:val="14"/>
                <w:szCs w:val="14"/>
                <w:b w:val="1"/>
                <w:bCs w:val="1"/>
                <w:color w:val="auto"/>
              </w:rPr>
              <w:t>14203</w:t>
            </w:r>
          </w:p>
        </w:tc>
      </w:tr>
      <w:tr>
        <w:trPr>
          <w:trHeight w:val="149"/>
        </w:trPr>
        <w:tc>
          <w:tcPr>
            <w:tcW w:w="6540" w:type="dxa"/>
            <w:vAlign w:val="bottom"/>
            <w:gridSpan w:val="3"/>
          </w:tcPr>
          <w:p>
            <w:pPr>
              <w:jc w:val="center"/>
              <w:ind w:right="1440"/>
              <w:spacing w:after="0"/>
              <w:rPr>
                <w:sz w:val="20"/>
                <w:szCs w:val="20"/>
                <w:color w:val="auto"/>
              </w:rPr>
            </w:pPr>
            <w:r>
              <w:rPr>
                <w:rFonts w:ascii="Arial" w:cs="Arial" w:eastAsia="Arial" w:hAnsi="Arial"/>
                <w:sz w:val="12"/>
                <w:szCs w:val="12"/>
                <w:i w:val="1"/>
                <w:iCs w:val="1"/>
                <w:color w:val="auto"/>
                <w:w w:val="90"/>
              </w:rPr>
              <w:t>(Address of principal executive offices)</w:t>
            </w:r>
          </w:p>
        </w:tc>
        <w:tc>
          <w:tcPr>
            <w:tcW w:w="3660" w:type="dxa"/>
            <w:vAlign w:val="bottom"/>
            <w:gridSpan w:val="2"/>
          </w:tcPr>
          <w:p>
            <w:pPr>
              <w:jc w:val="center"/>
              <w:ind w:right="1268"/>
              <w:spacing w:after="0"/>
              <w:rPr>
                <w:sz w:val="20"/>
                <w:szCs w:val="20"/>
                <w:color w:val="auto"/>
              </w:rPr>
            </w:pPr>
            <w:r>
              <w:rPr>
                <w:rFonts w:ascii="Arial" w:cs="Arial" w:eastAsia="Arial" w:hAnsi="Arial"/>
                <w:sz w:val="12"/>
                <w:szCs w:val="12"/>
                <w:i w:val="1"/>
                <w:iCs w:val="1"/>
                <w:color w:val="auto"/>
                <w:w w:val="91"/>
              </w:rPr>
              <w:t>(Zip Code)</w:t>
            </w:r>
          </w:p>
        </w:tc>
      </w:tr>
      <w:tr>
        <w:trPr>
          <w:trHeight w:val="205"/>
        </w:trPr>
        <w:tc>
          <w:tcPr>
            <w:tcW w:w="7740" w:type="dxa"/>
            <w:vAlign w:val="bottom"/>
            <w:gridSpan w:val="4"/>
          </w:tcPr>
          <w:p>
            <w:pPr>
              <w:jc w:val="center"/>
              <w:ind w:left="239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60" w:type="dxa"/>
            <w:vAlign w:val="bottom"/>
          </w:tcPr>
          <w:p>
            <w:pPr>
              <w:spacing w:after="0"/>
              <w:rPr>
                <w:sz w:val="17"/>
                <w:szCs w:val="17"/>
                <w:color w:val="auto"/>
              </w:rPr>
            </w:pPr>
          </w:p>
        </w:tc>
      </w:tr>
      <w:tr>
        <w:trPr>
          <w:trHeight w:val="167"/>
        </w:trPr>
        <w:tc>
          <w:tcPr>
            <w:tcW w:w="6540" w:type="dxa"/>
            <w:vAlign w:val="bottom"/>
            <w:gridSpan w:val="3"/>
          </w:tcPr>
          <w:p>
            <w:pPr>
              <w:jc w:val="center"/>
              <w:ind w:left="3572"/>
              <w:spacing w:after="0"/>
              <w:rPr>
                <w:sz w:val="20"/>
                <w:szCs w:val="20"/>
                <w:color w:val="auto"/>
              </w:rPr>
            </w:pPr>
            <w:r>
              <w:rPr>
                <w:rFonts w:ascii="Arial" w:cs="Arial" w:eastAsia="Arial" w:hAnsi="Arial"/>
                <w:sz w:val="14"/>
                <w:szCs w:val="14"/>
                <w:b w:val="1"/>
                <w:bCs w:val="1"/>
                <w:color w:val="auto"/>
                <w:w w:val="94"/>
              </w:rPr>
              <w:t>716-842-5445</w:t>
            </w:r>
          </w:p>
        </w:tc>
        <w:tc>
          <w:tcPr>
            <w:tcW w:w="12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86"/>
        </w:trPr>
        <w:tc>
          <w:tcPr>
            <w:tcW w:w="7740" w:type="dxa"/>
            <w:vAlign w:val="bottom"/>
            <w:gridSpan w:val="4"/>
          </w:tcPr>
          <w:p>
            <w:pPr>
              <w:jc w:val="center"/>
              <w:ind w:left="2392"/>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460" w:type="dxa"/>
            <w:vAlign w:val="bottom"/>
          </w:tcPr>
          <w:p>
            <w:pPr>
              <w:spacing w:after="0"/>
              <w:rPr>
                <w:sz w:val="16"/>
                <w:szCs w:val="16"/>
                <w:color w:val="auto"/>
              </w:rPr>
            </w:pPr>
          </w:p>
        </w:tc>
      </w:tr>
      <w:tr>
        <w:trPr>
          <w:trHeight w:val="240"/>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
          </w:tcPr>
          <w:p>
            <w:pPr>
              <w:jc w:val="center"/>
              <w:ind w:right="1268"/>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202"/>
        </w:trPr>
        <w:tc>
          <w:tcPr>
            <w:tcW w:w="6540" w:type="dxa"/>
            <w:vAlign w:val="bottom"/>
            <w:gridSpan w:val="3"/>
          </w:tcPr>
          <w:p>
            <w:pPr>
              <w:jc w:val="center"/>
              <w:ind w:right="1440"/>
              <w:spacing w:after="0"/>
              <w:rPr>
                <w:sz w:val="20"/>
                <w:szCs w:val="20"/>
                <w:color w:val="auto"/>
              </w:rPr>
            </w:pPr>
            <w:r>
              <w:rPr>
                <w:rFonts w:ascii="Arial" w:cs="Arial" w:eastAsia="Arial" w:hAnsi="Arial"/>
                <w:sz w:val="14"/>
                <w:szCs w:val="14"/>
                <w:color w:val="auto"/>
                <w:w w:val="92"/>
              </w:rPr>
              <w:t>Common Stock, $.50 par value</w:t>
            </w:r>
          </w:p>
        </w:tc>
        <w:tc>
          <w:tcPr>
            <w:tcW w:w="3660" w:type="dxa"/>
            <w:vAlign w:val="bottom"/>
            <w:gridSpan w:val="2"/>
          </w:tcPr>
          <w:p>
            <w:pPr>
              <w:jc w:val="center"/>
              <w:ind w:right="1268"/>
              <w:spacing w:after="0"/>
              <w:rPr>
                <w:sz w:val="20"/>
                <w:szCs w:val="20"/>
                <w:color w:val="auto"/>
              </w:rPr>
            </w:pPr>
            <w:r>
              <w:rPr>
                <w:rFonts w:ascii="Arial" w:cs="Arial" w:eastAsia="Arial" w:hAnsi="Arial"/>
                <w:sz w:val="14"/>
                <w:szCs w:val="14"/>
                <w:color w:val="auto"/>
                <w:w w:val="94"/>
              </w:rPr>
              <w:t>New York Stock Exchange</w:t>
            </w:r>
          </w:p>
        </w:tc>
      </w:tr>
      <w:tr>
        <w:trPr>
          <w:trHeight w:val="201"/>
        </w:trPr>
        <w:tc>
          <w:tcPr>
            <w:tcW w:w="7740" w:type="dxa"/>
            <w:vAlign w:val="bottom"/>
            <w:gridSpan w:val="4"/>
          </w:tcPr>
          <w:p>
            <w:pPr>
              <w:jc w:val="center"/>
              <w:ind w:left="2392"/>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460" w:type="dxa"/>
            <w:vAlign w:val="bottom"/>
          </w:tcPr>
          <w:p>
            <w:pPr>
              <w:spacing w:after="0"/>
              <w:rPr>
                <w:sz w:val="17"/>
                <w:szCs w:val="17"/>
                <w:color w:val="auto"/>
              </w:rPr>
            </w:pPr>
          </w:p>
        </w:tc>
      </w:tr>
      <w:tr>
        <w:trPr>
          <w:trHeight w:val="167"/>
        </w:trPr>
        <w:tc>
          <w:tcPr>
            <w:tcW w:w="6540" w:type="dxa"/>
            <w:vAlign w:val="bottom"/>
            <w:gridSpan w:val="3"/>
          </w:tcPr>
          <w:p>
            <w:pPr>
              <w:jc w:val="center"/>
              <w:ind w:left="3592"/>
              <w:spacing w:after="0"/>
              <w:rPr>
                <w:sz w:val="20"/>
                <w:szCs w:val="20"/>
                <w:color w:val="auto"/>
              </w:rPr>
            </w:pPr>
            <w:r>
              <w:rPr>
                <w:rFonts w:ascii="Arial" w:cs="Arial" w:eastAsia="Arial" w:hAnsi="Arial"/>
                <w:sz w:val="14"/>
                <w:szCs w:val="14"/>
                <w:color w:val="auto"/>
                <w:w w:val="95"/>
              </w:rPr>
              <w:t>8.234% Capital Securities of M&amp;T Capital Trust I</w:t>
            </w:r>
          </w:p>
        </w:tc>
        <w:tc>
          <w:tcPr>
            <w:tcW w:w="12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3"/>
        </w:trPr>
        <w:tc>
          <w:tcPr>
            <w:tcW w:w="7740" w:type="dxa"/>
            <w:vAlign w:val="bottom"/>
            <w:gridSpan w:val="4"/>
          </w:tcPr>
          <w:p>
            <w:pPr>
              <w:jc w:val="center"/>
              <w:ind w:left="2392"/>
              <w:spacing w:after="0"/>
              <w:rPr>
                <w:sz w:val="20"/>
                <w:szCs w:val="20"/>
                <w:color w:val="auto"/>
              </w:rPr>
            </w:pPr>
            <w:r>
              <w:rPr>
                <w:rFonts w:ascii="Arial" w:cs="Arial" w:eastAsia="Arial" w:hAnsi="Arial"/>
                <w:sz w:val="14"/>
                <w:szCs w:val="14"/>
                <w:color w:val="auto"/>
                <w:w w:val="94"/>
              </w:rPr>
              <w:t>(and the Guarantee of M&amp;T Bank Corporation with respect thereto)</w:t>
            </w:r>
          </w:p>
        </w:tc>
        <w:tc>
          <w:tcPr>
            <w:tcW w:w="2460" w:type="dxa"/>
            <w:vAlign w:val="bottom"/>
          </w:tcPr>
          <w:p>
            <w:pPr>
              <w:spacing w:after="0"/>
              <w:rPr>
                <w:sz w:val="15"/>
                <w:szCs w:val="15"/>
                <w:color w:val="auto"/>
              </w:rPr>
            </w:pPr>
          </w:p>
        </w:tc>
      </w:tr>
      <w:tr>
        <w:trPr>
          <w:trHeight w:val="142"/>
        </w:trPr>
        <w:tc>
          <w:tcPr>
            <w:tcW w:w="6540" w:type="dxa"/>
            <w:vAlign w:val="bottom"/>
            <w:gridSpan w:val="3"/>
          </w:tcPr>
          <w:p>
            <w:pPr>
              <w:jc w:val="center"/>
              <w:ind w:left="3592"/>
              <w:spacing w:after="0"/>
              <w:rPr>
                <w:sz w:val="20"/>
                <w:szCs w:val="20"/>
                <w:color w:val="auto"/>
              </w:rPr>
            </w:pPr>
            <w:r>
              <w:rPr>
                <w:rFonts w:ascii="Arial" w:cs="Arial" w:eastAsia="Arial" w:hAnsi="Arial"/>
                <w:sz w:val="12"/>
                <w:szCs w:val="12"/>
                <w:i w:val="1"/>
                <w:iCs w:val="1"/>
                <w:color w:val="auto"/>
                <w:w w:val="90"/>
              </w:rPr>
              <w:t>(Title of class)</w:t>
            </w:r>
          </w:p>
        </w:tc>
        <w:tc>
          <w:tcPr>
            <w:tcW w:w="120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67"/>
        </w:trPr>
        <w:tc>
          <w:tcPr>
            <w:tcW w:w="6540" w:type="dxa"/>
            <w:vAlign w:val="bottom"/>
            <w:gridSpan w:val="3"/>
          </w:tcPr>
          <w:p>
            <w:pPr>
              <w:jc w:val="center"/>
              <w:ind w:left="3592"/>
              <w:spacing w:after="0"/>
              <w:rPr>
                <w:sz w:val="20"/>
                <w:szCs w:val="20"/>
                <w:color w:val="auto"/>
              </w:rPr>
            </w:pPr>
            <w:r>
              <w:rPr>
                <w:rFonts w:ascii="Arial" w:cs="Arial" w:eastAsia="Arial" w:hAnsi="Arial"/>
                <w:sz w:val="14"/>
                <w:szCs w:val="14"/>
                <w:color w:val="auto"/>
                <w:w w:val="92"/>
              </w:rPr>
              <w:t>8.234% Junior Subordinated Debentures of</w:t>
            </w:r>
          </w:p>
        </w:tc>
        <w:tc>
          <w:tcPr>
            <w:tcW w:w="12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3"/>
        </w:trPr>
        <w:tc>
          <w:tcPr>
            <w:tcW w:w="6540" w:type="dxa"/>
            <w:vAlign w:val="bottom"/>
            <w:gridSpan w:val="3"/>
          </w:tcPr>
          <w:p>
            <w:pPr>
              <w:jc w:val="center"/>
              <w:ind w:left="3592"/>
              <w:spacing w:after="0"/>
              <w:rPr>
                <w:sz w:val="20"/>
                <w:szCs w:val="20"/>
                <w:color w:val="auto"/>
              </w:rPr>
            </w:pPr>
            <w:r>
              <w:rPr>
                <w:rFonts w:ascii="Arial" w:cs="Arial" w:eastAsia="Arial" w:hAnsi="Arial"/>
                <w:sz w:val="14"/>
                <w:szCs w:val="14"/>
                <w:color w:val="auto"/>
                <w:w w:val="98"/>
              </w:rPr>
              <w:t>M&amp;T Bank Corporation</w:t>
            </w:r>
          </w:p>
        </w:tc>
        <w:tc>
          <w:tcPr>
            <w:tcW w:w="120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49"/>
        </w:trPr>
        <w:tc>
          <w:tcPr>
            <w:tcW w:w="6540" w:type="dxa"/>
            <w:vAlign w:val="bottom"/>
            <w:gridSpan w:val="3"/>
          </w:tcPr>
          <w:p>
            <w:pPr>
              <w:jc w:val="center"/>
              <w:ind w:left="3592"/>
              <w:spacing w:after="0"/>
              <w:rPr>
                <w:sz w:val="20"/>
                <w:szCs w:val="20"/>
                <w:color w:val="auto"/>
              </w:rPr>
            </w:pPr>
            <w:r>
              <w:rPr>
                <w:rFonts w:ascii="Arial" w:cs="Arial" w:eastAsia="Arial" w:hAnsi="Arial"/>
                <w:sz w:val="12"/>
                <w:szCs w:val="12"/>
                <w:i w:val="1"/>
                <w:iCs w:val="1"/>
                <w:color w:val="auto"/>
                <w:w w:val="90"/>
              </w:rPr>
              <w:t>(Title of class)</w:t>
            </w:r>
          </w:p>
        </w:tc>
        <w:tc>
          <w:tcPr>
            <w:tcW w:w="120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250"/>
        </w:trPr>
        <w:tc>
          <w:tcPr>
            <w:tcW w:w="7740" w:type="dxa"/>
            <w:vAlign w:val="bottom"/>
            <w:gridSpan w:val="4"/>
          </w:tcPr>
          <w:p>
            <w:pPr>
              <w:ind w:left="40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460" w:type="dxa"/>
            <w:vAlign w:val="bottom"/>
          </w:tcPr>
          <w:p>
            <w:pPr>
              <w:ind w:left="40"/>
              <w:spacing w:after="0"/>
              <w:rPr>
                <w:sz w:val="20"/>
                <w:szCs w:val="20"/>
                <w:color w:val="auto"/>
              </w:rPr>
            </w:pPr>
            <w:r>
              <w:rPr>
                <w:rFonts w:ascii="Arial" w:cs="Arial" w:eastAsia="Arial" w:hAnsi="Arial"/>
                <w:sz w:val="14"/>
                <w:szCs w:val="14"/>
                <w:color w:val="auto"/>
              </w:rPr>
              <w:t>No o</w:t>
            </w:r>
          </w:p>
        </w:tc>
      </w:tr>
      <w:tr>
        <w:trPr>
          <w:trHeight w:val="226"/>
        </w:trPr>
        <w:tc>
          <w:tcPr>
            <w:tcW w:w="7740" w:type="dxa"/>
            <w:vAlign w:val="bottom"/>
            <w:gridSpan w:val="4"/>
          </w:tcPr>
          <w:p>
            <w:pPr>
              <w:ind w:left="40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 o</w:t>
            </w:r>
          </w:p>
        </w:tc>
        <w:tc>
          <w:tcPr>
            <w:tcW w:w="246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8" w:lineRule="exact"/>
        <w:rPr>
          <w:sz w:val="20"/>
          <w:szCs w:val="20"/>
          <w:color w:val="auto"/>
        </w:rPr>
      </w:pPr>
    </w:p>
    <w:p>
      <w:pPr>
        <w:ind w:left="580" w:right="420" w:firstLine="408"/>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0"/>
          <w:szCs w:val="20"/>
          <w:color w:val="auto"/>
        </w:rPr>
      </w:pPr>
    </w:p>
    <w:p>
      <w:pPr>
        <w:ind w:left="580" w:right="40" w:firstLine="408"/>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0"/>
          <w:szCs w:val="20"/>
          <w:color w:val="auto"/>
        </w:rPr>
      </w:pPr>
    </w:p>
    <w:p>
      <w:pPr>
        <w:ind w:left="580" w:right="560" w:firstLine="408"/>
        <w:spacing w:after="0" w:line="307"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0"/>
          <w:szCs w:val="20"/>
          <w:color w:val="auto"/>
        </w:rPr>
      </w:pPr>
    </w:p>
    <w:p>
      <w:pPr>
        <w:ind w:left="580" w:right="120" w:firstLine="408"/>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780"/>
          </w:cols>
          <w:pgMar w:left="220" w:top="127" w:right="899" w:bottom="1440" w:gutter="0" w:footer="0" w:header="0"/>
        </w:sectPr>
      </w:pPr>
    </w:p>
    <w:p>
      <w:pPr>
        <w:spacing w:after="0" w:line="1" w:lineRule="exact"/>
        <w:rPr>
          <w:sz w:val="20"/>
          <w:szCs w:val="20"/>
          <w:color w:val="auto"/>
        </w:rPr>
      </w:pPr>
    </w:p>
    <w:p>
      <w:pPr>
        <w:ind w:left="5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Non-accelerated filer o</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08" w:lineRule="exact"/>
        <w:rPr>
          <w:sz w:val="20"/>
          <w:szCs w:val="20"/>
          <w:color w:val="auto"/>
        </w:rPr>
      </w:pPr>
    </w:p>
    <w:p>
      <w:pPr>
        <w:sectPr>
          <w:pgSz w:w="11900" w:h="16838" w:orient="portrait"/>
          <w:cols w:equalWidth="0" w:num="2">
            <w:col w:w="6500" w:space="720"/>
            <w:col w:w="3560"/>
          </w:cols>
          <w:pgMar w:left="220" w:top="127" w:right="899" w:bottom="1440" w:gutter="0" w:footer="0" w:header="0"/>
          <w:type w:val="continuous"/>
        </w:sectPr>
      </w:pPr>
    </w:p>
    <w:p>
      <w:pPr>
        <w:ind w:left="980"/>
        <w:spacing w:after="0" w:line="161" w:lineRule="exact"/>
        <w:tabs>
          <w:tab w:leader="none" w:pos="7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3" w:lineRule="exact"/>
        <w:rPr>
          <w:sz w:val="20"/>
          <w:szCs w:val="20"/>
          <w:color w:val="auto"/>
        </w:rPr>
      </w:pPr>
    </w:p>
    <w:p>
      <w:pPr>
        <w:ind w:left="580" w:right="360" w:firstLine="408"/>
        <w:spacing w:after="0" w:line="280" w:lineRule="auto"/>
        <w:rPr>
          <w:sz w:val="20"/>
          <w:szCs w:val="20"/>
          <w:color w:val="auto"/>
        </w:rPr>
      </w:pPr>
      <w:r>
        <w:rPr>
          <w:rFonts w:ascii="Arial" w:cs="Arial" w:eastAsia="Arial" w:hAnsi="Arial"/>
          <w:sz w:val="14"/>
          <w:szCs w:val="14"/>
          <w:color w:val="auto"/>
        </w:rPr>
        <w:t>Aggregate market value of the Common Stock, $0.50 par value, held by non-affiliates of the registrant, computed by reference to the closing price as of the close of business on June 30, 2010: $6,778,614,643.</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Number of shares of the Common Stock, $0.50 par value, outstanding as of the close of business on January 31, 2011: 120,207,579 shares.</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(1) Portions of the Proxy Statement for the 2011 Annual Meeting of Shareholders of M&amp;T Bank Corporation in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55880</wp:posOffset>
            </wp:positionV>
            <wp:extent cx="648525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525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127" w:right="89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M&amp;T BANK CORPORATION</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Form 10-K for the year ended December 31, 2010</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CROSS-REFERENCE SHEET</w:t>
      </w:r>
    </w:p>
    <w:p>
      <w:pPr>
        <w:spacing w:after="0" w:line="179"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Form 10-K</w:t>
      </w:r>
    </w:p>
    <w:p>
      <w:pPr>
        <w:spacing w:after="0" w:line="5"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-635</wp:posOffset>
            </wp:positionV>
            <wp:extent cx="10737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3785" cy="6350"/>
                    </a:xfrm>
                    <a:prstGeom prst="rect">
                      <a:avLst/>
                    </a:prstGeom>
                    <a:noFill/>
                  </pic:spPr>
                </pic:pic>
              </a:graphicData>
            </a:graphic>
          </wp:anchor>
        </w:drawing>
      </w:r>
    </w:p>
    <w:p>
      <w:pPr>
        <w:spacing w:after="0" w:line="14" w:lineRule="exact"/>
        <w:rPr>
          <w:sz w:val="20"/>
          <w:szCs w:val="20"/>
          <w:color w:val="auto"/>
        </w:rPr>
      </w:pPr>
    </w:p>
    <w:p>
      <w:pPr>
        <w:jc w:val="center"/>
        <w:ind w:right="100"/>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PART I</w:t>
        </w:r>
      </w:hyperlink>
    </w:p>
    <w:tbl>
      <w:tblPr>
        <w:tblLayout w:type="fixed"/>
        <w:tblInd w:w="680" w:type="dxa"/>
        <w:tblCellMar>
          <w:top w:w="0" w:type="dxa"/>
          <w:left w:w="0" w:type="dxa"/>
          <w:bottom w:w="0" w:type="dxa"/>
          <w:right w:w="0" w:type="dxa"/>
        </w:tblCellMar>
      </w:tblPr>
      <w:tr>
        <w:trPr>
          <w:trHeight w:val="148"/>
        </w:trPr>
        <w:tc>
          <w:tcPr>
            <w:tcW w:w="880" w:type="dxa"/>
            <w:vAlign w:val="bottom"/>
            <w:tcBorders>
              <w:bottom w:val="single" w:sz="8" w:color="0000EE"/>
            </w:tcBorders>
          </w:tcPr>
          <w:p>
            <w:pPr>
              <w:spacing w:after="0" w:line="149" w:lineRule="exact"/>
              <w:rPr>
                <w:rFonts w:ascii="Arial" w:cs="Arial" w:eastAsia="Arial" w:hAnsi="Arial"/>
                <w:sz w:val="13"/>
                <w:szCs w:val="13"/>
                <w:color w:val="0000EE"/>
                <w:w w:val="89"/>
              </w:rPr>
            </w:pPr>
            <w:hyperlink w:anchor="page5">
              <w:r>
                <w:rPr>
                  <w:rFonts w:ascii="Arial" w:cs="Arial" w:eastAsia="Arial" w:hAnsi="Arial"/>
                  <w:sz w:val="13"/>
                  <w:szCs w:val="13"/>
                  <w:color w:val="0000EE"/>
                  <w:w w:val="89"/>
                </w:rPr>
                <w:t>Item 1. Business</w:t>
              </w:r>
            </w:hyperlink>
          </w:p>
        </w:tc>
        <w:tc>
          <w:tcPr>
            <w:tcW w:w="9100" w:type="dxa"/>
            <w:vAlign w:val="bottom"/>
          </w:tcPr>
          <w:p>
            <w:pPr>
              <w:jc w:val="right"/>
              <w:spacing w:after="0" w:line="149" w:lineRule="exact"/>
              <w:rPr>
                <w:sz w:val="20"/>
                <w:szCs w:val="20"/>
                <w:color w:val="auto"/>
              </w:rPr>
            </w:pPr>
            <w:r>
              <w:rPr>
                <w:rFonts w:ascii="Arial" w:cs="Arial" w:eastAsia="Arial" w:hAnsi="Arial"/>
                <w:sz w:val="13"/>
                <w:szCs w:val="13"/>
                <w:color w:val="auto"/>
              </w:rPr>
              <w:t>4</w:t>
            </w:r>
          </w:p>
        </w:tc>
      </w:tr>
    </w:tbl>
    <w:p>
      <w:pPr>
        <w:spacing w:after="0" w:line="168" w:lineRule="exact"/>
        <w:rPr>
          <w:sz w:val="20"/>
          <w:szCs w:val="20"/>
          <w:color w:val="auto"/>
        </w:rPr>
      </w:pPr>
    </w:p>
    <w:p>
      <w:pPr>
        <w:ind w:left="1900" w:hanging="504"/>
        <w:spacing w:after="0"/>
        <w:tabs>
          <w:tab w:leader="none" w:pos="1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Distribution of assets, liabilities, and shareholders’ equity; interest rates and interest differential</w:t>
      </w:r>
    </w:p>
    <w:p>
      <w:pPr>
        <w:spacing w:after="0" w:line="15" w:lineRule="exact"/>
        <w:rPr>
          <w:sz w:val="20"/>
          <w:szCs w:val="20"/>
          <w:color w:val="auto"/>
        </w:rPr>
      </w:pPr>
    </w:p>
    <w:tbl>
      <w:tblPr>
        <w:tblLayout w:type="fixed"/>
        <w:tblInd w:w="1900" w:type="dxa"/>
        <w:tblCellMar>
          <w:top w:w="0" w:type="dxa"/>
          <w:left w:w="0" w:type="dxa"/>
          <w:bottom w:w="0" w:type="dxa"/>
          <w:right w:w="0" w:type="dxa"/>
        </w:tblCellMar>
      </w:tblPr>
      <w:tr>
        <w:trPr>
          <w:trHeight w:val="160"/>
        </w:trPr>
        <w:tc>
          <w:tcPr>
            <w:tcW w:w="5080" w:type="dxa"/>
            <w:vAlign w:val="bottom"/>
          </w:tcPr>
          <w:p>
            <w:pPr>
              <w:spacing w:after="0"/>
              <w:rPr>
                <w:sz w:val="20"/>
                <w:szCs w:val="20"/>
                <w:color w:val="auto"/>
              </w:rPr>
            </w:pPr>
            <w:r>
              <w:rPr>
                <w:rFonts w:ascii="Arial" w:cs="Arial" w:eastAsia="Arial" w:hAnsi="Arial"/>
                <w:sz w:val="13"/>
                <w:szCs w:val="13"/>
                <w:color w:val="auto"/>
              </w:rPr>
              <w:t>A.   Average balance sheets</w:t>
            </w:r>
          </w:p>
        </w:tc>
        <w:tc>
          <w:tcPr>
            <w:tcW w:w="3680" w:type="dxa"/>
            <w:vAlign w:val="bottom"/>
          </w:tcPr>
          <w:p>
            <w:pPr>
              <w:jc w:val="right"/>
              <w:spacing w:after="0"/>
              <w:rPr>
                <w:sz w:val="20"/>
                <w:szCs w:val="20"/>
                <w:color w:val="auto"/>
              </w:rPr>
            </w:pPr>
            <w:r>
              <w:rPr>
                <w:rFonts w:ascii="Arial" w:cs="Arial" w:eastAsia="Arial" w:hAnsi="Arial"/>
                <w:sz w:val="13"/>
                <w:szCs w:val="13"/>
                <w:color w:val="auto"/>
              </w:rPr>
              <w:t>45</w:t>
            </w:r>
          </w:p>
        </w:tc>
      </w:tr>
    </w:tbl>
    <w:p>
      <w:pPr>
        <w:ind w:left="2200" w:hanging="293"/>
        <w:spacing w:after="0"/>
        <w:tabs>
          <w:tab w:leader="none" w:pos="2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Interest income/expense and resulting yield or rate on average interest-earning assets (including non-accrual loans) and</w:t>
      </w:r>
    </w:p>
    <w:p>
      <w:pPr>
        <w:spacing w:after="0" w:line="5" w:lineRule="exact"/>
        <w:rPr>
          <w:sz w:val="20"/>
          <w:szCs w:val="20"/>
          <w:color w:val="auto"/>
        </w:rPr>
      </w:pPr>
    </w:p>
    <w:tbl>
      <w:tblPr>
        <w:tblLayout w:type="fixed"/>
        <w:tblInd w:w="1400" w:type="dxa"/>
        <w:tblCellMar>
          <w:top w:w="0" w:type="dxa"/>
          <w:left w:w="0" w:type="dxa"/>
          <w:bottom w:w="0" w:type="dxa"/>
          <w:right w:w="0" w:type="dxa"/>
        </w:tblCellMar>
      </w:tblPr>
      <w:tr>
        <w:trPr>
          <w:trHeight w:val="150"/>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60" w:type="dxa"/>
            <w:vAlign w:val="bottom"/>
          </w:tcPr>
          <w:p>
            <w:pPr>
              <w:ind w:left="80"/>
              <w:spacing w:after="0"/>
              <w:rPr>
                <w:sz w:val="20"/>
                <w:szCs w:val="20"/>
                <w:color w:val="auto"/>
              </w:rPr>
            </w:pPr>
            <w:r>
              <w:rPr>
                <w:rFonts w:ascii="Arial" w:cs="Arial" w:eastAsia="Arial" w:hAnsi="Arial"/>
                <w:sz w:val="13"/>
                <w:szCs w:val="13"/>
                <w:color w:val="auto"/>
              </w:rPr>
              <w:t>interest-bearing liabilities</w:t>
            </w:r>
          </w:p>
        </w:tc>
        <w:tc>
          <w:tcPr>
            <w:tcW w:w="20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32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C.</w:t>
            </w:r>
          </w:p>
        </w:tc>
        <w:tc>
          <w:tcPr>
            <w:tcW w:w="6460" w:type="dxa"/>
            <w:vAlign w:val="bottom"/>
          </w:tcPr>
          <w:p>
            <w:pPr>
              <w:ind w:left="80"/>
              <w:spacing w:after="0"/>
              <w:rPr>
                <w:sz w:val="20"/>
                <w:szCs w:val="20"/>
                <w:color w:val="auto"/>
              </w:rPr>
            </w:pPr>
            <w:r>
              <w:rPr>
                <w:rFonts w:ascii="Arial" w:cs="Arial" w:eastAsia="Arial" w:hAnsi="Arial"/>
                <w:sz w:val="13"/>
                <w:szCs w:val="13"/>
                <w:color w:val="auto"/>
              </w:rPr>
              <w:t>Rate/volume variances</w:t>
            </w:r>
          </w:p>
        </w:tc>
        <w:tc>
          <w:tcPr>
            <w:tcW w:w="20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320" w:type="dxa"/>
            <w:vAlign w:val="bottom"/>
          </w:tcPr>
          <w:p>
            <w:pPr>
              <w:spacing w:after="0"/>
              <w:rPr>
                <w:sz w:val="20"/>
                <w:szCs w:val="20"/>
                <w:color w:val="auto"/>
              </w:rPr>
            </w:pPr>
            <w:r>
              <w:rPr>
                <w:rFonts w:ascii="Arial" w:cs="Arial" w:eastAsia="Arial" w:hAnsi="Arial"/>
                <w:sz w:val="13"/>
                <w:szCs w:val="13"/>
                <w:color w:val="auto"/>
              </w:rPr>
              <w:t>II.</w:t>
            </w:r>
          </w:p>
        </w:tc>
        <w:tc>
          <w:tcPr>
            <w:tcW w:w="6860" w:type="dxa"/>
            <w:vAlign w:val="bottom"/>
            <w:gridSpan w:val="2"/>
          </w:tcPr>
          <w:p>
            <w:pPr>
              <w:ind w:left="180"/>
              <w:spacing w:after="0"/>
              <w:rPr>
                <w:sz w:val="20"/>
                <w:szCs w:val="20"/>
                <w:color w:val="auto"/>
              </w:rPr>
            </w:pPr>
            <w:r>
              <w:rPr>
                <w:rFonts w:ascii="Arial" w:cs="Arial" w:eastAsia="Arial" w:hAnsi="Arial"/>
                <w:sz w:val="13"/>
                <w:szCs w:val="13"/>
                <w:color w:val="auto"/>
              </w:rPr>
              <w:t>Investment portfolio</w:t>
            </w:r>
          </w:p>
        </w:tc>
        <w:tc>
          <w:tcPr>
            <w:tcW w:w="2080" w:type="dxa"/>
            <w:vAlign w:val="bottom"/>
          </w:tcPr>
          <w:p>
            <w:pPr>
              <w:spacing w:after="0"/>
              <w:rPr>
                <w:sz w:val="13"/>
                <w:szCs w:val="13"/>
                <w:color w:val="auto"/>
              </w:rPr>
            </w:pPr>
          </w:p>
        </w:tc>
      </w:tr>
      <w:tr>
        <w:trPr>
          <w:trHeight w:val="157"/>
        </w:trPr>
        <w:tc>
          <w:tcPr>
            <w:tcW w:w="32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A</w:t>
            </w:r>
          </w:p>
        </w:tc>
        <w:tc>
          <w:tcPr>
            <w:tcW w:w="6460" w:type="dxa"/>
            <w:vAlign w:val="bottom"/>
          </w:tcPr>
          <w:p>
            <w:pPr>
              <w:ind w:left="80"/>
              <w:spacing w:after="0"/>
              <w:rPr>
                <w:sz w:val="20"/>
                <w:szCs w:val="20"/>
                <w:color w:val="auto"/>
              </w:rPr>
            </w:pPr>
            <w:r>
              <w:rPr>
                <w:rFonts w:ascii="Arial" w:cs="Arial" w:eastAsia="Arial" w:hAnsi="Arial"/>
                <w:sz w:val="13"/>
                <w:szCs w:val="13"/>
                <w:color w:val="auto"/>
              </w:rPr>
              <w:t>Year-end balances</w:t>
            </w:r>
          </w:p>
        </w:tc>
        <w:tc>
          <w:tcPr>
            <w:tcW w:w="20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32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B.</w:t>
            </w:r>
          </w:p>
        </w:tc>
        <w:tc>
          <w:tcPr>
            <w:tcW w:w="6460" w:type="dxa"/>
            <w:vAlign w:val="bottom"/>
          </w:tcPr>
          <w:p>
            <w:pPr>
              <w:ind w:left="80"/>
              <w:spacing w:after="0"/>
              <w:rPr>
                <w:sz w:val="20"/>
                <w:szCs w:val="20"/>
                <w:color w:val="auto"/>
              </w:rPr>
            </w:pPr>
            <w:r>
              <w:rPr>
                <w:rFonts w:ascii="Arial" w:cs="Arial" w:eastAsia="Arial" w:hAnsi="Arial"/>
                <w:sz w:val="13"/>
                <w:szCs w:val="13"/>
                <w:color w:val="auto"/>
              </w:rPr>
              <w:t>Maturity schedule and weighted average yield</w:t>
            </w:r>
          </w:p>
        </w:tc>
        <w:tc>
          <w:tcPr>
            <w:tcW w:w="20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5"/>
        </w:trPr>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C.</w:t>
            </w:r>
          </w:p>
        </w:tc>
        <w:tc>
          <w:tcPr>
            <w:tcW w:w="6460" w:type="dxa"/>
            <w:vAlign w:val="bottom"/>
          </w:tcPr>
          <w:p>
            <w:pPr>
              <w:ind w:left="80"/>
              <w:spacing w:after="0"/>
              <w:rPr>
                <w:sz w:val="20"/>
                <w:szCs w:val="20"/>
                <w:color w:val="auto"/>
              </w:rPr>
            </w:pPr>
            <w:r>
              <w:rPr>
                <w:rFonts w:ascii="Arial" w:cs="Arial" w:eastAsia="Arial" w:hAnsi="Arial"/>
                <w:sz w:val="13"/>
                <w:szCs w:val="13"/>
                <w:color w:val="auto"/>
              </w:rPr>
              <w:t>Aggregate carrying value of securities that exceed ten percent of shareholders’ equity</w:t>
            </w:r>
          </w:p>
        </w:tc>
        <w:tc>
          <w:tcPr>
            <w:tcW w:w="2080" w:type="dxa"/>
            <w:vAlign w:val="bottom"/>
          </w:tcPr>
          <w:p>
            <w:pPr>
              <w:jc w:val="right"/>
              <w:spacing w:after="0"/>
              <w:rPr>
                <w:sz w:val="20"/>
                <w:szCs w:val="20"/>
                <w:color w:val="auto"/>
              </w:rPr>
            </w:pPr>
            <w:r>
              <w:rPr>
                <w:rFonts w:ascii="Arial" w:cs="Arial" w:eastAsia="Arial" w:hAnsi="Arial"/>
                <w:sz w:val="13"/>
                <w:szCs w:val="13"/>
                <w:color w:val="auto"/>
              </w:rPr>
              <w:t>115</w:t>
            </w:r>
          </w:p>
        </w:tc>
      </w:tr>
    </w:tbl>
    <w:p>
      <w:pPr>
        <w:ind w:left="1900" w:hanging="504"/>
        <w:spacing w:after="0"/>
        <w:tabs>
          <w:tab w:leader="none" w:pos="1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Loan portfolio</w:t>
      </w:r>
    </w:p>
    <w:p>
      <w:pPr>
        <w:spacing w:after="0" w:line="8" w:lineRule="exact"/>
        <w:rPr>
          <w:sz w:val="20"/>
          <w:szCs w:val="20"/>
          <w:color w:val="auto"/>
        </w:rPr>
      </w:pPr>
    </w:p>
    <w:tbl>
      <w:tblPr>
        <w:tblLayout w:type="fixed"/>
        <w:tblInd w:w="1900" w:type="dxa"/>
        <w:tblCellMar>
          <w:top w:w="0" w:type="dxa"/>
          <w:left w:w="0" w:type="dxa"/>
          <w:bottom w:w="0" w:type="dxa"/>
          <w:right w:w="0" w:type="dxa"/>
        </w:tblCellMar>
      </w:tblPr>
      <w:tr>
        <w:trPr>
          <w:trHeight w:val="150"/>
        </w:trPr>
        <w:tc>
          <w:tcPr>
            <w:tcW w:w="220" w:type="dxa"/>
            <w:vAlign w:val="bottom"/>
          </w:tcPr>
          <w:p>
            <w:pPr>
              <w:spacing w:after="0"/>
              <w:rPr>
                <w:sz w:val="20"/>
                <w:szCs w:val="20"/>
                <w:color w:val="auto"/>
              </w:rPr>
            </w:pPr>
            <w:r>
              <w:rPr>
                <w:rFonts w:ascii="Arial" w:cs="Arial" w:eastAsia="Arial" w:hAnsi="Arial"/>
                <w:sz w:val="13"/>
                <w:szCs w:val="13"/>
                <w:color w:val="auto"/>
              </w:rPr>
              <w:t>A</w:t>
            </w:r>
          </w:p>
        </w:tc>
        <w:tc>
          <w:tcPr>
            <w:tcW w:w="5540" w:type="dxa"/>
            <w:vAlign w:val="bottom"/>
          </w:tcPr>
          <w:p>
            <w:pPr>
              <w:ind w:left="80"/>
              <w:spacing w:after="0"/>
              <w:rPr>
                <w:sz w:val="20"/>
                <w:szCs w:val="20"/>
                <w:color w:val="auto"/>
              </w:rPr>
            </w:pPr>
            <w:r>
              <w:rPr>
                <w:rFonts w:ascii="Arial" w:cs="Arial" w:eastAsia="Arial" w:hAnsi="Arial"/>
                <w:sz w:val="13"/>
                <w:szCs w:val="13"/>
                <w:color w:val="auto"/>
              </w:rPr>
              <w:t>Year-end balances</w:t>
            </w:r>
          </w:p>
        </w:tc>
        <w:tc>
          <w:tcPr>
            <w:tcW w:w="3000" w:type="dxa"/>
            <w:vAlign w:val="bottom"/>
          </w:tcPr>
          <w:p>
            <w:pPr>
              <w:jc w:val="right"/>
              <w:spacing w:after="0"/>
              <w:rPr>
                <w:sz w:val="20"/>
                <w:szCs w:val="20"/>
                <w:color w:val="auto"/>
              </w:rPr>
            </w:pPr>
            <w:r>
              <w:rPr>
                <w:rFonts w:ascii="Arial" w:cs="Arial" w:eastAsia="Arial" w:hAnsi="Arial"/>
                <w:sz w:val="13"/>
                <w:szCs w:val="13"/>
                <w:color w:val="auto"/>
              </w:rPr>
              <w:t>22, 118</w:t>
            </w:r>
          </w:p>
        </w:tc>
      </w:tr>
      <w:tr>
        <w:trPr>
          <w:trHeight w:val="165"/>
        </w:trPr>
        <w:tc>
          <w:tcPr>
            <w:tcW w:w="220" w:type="dxa"/>
            <w:vAlign w:val="bottom"/>
          </w:tcPr>
          <w:p>
            <w:pPr>
              <w:spacing w:after="0"/>
              <w:rPr>
                <w:sz w:val="20"/>
                <w:szCs w:val="20"/>
                <w:color w:val="auto"/>
              </w:rPr>
            </w:pPr>
            <w:r>
              <w:rPr>
                <w:rFonts w:ascii="Arial" w:cs="Arial" w:eastAsia="Arial" w:hAnsi="Arial"/>
                <w:sz w:val="13"/>
                <w:szCs w:val="13"/>
                <w:color w:val="auto"/>
              </w:rPr>
              <w:t>B.</w:t>
            </w:r>
          </w:p>
        </w:tc>
        <w:tc>
          <w:tcPr>
            <w:tcW w:w="5540" w:type="dxa"/>
            <w:vAlign w:val="bottom"/>
          </w:tcPr>
          <w:p>
            <w:pPr>
              <w:ind w:left="80"/>
              <w:spacing w:after="0"/>
              <w:rPr>
                <w:sz w:val="20"/>
                <w:szCs w:val="20"/>
                <w:color w:val="auto"/>
              </w:rPr>
            </w:pPr>
            <w:r>
              <w:rPr>
                <w:rFonts w:ascii="Arial" w:cs="Arial" w:eastAsia="Arial" w:hAnsi="Arial"/>
                <w:sz w:val="13"/>
                <w:szCs w:val="13"/>
                <w:color w:val="auto"/>
              </w:rPr>
              <w:t>Maturities and sensitivities to changes in interest rates</w:t>
            </w:r>
          </w:p>
        </w:tc>
        <w:tc>
          <w:tcPr>
            <w:tcW w:w="3000" w:type="dxa"/>
            <w:vAlign w:val="bottom"/>
          </w:tcPr>
          <w:p>
            <w:pPr>
              <w:jc w:val="right"/>
              <w:spacing w:after="0"/>
              <w:rPr>
                <w:sz w:val="20"/>
                <w:szCs w:val="20"/>
                <w:color w:val="auto"/>
              </w:rPr>
            </w:pPr>
            <w:r>
              <w:rPr>
                <w:rFonts w:ascii="Arial" w:cs="Arial" w:eastAsia="Arial" w:hAnsi="Arial"/>
                <w:sz w:val="13"/>
                <w:szCs w:val="13"/>
                <w:color w:val="auto"/>
              </w:rPr>
              <w:t>78</w:t>
            </w:r>
          </w:p>
        </w:tc>
      </w:tr>
    </w:tbl>
    <w:p>
      <w:pPr>
        <w:ind w:left="2200" w:hanging="293"/>
        <w:spacing w:after="0"/>
        <w:tabs>
          <w:tab w:leader="none" w:pos="2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Risk elements</w:t>
      </w:r>
    </w:p>
    <w:p>
      <w:pPr>
        <w:spacing w:after="0" w:line="8" w:lineRule="exact"/>
        <w:rPr>
          <w:sz w:val="20"/>
          <w:szCs w:val="20"/>
          <w:color w:val="auto"/>
        </w:rPr>
      </w:pPr>
    </w:p>
    <w:tbl>
      <w:tblPr>
        <w:tblLayout w:type="fixed"/>
        <w:tblInd w:w="1400" w:type="dxa"/>
        <w:tblCellMar>
          <w:top w:w="0" w:type="dxa"/>
          <w:left w:w="0" w:type="dxa"/>
          <w:bottom w:w="0" w:type="dxa"/>
          <w:right w:w="0" w:type="dxa"/>
        </w:tblCellMar>
      </w:tblPr>
      <w:tr>
        <w:trPr>
          <w:trHeight w:val="150"/>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Pr>
          <w:p>
            <w:pPr>
              <w:ind w:left="80"/>
              <w:spacing w:after="0"/>
              <w:rPr>
                <w:sz w:val="20"/>
                <w:szCs w:val="20"/>
                <w:color w:val="auto"/>
              </w:rPr>
            </w:pPr>
            <w:r>
              <w:rPr>
                <w:rFonts w:ascii="Arial" w:cs="Arial" w:eastAsia="Arial" w:hAnsi="Arial"/>
                <w:sz w:val="13"/>
                <w:szCs w:val="13"/>
                <w:color w:val="auto"/>
              </w:rPr>
              <w:t>Nonaccrual, past due and renegotiated loans</w:t>
            </w:r>
          </w:p>
        </w:tc>
        <w:tc>
          <w:tcPr>
            <w:tcW w:w="2100" w:type="dxa"/>
            <w:vAlign w:val="bottom"/>
          </w:tcPr>
          <w:p>
            <w:pPr>
              <w:jc w:val="right"/>
              <w:spacing w:after="0"/>
              <w:rPr>
                <w:sz w:val="20"/>
                <w:szCs w:val="20"/>
                <w:color w:val="auto"/>
              </w:rPr>
            </w:pPr>
            <w:r>
              <w:rPr>
                <w:rFonts w:ascii="Arial" w:cs="Arial" w:eastAsia="Arial" w:hAnsi="Arial"/>
                <w:sz w:val="13"/>
                <w:szCs w:val="13"/>
                <w:color w:val="auto"/>
              </w:rPr>
              <w:t>59, 119</w:t>
            </w:r>
          </w:p>
        </w:tc>
      </w:tr>
      <w:tr>
        <w:trPr>
          <w:trHeight w:val="157"/>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Pr>
          <w:p>
            <w:pPr>
              <w:ind w:left="80"/>
              <w:spacing w:after="0"/>
              <w:rPr>
                <w:sz w:val="20"/>
                <w:szCs w:val="20"/>
                <w:color w:val="auto"/>
              </w:rPr>
            </w:pPr>
            <w:r>
              <w:rPr>
                <w:rFonts w:ascii="Arial" w:cs="Arial" w:eastAsia="Arial" w:hAnsi="Arial"/>
                <w:sz w:val="13"/>
                <w:szCs w:val="13"/>
                <w:color w:val="auto"/>
              </w:rPr>
              <w:t>Actual and pro forma interest on certain loans</w:t>
            </w:r>
          </w:p>
        </w:tc>
        <w:tc>
          <w:tcPr>
            <w:tcW w:w="2100" w:type="dxa"/>
            <w:vAlign w:val="bottom"/>
          </w:tcPr>
          <w:p>
            <w:pPr>
              <w:jc w:val="right"/>
              <w:spacing w:after="0"/>
              <w:rPr>
                <w:sz w:val="20"/>
                <w:szCs w:val="20"/>
                <w:color w:val="auto"/>
              </w:rPr>
            </w:pPr>
            <w:r>
              <w:rPr>
                <w:rFonts w:ascii="Arial" w:cs="Arial" w:eastAsia="Arial" w:hAnsi="Arial"/>
                <w:sz w:val="13"/>
                <w:szCs w:val="13"/>
                <w:color w:val="auto"/>
              </w:rPr>
              <w:t>119, 122</w:t>
            </w:r>
          </w:p>
        </w:tc>
      </w:tr>
      <w:tr>
        <w:trPr>
          <w:trHeight w:val="157"/>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Pr>
          <w:p>
            <w:pPr>
              <w:ind w:left="80"/>
              <w:spacing w:after="0"/>
              <w:rPr>
                <w:sz w:val="20"/>
                <w:szCs w:val="20"/>
                <w:color w:val="auto"/>
              </w:rPr>
            </w:pPr>
            <w:r>
              <w:rPr>
                <w:rFonts w:ascii="Arial" w:cs="Arial" w:eastAsia="Arial" w:hAnsi="Arial"/>
                <w:sz w:val="13"/>
                <w:szCs w:val="13"/>
                <w:color w:val="auto"/>
              </w:rPr>
              <w:t>Nonaccrual policy</w:t>
            </w:r>
          </w:p>
        </w:tc>
        <w:tc>
          <w:tcPr>
            <w:tcW w:w="210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157"/>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Pr>
          <w:p>
            <w:pPr>
              <w:ind w:left="80"/>
              <w:spacing w:after="0"/>
              <w:rPr>
                <w:sz w:val="20"/>
                <w:szCs w:val="20"/>
                <w:color w:val="auto"/>
              </w:rPr>
            </w:pPr>
            <w:r>
              <w:rPr>
                <w:rFonts w:ascii="Arial" w:cs="Arial" w:eastAsia="Arial" w:hAnsi="Arial"/>
                <w:sz w:val="13"/>
                <w:szCs w:val="13"/>
                <w:color w:val="auto"/>
              </w:rPr>
              <w:t>Loan concentrations</w:t>
            </w:r>
          </w:p>
        </w:tc>
        <w:tc>
          <w:tcPr>
            <w:tcW w:w="210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320" w:type="dxa"/>
            <w:vAlign w:val="bottom"/>
          </w:tcPr>
          <w:p>
            <w:pPr>
              <w:spacing w:after="0"/>
              <w:rPr>
                <w:sz w:val="20"/>
                <w:szCs w:val="20"/>
                <w:color w:val="auto"/>
              </w:rPr>
            </w:pPr>
            <w:r>
              <w:rPr>
                <w:rFonts w:ascii="Arial" w:cs="Arial" w:eastAsia="Arial" w:hAnsi="Arial"/>
                <w:sz w:val="13"/>
                <w:szCs w:val="13"/>
                <w:color w:val="auto"/>
              </w:rPr>
              <w:t>IV.</w:t>
            </w:r>
          </w:p>
        </w:tc>
        <w:tc>
          <w:tcPr>
            <w:tcW w:w="6840" w:type="dxa"/>
            <w:vAlign w:val="bottom"/>
            <w:gridSpan w:val="2"/>
          </w:tcPr>
          <w:p>
            <w:pPr>
              <w:ind w:left="180"/>
              <w:spacing w:after="0"/>
              <w:rPr>
                <w:sz w:val="20"/>
                <w:szCs w:val="20"/>
                <w:color w:val="auto"/>
              </w:rPr>
            </w:pPr>
            <w:r>
              <w:rPr>
                <w:rFonts w:ascii="Arial" w:cs="Arial" w:eastAsia="Arial" w:hAnsi="Arial"/>
                <w:sz w:val="13"/>
                <w:szCs w:val="13"/>
                <w:color w:val="auto"/>
              </w:rPr>
              <w:t>Summary of loan loss experience</w:t>
            </w:r>
          </w:p>
        </w:tc>
        <w:tc>
          <w:tcPr>
            <w:tcW w:w="2100" w:type="dxa"/>
            <w:vAlign w:val="bottom"/>
          </w:tcPr>
          <w:p>
            <w:pPr>
              <w:spacing w:after="0"/>
              <w:rPr>
                <w:sz w:val="13"/>
                <w:szCs w:val="13"/>
                <w:color w:val="auto"/>
              </w:rPr>
            </w:pPr>
          </w:p>
        </w:tc>
      </w:tr>
      <w:tr>
        <w:trPr>
          <w:trHeight w:val="157"/>
        </w:trPr>
        <w:tc>
          <w:tcPr>
            <w:tcW w:w="32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A.</w:t>
            </w:r>
          </w:p>
        </w:tc>
        <w:tc>
          <w:tcPr>
            <w:tcW w:w="6440" w:type="dxa"/>
            <w:vAlign w:val="bottom"/>
          </w:tcPr>
          <w:p>
            <w:pPr>
              <w:ind w:left="80"/>
              <w:spacing w:after="0"/>
              <w:rPr>
                <w:sz w:val="20"/>
                <w:szCs w:val="20"/>
                <w:color w:val="auto"/>
              </w:rPr>
            </w:pPr>
            <w:r>
              <w:rPr>
                <w:rFonts w:ascii="Arial" w:cs="Arial" w:eastAsia="Arial" w:hAnsi="Arial"/>
                <w:sz w:val="13"/>
                <w:szCs w:val="13"/>
                <w:color w:val="auto"/>
              </w:rPr>
              <w:t>Analysis of the allowance for loan losses</w:t>
            </w:r>
          </w:p>
        </w:tc>
        <w:tc>
          <w:tcPr>
            <w:tcW w:w="2100" w:type="dxa"/>
            <w:vAlign w:val="bottom"/>
          </w:tcPr>
          <w:p>
            <w:pPr>
              <w:jc w:val="right"/>
              <w:spacing w:after="0"/>
              <w:rPr>
                <w:sz w:val="20"/>
                <w:szCs w:val="20"/>
                <w:color w:val="auto"/>
              </w:rPr>
            </w:pPr>
            <w:r>
              <w:rPr>
                <w:rFonts w:ascii="Arial" w:cs="Arial" w:eastAsia="Arial" w:hAnsi="Arial"/>
                <w:sz w:val="13"/>
                <w:szCs w:val="13"/>
                <w:color w:val="auto"/>
              </w:rPr>
              <w:t>57, 121-123</w:t>
            </w:r>
          </w:p>
        </w:tc>
      </w:tr>
      <w:tr>
        <w:trPr>
          <w:trHeight w:val="157"/>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40" w:type="dxa"/>
            <w:vAlign w:val="bottom"/>
          </w:tcPr>
          <w:p>
            <w:pPr>
              <w:ind w:left="80"/>
              <w:spacing w:after="0"/>
              <w:rPr>
                <w:sz w:val="20"/>
                <w:szCs w:val="20"/>
                <w:color w:val="auto"/>
              </w:rPr>
            </w:pPr>
            <w:r>
              <w:rPr>
                <w:rFonts w:ascii="Arial" w:cs="Arial" w:eastAsia="Arial" w:hAnsi="Arial"/>
                <w:sz w:val="13"/>
                <w:szCs w:val="13"/>
                <w:color w:val="auto"/>
              </w:rPr>
              <w:t>Factors influencing management’s judgment concerning the adequacy of the allowance and provision</w:t>
            </w:r>
          </w:p>
        </w:tc>
        <w:tc>
          <w:tcPr>
            <w:tcW w:w="2100" w:type="dxa"/>
            <w:vAlign w:val="bottom"/>
          </w:tcPr>
          <w:p>
            <w:pPr>
              <w:jc w:val="right"/>
              <w:spacing w:after="0"/>
              <w:rPr>
                <w:sz w:val="20"/>
                <w:szCs w:val="20"/>
                <w:color w:val="auto"/>
              </w:rPr>
            </w:pPr>
            <w:r>
              <w:rPr>
                <w:rFonts w:ascii="Arial" w:cs="Arial" w:eastAsia="Arial" w:hAnsi="Arial"/>
                <w:sz w:val="13"/>
                <w:szCs w:val="13"/>
                <w:color w:val="auto"/>
              </w:rPr>
              <w:t>56-67, 108, 121-123</w:t>
            </w:r>
          </w:p>
        </w:tc>
      </w:tr>
      <w:tr>
        <w:trPr>
          <w:trHeight w:val="165"/>
        </w:trPr>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B.</w:t>
            </w:r>
          </w:p>
        </w:tc>
        <w:tc>
          <w:tcPr>
            <w:tcW w:w="6440" w:type="dxa"/>
            <w:vAlign w:val="bottom"/>
          </w:tcPr>
          <w:p>
            <w:pPr>
              <w:ind w:left="80"/>
              <w:spacing w:after="0"/>
              <w:rPr>
                <w:sz w:val="20"/>
                <w:szCs w:val="20"/>
                <w:color w:val="auto"/>
              </w:rPr>
            </w:pPr>
            <w:r>
              <w:rPr>
                <w:rFonts w:ascii="Arial" w:cs="Arial" w:eastAsia="Arial" w:hAnsi="Arial"/>
                <w:sz w:val="13"/>
                <w:szCs w:val="13"/>
                <w:color w:val="auto"/>
              </w:rPr>
              <w:t>Allocation of the allowance for loan losses</w:t>
            </w:r>
          </w:p>
        </w:tc>
        <w:tc>
          <w:tcPr>
            <w:tcW w:w="2100" w:type="dxa"/>
            <w:vAlign w:val="bottom"/>
          </w:tcPr>
          <w:p>
            <w:pPr>
              <w:jc w:val="right"/>
              <w:spacing w:after="0"/>
              <w:rPr>
                <w:sz w:val="20"/>
                <w:szCs w:val="20"/>
                <w:color w:val="auto"/>
              </w:rPr>
            </w:pPr>
            <w:r>
              <w:rPr>
                <w:rFonts w:ascii="Arial" w:cs="Arial" w:eastAsia="Arial" w:hAnsi="Arial"/>
                <w:sz w:val="13"/>
                <w:szCs w:val="13"/>
                <w:color w:val="auto"/>
              </w:rPr>
              <w:t>66, 121, 123</w:t>
            </w:r>
          </w:p>
        </w:tc>
      </w:tr>
    </w:tbl>
    <w:p>
      <w:pPr>
        <w:ind w:left="1900" w:hanging="504"/>
        <w:spacing w:after="0"/>
        <w:tabs>
          <w:tab w:leader="none" w:pos="1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Deposits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0" w:type="dxa"/>
            <w:vAlign w:val="bottom"/>
            <w:gridSpan w:val="11"/>
          </w:tcPr>
          <w:p>
            <w:pPr>
              <w:ind w:left="140"/>
              <w:spacing w:after="0"/>
              <w:rPr>
                <w:sz w:val="20"/>
                <w:szCs w:val="20"/>
                <w:color w:val="auto"/>
              </w:rPr>
            </w:pPr>
            <w:r>
              <w:rPr>
                <w:rFonts w:ascii="Arial" w:cs="Arial" w:eastAsia="Arial" w:hAnsi="Arial"/>
                <w:sz w:val="13"/>
                <w:szCs w:val="13"/>
                <w:color w:val="auto"/>
              </w:rPr>
              <w:t>A.   Average balances and rates</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45</w:t>
            </w:r>
          </w:p>
        </w:tc>
      </w:tr>
      <w:tr>
        <w:trPr>
          <w:trHeight w:val="157"/>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0" w:type="dxa"/>
            <w:vAlign w:val="bottom"/>
            <w:gridSpan w:val="11"/>
          </w:tcPr>
          <w:p>
            <w:pPr>
              <w:ind w:left="140"/>
              <w:spacing w:after="0"/>
              <w:rPr>
                <w:sz w:val="20"/>
                <w:szCs w:val="20"/>
                <w:color w:val="auto"/>
              </w:rPr>
            </w:pPr>
            <w:r>
              <w:rPr>
                <w:rFonts w:ascii="Arial" w:cs="Arial" w:eastAsia="Arial" w:hAnsi="Arial"/>
                <w:sz w:val="13"/>
                <w:szCs w:val="13"/>
                <w:color w:val="auto"/>
              </w:rPr>
              <w:t>B.   Maturity schedule of domestic time deposits with balances of $100,000 or more</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81</w:t>
            </w:r>
          </w:p>
        </w:tc>
      </w:tr>
      <w:tr>
        <w:trPr>
          <w:trHeight w:val="157"/>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240"/>
              <w:spacing w:after="0"/>
              <w:rPr>
                <w:sz w:val="20"/>
                <w:szCs w:val="20"/>
                <w:color w:val="auto"/>
              </w:rPr>
            </w:pPr>
            <w:r>
              <w:rPr>
                <w:rFonts w:ascii="Arial" w:cs="Arial" w:eastAsia="Arial" w:hAnsi="Arial"/>
                <w:sz w:val="13"/>
                <w:szCs w:val="13"/>
                <w:color w:val="auto"/>
              </w:rPr>
              <w:t>VI.</w:t>
            </w:r>
          </w:p>
        </w:tc>
        <w:tc>
          <w:tcPr>
            <w:tcW w:w="7200" w:type="dxa"/>
            <w:vAlign w:val="bottom"/>
            <w:gridSpan w:val="11"/>
          </w:tcPr>
          <w:p>
            <w:pPr>
              <w:ind w:left="140"/>
              <w:spacing w:after="0"/>
              <w:rPr>
                <w:sz w:val="20"/>
                <w:szCs w:val="20"/>
                <w:color w:val="auto"/>
              </w:rPr>
            </w:pPr>
            <w:r>
              <w:rPr>
                <w:rFonts w:ascii="Arial" w:cs="Arial" w:eastAsia="Arial" w:hAnsi="Arial"/>
                <w:sz w:val="13"/>
                <w:szCs w:val="13"/>
                <w:color w:val="auto"/>
              </w:rPr>
              <w:t>Return on equity and assets</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24, 38, 84</w:t>
            </w:r>
          </w:p>
        </w:tc>
      </w:tr>
      <w:tr>
        <w:trPr>
          <w:trHeight w:val="157"/>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240"/>
              <w:spacing w:after="0"/>
              <w:rPr>
                <w:sz w:val="20"/>
                <w:szCs w:val="20"/>
                <w:color w:val="auto"/>
              </w:rPr>
            </w:pPr>
            <w:r>
              <w:rPr>
                <w:rFonts w:ascii="Arial" w:cs="Arial" w:eastAsia="Arial" w:hAnsi="Arial"/>
                <w:sz w:val="13"/>
                <w:szCs w:val="13"/>
                <w:color w:val="auto"/>
              </w:rPr>
              <w:t>VII.</w:t>
            </w:r>
          </w:p>
        </w:tc>
        <w:tc>
          <w:tcPr>
            <w:tcW w:w="7200" w:type="dxa"/>
            <w:vAlign w:val="bottom"/>
            <w:gridSpan w:val="11"/>
          </w:tcPr>
          <w:p>
            <w:pPr>
              <w:ind w:left="140"/>
              <w:spacing w:after="0"/>
              <w:rPr>
                <w:sz w:val="20"/>
                <w:szCs w:val="20"/>
                <w:color w:val="auto"/>
              </w:rPr>
            </w:pPr>
            <w:r>
              <w:rPr>
                <w:rFonts w:ascii="Arial" w:cs="Arial" w:eastAsia="Arial" w:hAnsi="Arial"/>
                <w:sz w:val="13"/>
                <w:szCs w:val="13"/>
                <w:color w:val="auto"/>
              </w:rPr>
              <w:t>Short-term borrowings</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128</w:t>
            </w:r>
          </w:p>
        </w:tc>
      </w:tr>
      <w:tr>
        <w:trPr>
          <w:trHeight w:val="137"/>
        </w:trPr>
        <w:tc>
          <w:tcPr>
            <w:tcW w:w="680" w:type="dxa"/>
            <w:vAlign w:val="bottom"/>
          </w:tcPr>
          <w:p>
            <w:pPr>
              <w:spacing w:after="0"/>
              <w:rPr>
                <w:sz w:val="11"/>
                <w:szCs w:val="11"/>
                <w:color w:val="auto"/>
              </w:rPr>
            </w:pPr>
          </w:p>
        </w:tc>
        <w:tc>
          <w:tcPr>
            <w:tcW w:w="480" w:type="dxa"/>
            <w:vAlign w:val="bottom"/>
            <w:gridSpan w:val="2"/>
          </w:tcPr>
          <w:p>
            <w:pPr>
              <w:spacing w:after="0" w:line="137"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Item 1A.</w:t>
              </w:r>
            </w:hyperlink>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60" w:type="dxa"/>
            <w:vAlign w:val="bottom"/>
            <w:gridSpan w:val="10"/>
          </w:tcPr>
          <w:p>
            <w:pPr>
              <w:spacing w:after="0" w:line="137" w:lineRule="exact"/>
              <w:rPr>
                <w:rFonts w:ascii="Arial" w:cs="Arial" w:eastAsia="Arial" w:hAnsi="Arial"/>
                <w:sz w:val="13"/>
                <w:szCs w:val="13"/>
                <w:color w:val="0000EE"/>
              </w:rPr>
            </w:pPr>
            <w:hyperlink w:anchor="page25">
              <w:r>
                <w:rPr>
                  <w:rFonts w:ascii="Arial" w:cs="Arial" w:eastAsia="Arial" w:hAnsi="Arial"/>
                  <w:sz w:val="13"/>
                  <w:szCs w:val="13"/>
                  <w:color w:val="0000EE"/>
                </w:rPr>
                <w:t>Risk Factors</w:t>
              </w:r>
            </w:hyperlink>
          </w:p>
        </w:tc>
        <w:tc>
          <w:tcPr>
            <w:tcW w:w="2500" w:type="dxa"/>
            <w:vAlign w:val="bottom"/>
          </w:tcPr>
          <w:p>
            <w:pPr>
              <w:jc w:val="right"/>
              <w:ind w:right="734"/>
              <w:spacing w:after="0" w:line="137" w:lineRule="exact"/>
              <w:rPr>
                <w:sz w:val="20"/>
                <w:szCs w:val="20"/>
                <w:color w:val="auto"/>
              </w:rPr>
            </w:pPr>
            <w:r>
              <w:rPr>
                <w:rFonts w:ascii="Arial" w:cs="Arial" w:eastAsia="Arial" w:hAnsi="Arial"/>
                <w:sz w:val="13"/>
                <w:szCs w:val="13"/>
                <w:color w:val="auto"/>
              </w:rPr>
              <w:t>24-27</w:t>
            </w:r>
          </w:p>
        </w:tc>
      </w:tr>
      <w:tr>
        <w:trPr>
          <w:trHeight w:val="20"/>
        </w:trPr>
        <w:tc>
          <w:tcPr>
            <w:tcW w:w="6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480" w:type="dxa"/>
            <w:vAlign w:val="bottom"/>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1B.</w:t>
              </w:r>
            </w:hyperlink>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60" w:type="dxa"/>
            <w:vAlign w:val="bottom"/>
            <w:gridSpan w:val="10"/>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Unresolved Staff Comments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2.</w:t>
              </w:r>
            </w:hyperlink>
          </w:p>
        </w:tc>
        <w:tc>
          <w:tcPr>
            <w:tcW w:w="100" w:type="dxa"/>
            <w:vAlign w:val="bottom"/>
            <w:tcBorders>
              <w:top w:val="single" w:sz="8" w:color="0000EE"/>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7"/>
              </w:rPr>
            </w:pPr>
            <w:hyperlink w:anchor="page28">
              <w:r>
                <w:rPr>
                  <w:rFonts w:ascii="Arial" w:cs="Arial" w:eastAsia="Arial" w:hAnsi="Arial"/>
                  <w:sz w:val="13"/>
                  <w:szCs w:val="13"/>
                  <w:color w:val="0000EE"/>
                  <w:w w:val="87"/>
                </w:rPr>
                <w:t>Properties</w:t>
              </w:r>
            </w:hyperlink>
          </w:p>
        </w:tc>
        <w:tc>
          <w:tcPr>
            <w:tcW w:w="960" w:type="dxa"/>
            <w:vAlign w:val="bottom"/>
            <w:tcBorders>
              <w:top w:val="single" w:sz="8" w:color="0000EE"/>
            </w:tcBorders>
            <w:gridSpan w:val="4"/>
          </w:tcPr>
          <w:p>
            <w:pPr>
              <w:spacing w:after="0"/>
              <w:rPr>
                <w:sz w:val="11"/>
                <w:szCs w:val="11"/>
                <w:color w:val="auto"/>
              </w:rPr>
            </w:pPr>
          </w:p>
        </w:tc>
        <w:tc>
          <w:tcPr>
            <w:tcW w:w="5560" w:type="dxa"/>
            <w:vAlign w:val="bottom"/>
            <w:gridSpan w:val="5"/>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7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28">
              <w:r>
                <w:rPr>
                  <w:rFonts w:ascii="Arial" w:cs="Arial" w:eastAsia="Arial" w:hAnsi="Arial"/>
                  <w:sz w:val="13"/>
                  <w:szCs w:val="13"/>
                  <w:color w:val="0000EE"/>
                  <w:w w:val="89"/>
                </w:rPr>
                <w:t>Legal Proceedings</w:t>
              </w:r>
            </w:hyperlink>
          </w:p>
        </w:tc>
        <w:tc>
          <w:tcPr>
            <w:tcW w:w="6080" w:type="dxa"/>
            <w:vAlign w:val="bottom"/>
            <w:gridSpan w:val="7"/>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4.</w:t>
              </w:r>
            </w:hyperlink>
          </w:p>
        </w:tc>
        <w:tc>
          <w:tcPr>
            <w:tcW w:w="7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Borders>
              <w:bottom w:val="single" w:sz="8" w:color="0000EE"/>
            </w:tcBorders>
            <w:gridSpan w:val="4"/>
          </w:tcPr>
          <w:p>
            <w:pPr>
              <w:spacing w:after="0" w:line="138" w:lineRule="exact"/>
              <w:rPr>
                <w:rFonts w:ascii="Arial" w:cs="Arial" w:eastAsia="Arial" w:hAnsi="Arial"/>
                <w:sz w:val="13"/>
                <w:szCs w:val="13"/>
                <w:color w:val="0000EE"/>
                <w:w w:val="88"/>
              </w:rPr>
            </w:pPr>
            <w:hyperlink w:anchor="page28">
              <w:r>
                <w:rPr>
                  <w:rFonts w:ascii="Arial" w:cs="Arial" w:eastAsia="Arial" w:hAnsi="Arial"/>
                  <w:sz w:val="13"/>
                  <w:szCs w:val="13"/>
                  <w:color w:val="0000EE"/>
                  <w:w w:val="88"/>
                </w:rPr>
                <w:t>(Removed and Reserved)</w:t>
              </w:r>
            </w:hyperlink>
          </w:p>
        </w:tc>
        <w:tc>
          <w:tcPr>
            <w:tcW w:w="5720" w:type="dxa"/>
            <w:vAlign w:val="bottom"/>
            <w:gridSpan w:val="6"/>
          </w:tcPr>
          <w:p>
            <w:pPr>
              <w:spacing w:after="0"/>
              <w:rPr>
                <w:sz w:val="11"/>
                <w:szCs w:val="11"/>
                <w:color w:val="auto"/>
              </w:rPr>
            </w:pPr>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0" w:type="dxa"/>
            <w:vAlign w:val="bottom"/>
            <w:gridSpan w:val="11"/>
          </w:tcPr>
          <w:p>
            <w:pPr>
              <w:ind w:left="140"/>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Executive Officers of the Registrant</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27-29</w:t>
            </w:r>
          </w:p>
        </w:tc>
      </w:tr>
      <w:tr>
        <w:trPr>
          <w:trHeight w:val="255"/>
        </w:trPr>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1640" w:type="dxa"/>
            <w:vAlign w:val="bottom"/>
          </w:tcPr>
          <w:p>
            <w:pPr>
              <w:spacing w:after="0"/>
              <w:rPr>
                <w:sz w:val="22"/>
                <w:szCs w:val="22"/>
                <w:color w:val="auto"/>
              </w:rPr>
            </w:pPr>
          </w:p>
        </w:tc>
        <w:tc>
          <w:tcPr>
            <w:tcW w:w="480" w:type="dxa"/>
            <w:vAlign w:val="bottom"/>
            <w:tcBorders>
              <w:bottom w:val="single" w:sz="8" w:color="0000EE"/>
            </w:tcBorders>
          </w:tcPr>
          <w:p>
            <w:pPr>
              <w:spacing w:after="0"/>
              <w:rPr>
                <w:rFonts w:ascii="Arial" w:cs="Arial" w:eastAsia="Arial" w:hAnsi="Arial"/>
                <w:sz w:val="13"/>
                <w:szCs w:val="13"/>
                <w:b w:val="1"/>
                <w:bCs w:val="1"/>
                <w:color w:val="0000EE"/>
                <w:w w:val="99"/>
              </w:rPr>
            </w:pPr>
            <w:hyperlink w:anchor="page30">
              <w:r>
                <w:rPr>
                  <w:rFonts w:ascii="Arial" w:cs="Arial" w:eastAsia="Arial" w:hAnsi="Arial"/>
                  <w:sz w:val="13"/>
                  <w:szCs w:val="13"/>
                  <w:b w:val="1"/>
                  <w:bCs w:val="1"/>
                  <w:color w:val="0000EE"/>
                  <w:w w:val="99"/>
                </w:rPr>
                <w:t>PART II</w:t>
              </w:r>
            </w:hyperlink>
          </w:p>
        </w:tc>
        <w:tc>
          <w:tcPr>
            <w:tcW w:w="3040" w:type="dxa"/>
            <w:vAlign w:val="bottom"/>
            <w:gridSpan w:val="2"/>
          </w:tcPr>
          <w:p>
            <w:pPr>
              <w:spacing w:after="0"/>
              <w:rPr>
                <w:sz w:val="22"/>
                <w:szCs w:val="22"/>
                <w:color w:val="auto"/>
              </w:rPr>
            </w:pPr>
          </w:p>
        </w:tc>
        <w:tc>
          <w:tcPr>
            <w:tcW w:w="2500" w:type="dxa"/>
            <w:vAlign w:val="bottom"/>
          </w:tcPr>
          <w:p>
            <w:pPr>
              <w:spacing w:after="0"/>
              <w:rPr>
                <w:sz w:val="22"/>
                <w:szCs w:val="22"/>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5.</w:t>
              </w:r>
            </w:hyperlink>
          </w:p>
        </w:tc>
        <w:tc>
          <w:tcPr>
            <w:tcW w:w="7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7060" w:type="dxa"/>
            <w:vAlign w:val="bottom"/>
            <w:gridSpan w:val="10"/>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Market for Registrant’s Common Equity, Related Shareholder Matters and Issuer Purchases of Equity Securities</w:t>
              </w:r>
            </w:hyperlink>
          </w:p>
        </w:tc>
        <w:tc>
          <w:tcPr>
            <w:tcW w:w="2500" w:type="dxa"/>
            <w:vAlign w:val="bottom"/>
          </w:tcPr>
          <w:p>
            <w:pPr>
              <w:jc w:val="right"/>
              <w:ind w:right="734"/>
              <w:spacing w:after="0" w:line="138" w:lineRule="exact"/>
              <w:rPr>
                <w:sz w:val="20"/>
                <w:szCs w:val="20"/>
                <w:color w:val="auto"/>
              </w:rPr>
            </w:pPr>
            <w:r>
              <w:rPr>
                <w:rFonts w:ascii="Arial" w:cs="Arial" w:eastAsia="Arial" w:hAnsi="Arial"/>
                <w:sz w:val="13"/>
                <w:szCs w:val="13"/>
                <w:color w:val="auto"/>
              </w:rPr>
              <w:t>29-32</w:t>
            </w:r>
          </w:p>
        </w:tc>
      </w:tr>
      <w:tr>
        <w:trPr>
          <w:trHeight w:val="158"/>
        </w:trPr>
        <w:tc>
          <w:tcPr>
            <w:tcW w:w="680" w:type="dxa"/>
            <w:vAlign w:val="bottom"/>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80" w:type="dxa"/>
            <w:vAlign w:val="bottom"/>
            <w:tcBorders>
              <w:top w:val="single" w:sz="8" w:color="0000EE"/>
            </w:tcBorders>
            <w:gridSpan w:val="9"/>
          </w:tcPr>
          <w:p>
            <w:pPr>
              <w:spacing w:after="0"/>
              <w:rPr>
                <w:sz w:val="20"/>
                <w:szCs w:val="20"/>
                <w:color w:val="auto"/>
              </w:rPr>
            </w:pPr>
            <w:r>
              <w:rPr>
                <w:rFonts w:ascii="Arial" w:cs="Arial" w:eastAsia="Arial" w:hAnsi="Arial"/>
                <w:sz w:val="13"/>
                <w:szCs w:val="13"/>
                <w:color w:val="auto"/>
              </w:rPr>
              <w:t>A.   Principal market</w:t>
            </w:r>
          </w:p>
        </w:tc>
        <w:tc>
          <w:tcPr>
            <w:tcW w:w="1180" w:type="dxa"/>
            <w:vAlign w:val="bottom"/>
          </w:tcPr>
          <w:p>
            <w:pPr>
              <w:spacing w:after="0"/>
              <w:rPr>
                <w:sz w:val="13"/>
                <w:szCs w:val="13"/>
                <w:color w:val="auto"/>
              </w:rPr>
            </w:pP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29</w:t>
            </w:r>
          </w:p>
        </w:tc>
      </w:tr>
      <w:tr>
        <w:trPr>
          <w:trHeight w:val="157"/>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60" w:type="dxa"/>
            <w:vAlign w:val="bottom"/>
            <w:gridSpan w:val="10"/>
          </w:tcPr>
          <w:p>
            <w:pPr>
              <w:ind w:left="300"/>
              <w:spacing w:after="0"/>
              <w:rPr>
                <w:sz w:val="20"/>
                <w:szCs w:val="20"/>
                <w:color w:val="auto"/>
              </w:rPr>
            </w:pPr>
            <w:r>
              <w:rPr>
                <w:rFonts w:ascii="Arial" w:cs="Arial" w:eastAsia="Arial" w:hAnsi="Arial"/>
                <w:sz w:val="13"/>
                <w:szCs w:val="13"/>
                <w:color w:val="auto"/>
              </w:rPr>
              <w:t>Market prices</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97</w:t>
            </w:r>
          </w:p>
        </w:tc>
      </w:tr>
      <w:tr>
        <w:trPr>
          <w:trHeight w:val="165"/>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0" w:type="dxa"/>
            <w:vAlign w:val="bottom"/>
            <w:gridSpan w:val="11"/>
          </w:tcPr>
          <w:p>
            <w:pPr>
              <w:ind w:left="140"/>
              <w:spacing w:after="0"/>
              <w:rPr>
                <w:sz w:val="20"/>
                <w:szCs w:val="20"/>
                <w:color w:val="auto"/>
              </w:rPr>
            </w:pPr>
            <w:r>
              <w:rPr>
                <w:rFonts w:ascii="Arial" w:cs="Arial" w:eastAsia="Arial" w:hAnsi="Arial"/>
                <w:sz w:val="13"/>
                <w:szCs w:val="13"/>
                <w:color w:val="auto"/>
              </w:rPr>
              <w:t>B.   Approximate number of holders at year-end</w:t>
            </w:r>
          </w:p>
        </w:tc>
        <w:tc>
          <w:tcPr>
            <w:tcW w:w="2500" w:type="dxa"/>
            <w:vAlign w:val="bottom"/>
          </w:tcPr>
          <w:p>
            <w:pPr>
              <w:jc w:val="right"/>
              <w:ind w:right="734"/>
              <w:spacing w:after="0"/>
              <w:rPr>
                <w:sz w:val="20"/>
                <w:szCs w:val="20"/>
                <w:color w:val="auto"/>
              </w:rPr>
            </w:pPr>
            <w:r>
              <w:rPr>
                <w:rFonts w:ascii="Arial" w:cs="Arial" w:eastAsia="Arial" w:hAnsi="Arial"/>
                <w:sz w:val="13"/>
                <w:szCs w:val="13"/>
                <w:color w:val="auto"/>
              </w:rPr>
              <w:t>22</w:t>
            </w:r>
          </w:p>
        </w:tc>
      </w:tr>
      <w:tr>
        <w:trPr>
          <w:trHeight w:val="301"/>
        </w:trPr>
        <w:tc>
          <w:tcPr>
            <w:tcW w:w="1060" w:type="dxa"/>
            <w:vAlign w:val="bottom"/>
            <w:gridSpan w:val="2"/>
          </w:tcPr>
          <w:p>
            <w:pPr>
              <w:ind w:left="6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jc w:val="right"/>
              <w:ind w:right="535"/>
              <w:spacing w:after="0"/>
              <w:rPr>
                <w:sz w:val="20"/>
                <w:szCs w:val="20"/>
                <w:color w:val="auto"/>
              </w:rPr>
            </w:pPr>
            <w:r>
              <w:rPr>
                <w:rFonts w:ascii="Arial" w:cs="Arial" w:eastAsia="Arial" w:hAnsi="Arial"/>
                <w:sz w:val="10"/>
                <w:szCs w:val="10"/>
                <w:b w:val="1"/>
                <w:bCs w:val="1"/>
                <w:color w:val="auto"/>
              </w:rPr>
              <w:t>Form 10-K</w:t>
            </w:r>
          </w:p>
        </w:tc>
      </w:t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Borders>
              <w:bottom w:val="single" w:sz="8" w:color="auto"/>
            </w:tcBorders>
          </w:tcPr>
          <w:p>
            <w:pPr>
              <w:jc w:val="right"/>
              <w:ind w:right="675"/>
              <w:spacing w:after="0"/>
              <w:rPr>
                <w:sz w:val="20"/>
                <w:szCs w:val="20"/>
                <w:color w:val="auto"/>
              </w:rPr>
            </w:pPr>
            <w:r>
              <w:rPr>
                <w:rFonts w:ascii="Arial" w:cs="Arial" w:eastAsia="Arial" w:hAnsi="Arial"/>
                <w:sz w:val="10"/>
                <w:szCs w:val="10"/>
                <w:b w:val="1"/>
                <w:bCs w:val="1"/>
                <w:color w:val="auto"/>
              </w:rPr>
              <w:t>Page</w:t>
            </w:r>
          </w:p>
        </w:tc>
      </w:tr>
      <w:tr>
        <w:trPr>
          <w:trHeight w:val="178"/>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C.</w:t>
            </w:r>
          </w:p>
        </w:tc>
        <w:tc>
          <w:tcPr>
            <w:tcW w:w="6780" w:type="dxa"/>
            <w:vAlign w:val="bottom"/>
            <w:gridSpan w:val="24"/>
          </w:tcPr>
          <w:p>
            <w:pPr>
              <w:spacing w:after="0"/>
              <w:rPr>
                <w:sz w:val="20"/>
                <w:szCs w:val="20"/>
                <w:color w:val="auto"/>
              </w:rPr>
            </w:pPr>
            <w:r>
              <w:rPr>
                <w:rFonts w:ascii="Arial" w:cs="Arial" w:eastAsia="Arial" w:hAnsi="Arial"/>
                <w:sz w:val="13"/>
                <w:szCs w:val="13"/>
                <w:color w:val="auto"/>
              </w:rPr>
              <w:t>Frequency and amount of dividends declared</w:t>
            </w:r>
          </w:p>
        </w:tc>
        <w:tc>
          <w:tcPr>
            <w:tcW w:w="1680" w:type="dxa"/>
            <w:vAlign w:val="bottom"/>
          </w:tcPr>
          <w:p>
            <w:pPr>
              <w:jc w:val="right"/>
              <w:spacing w:after="0"/>
              <w:rPr>
                <w:sz w:val="20"/>
                <w:szCs w:val="20"/>
                <w:color w:val="auto"/>
              </w:rPr>
            </w:pPr>
            <w:r>
              <w:rPr>
                <w:rFonts w:ascii="Arial" w:cs="Arial" w:eastAsia="Arial" w:hAnsi="Arial"/>
                <w:sz w:val="13"/>
                <w:szCs w:val="13"/>
                <w:color w:val="auto"/>
              </w:rPr>
              <w:t>23-24, 97, 105</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D.</w:t>
            </w:r>
          </w:p>
        </w:tc>
        <w:tc>
          <w:tcPr>
            <w:tcW w:w="6780" w:type="dxa"/>
            <w:vAlign w:val="bottom"/>
            <w:gridSpan w:val="24"/>
          </w:tcPr>
          <w:p>
            <w:pPr>
              <w:spacing w:after="0"/>
              <w:rPr>
                <w:sz w:val="20"/>
                <w:szCs w:val="20"/>
                <w:color w:val="auto"/>
              </w:rPr>
            </w:pPr>
            <w:r>
              <w:rPr>
                <w:rFonts w:ascii="Arial" w:cs="Arial" w:eastAsia="Arial" w:hAnsi="Arial"/>
                <w:sz w:val="13"/>
                <w:szCs w:val="13"/>
                <w:color w:val="auto"/>
              </w:rPr>
              <w:t>Restrictions on dividends</w:t>
            </w:r>
          </w:p>
        </w:tc>
        <w:tc>
          <w:tcPr>
            <w:tcW w:w="1680" w:type="dxa"/>
            <w:vAlign w:val="bottom"/>
          </w:tcPr>
          <w:p>
            <w:pPr>
              <w:jc w:val="right"/>
              <w:spacing w:after="0"/>
              <w:rPr>
                <w:sz w:val="20"/>
                <w:szCs w:val="20"/>
                <w:color w:val="auto"/>
              </w:rPr>
            </w:pPr>
            <w:r>
              <w:rPr>
                <w:rFonts w:ascii="Arial" w:cs="Arial" w:eastAsia="Arial" w:hAnsi="Arial"/>
                <w:sz w:val="13"/>
                <w:szCs w:val="13"/>
                <w:color w:val="auto"/>
              </w:rPr>
              <w:t>8-16</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E.</w:t>
            </w:r>
          </w:p>
        </w:tc>
        <w:tc>
          <w:tcPr>
            <w:tcW w:w="6780" w:type="dxa"/>
            <w:vAlign w:val="bottom"/>
            <w:gridSpan w:val="24"/>
          </w:tcPr>
          <w:p>
            <w:pPr>
              <w:spacing w:after="0"/>
              <w:rPr>
                <w:sz w:val="20"/>
                <w:szCs w:val="20"/>
                <w:color w:val="auto"/>
              </w:rPr>
            </w:pPr>
            <w:r>
              <w:rPr>
                <w:rFonts w:ascii="Arial" w:cs="Arial" w:eastAsia="Arial" w:hAnsi="Arial"/>
                <w:sz w:val="13"/>
                <w:szCs w:val="13"/>
                <w:color w:val="auto"/>
              </w:rPr>
              <w:t>Securities authorized for issuance under equity compensation plans</w:t>
            </w:r>
          </w:p>
        </w:tc>
        <w:tc>
          <w:tcPr>
            <w:tcW w:w="1680" w:type="dxa"/>
            <w:vAlign w:val="bottom"/>
          </w:tcPr>
          <w:p>
            <w:pPr>
              <w:jc w:val="right"/>
              <w:spacing w:after="0"/>
              <w:rPr>
                <w:sz w:val="20"/>
                <w:szCs w:val="20"/>
                <w:color w:val="auto"/>
              </w:rPr>
            </w:pPr>
            <w:r>
              <w:rPr>
                <w:rFonts w:ascii="Arial" w:cs="Arial" w:eastAsia="Arial" w:hAnsi="Arial"/>
                <w:sz w:val="13"/>
                <w:szCs w:val="13"/>
                <w:color w:val="auto"/>
              </w:rPr>
              <w:t>30, 132-134</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F.</w:t>
            </w:r>
          </w:p>
        </w:tc>
        <w:tc>
          <w:tcPr>
            <w:tcW w:w="6780" w:type="dxa"/>
            <w:vAlign w:val="bottom"/>
            <w:gridSpan w:val="24"/>
          </w:tcPr>
          <w:p>
            <w:pPr>
              <w:spacing w:after="0"/>
              <w:rPr>
                <w:sz w:val="20"/>
                <w:szCs w:val="20"/>
                <w:color w:val="auto"/>
              </w:rPr>
            </w:pPr>
            <w:r>
              <w:rPr>
                <w:rFonts w:ascii="Arial" w:cs="Arial" w:eastAsia="Arial" w:hAnsi="Arial"/>
                <w:sz w:val="13"/>
                <w:szCs w:val="13"/>
                <w:color w:val="auto"/>
              </w:rPr>
              <w:t>Performance graph</w:t>
            </w:r>
          </w:p>
        </w:tc>
        <w:tc>
          <w:tcPr>
            <w:tcW w:w="168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G.</w:t>
            </w:r>
          </w:p>
        </w:tc>
        <w:tc>
          <w:tcPr>
            <w:tcW w:w="6780" w:type="dxa"/>
            <w:vAlign w:val="bottom"/>
            <w:gridSpan w:val="24"/>
          </w:tcPr>
          <w:p>
            <w:pPr>
              <w:spacing w:after="0"/>
              <w:rPr>
                <w:sz w:val="20"/>
                <w:szCs w:val="20"/>
                <w:color w:val="auto"/>
              </w:rPr>
            </w:pPr>
            <w:r>
              <w:rPr>
                <w:rFonts w:ascii="Arial" w:cs="Arial" w:eastAsia="Arial" w:hAnsi="Arial"/>
                <w:sz w:val="13"/>
                <w:szCs w:val="13"/>
                <w:color w:val="auto"/>
              </w:rPr>
              <w:t>Repurchases of common stock</w:t>
            </w:r>
          </w:p>
        </w:tc>
        <w:tc>
          <w:tcPr>
            <w:tcW w:w="1680" w:type="dxa"/>
            <w:vAlign w:val="bottom"/>
          </w:tcPr>
          <w:p>
            <w:pPr>
              <w:jc w:val="right"/>
              <w:spacing w:after="0"/>
              <w:rPr>
                <w:sz w:val="20"/>
                <w:szCs w:val="20"/>
                <w:color w:val="auto"/>
              </w:rPr>
            </w:pPr>
            <w:r>
              <w:rPr>
                <w:rFonts w:ascii="Arial" w:cs="Arial" w:eastAsia="Arial" w:hAnsi="Arial"/>
                <w:sz w:val="13"/>
                <w:szCs w:val="13"/>
                <w:color w:val="auto"/>
              </w:rPr>
              <w:t>31-32</w:t>
            </w:r>
          </w:p>
        </w:tc>
      </w:tr>
      <w:tr>
        <w:trPr>
          <w:trHeight w:val="137"/>
        </w:trPr>
        <w:tc>
          <w:tcPr>
            <w:tcW w:w="380" w:type="dxa"/>
            <w:vAlign w:val="bottom"/>
            <w:tcBorders>
              <w:bottom w:val="single" w:sz="8" w:color="0000EE"/>
            </w:tcBorders>
            <w:gridSpan w:val="2"/>
          </w:tcPr>
          <w:p>
            <w:pPr>
              <w:spacing w:after="0" w:line="137"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6.</w:t>
              </w:r>
            </w:hyperlink>
          </w:p>
        </w:tc>
        <w:tc>
          <w:tcPr>
            <w:tcW w:w="840" w:type="dxa"/>
            <w:vAlign w:val="bottom"/>
            <w:gridSpan w:val="6"/>
          </w:tcPr>
          <w:p>
            <w:pPr>
              <w:spacing w:after="0"/>
              <w:rPr>
                <w:sz w:val="11"/>
                <w:szCs w:val="11"/>
                <w:color w:val="auto"/>
              </w:rPr>
            </w:pPr>
          </w:p>
        </w:tc>
        <w:tc>
          <w:tcPr>
            <w:tcW w:w="1260" w:type="dxa"/>
            <w:vAlign w:val="bottom"/>
            <w:tcBorders>
              <w:bottom w:val="single" w:sz="8" w:color="0000EE"/>
            </w:tcBorders>
            <w:gridSpan w:val="4"/>
          </w:tcPr>
          <w:p>
            <w:pPr>
              <w:spacing w:after="0" w:line="137"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Selected Financial Data</w:t>
              </w:r>
            </w:hyperlink>
          </w:p>
        </w:tc>
        <w:tc>
          <w:tcPr>
            <w:tcW w:w="5820" w:type="dxa"/>
            <w:vAlign w:val="bottom"/>
            <w:gridSpan w:val="22"/>
          </w:tcPr>
          <w:p>
            <w:pPr>
              <w:spacing w:after="0"/>
              <w:rPr>
                <w:sz w:val="11"/>
                <w:szCs w:val="11"/>
                <w:color w:val="auto"/>
              </w:rPr>
            </w:pPr>
          </w:p>
        </w:tc>
        <w:tc>
          <w:tcPr>
            <w:tcW w:w="1680" w:type="dxa"/>
            <w:vAlign w:val="bottom"/>
          </w:tcPr>
          <w:p>
            <w:pPr>
              <w:jc w:val="right"/>
              <w:spacing w:after="0" w:line="137" w:lineRule="exact"/>
              <w:rPr>
                <w:sz w:val="20"/>
                <w:szCs w:val="20"/>
                <w:color w:val="auto"/>
              </w:rPr>
            </w:pPr>
            <w:r>
              <w:rPr>
                <w:rFonts w:ascii="Arial" w:cs="Arial" w:eastAsia="Arial" w:hAnsi="Arial"/>
                <w:sz w:val="13"/>
                <w:szCs w:val="13"/>
                <w:color w:val="auto"/>
              </w:rPr>
              <w:t>32</w:t>
            </w:r>
          </w:p>
        </w:tc>
      </w:tr>
      <w:tr>
        <w:trPr>
          <w:trHeight w:val="158"/>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A.</w:t>
            </w:r>
          </w:p>
        </w:tc>
        <w:tc>
          <w:tcPr>
            <w:tcW w:w="6780" w:type="dxa"/>
            <w:vAlign w:val="bottom"/>
            <w:gridSpan w:val="24"/>
          </w:tcPr>
          <w:p>
            <w:pPr>
              <w:spacing w:after="0"/>
              <w:rPr>
                <w:sz w:val="20"/>
                <w:szCs w:val="20"/>
                <w:color w:val="auto"/>
              </w:rPr>
            </w:pPr>
            <w:r>
              <w:rPr>
                <w:rFonts w:ascii="Arial" w:cs="Arial" w:eastAsia="Arial" w:hAnsi="Arial"/>
                <w:sz w:val="13"/>
                <w:szCs w:val="13"/>
                <w:color w:val="auto"/>
              </w:rPr>
              <w:t>Selected consolidated year-end balances</w:t>
            </w:r>
          </w:p>
        </w:tc>
        <w:tc>
          <w:tcPr>
            <w:tcW w:w="16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B.</w:t>
            </w:r>
          </w:p>
        </w:tc>
        <w:tc>
          <w:tcPr>
            <w:tcW w:w="6780" w:type="dxa"/>
            <w:vAlign w:val="bottom"/>
            <w:gridSpan w:val="24"/>
          </w:tcPr>
          <w:p>
            <w:pPr>
              <w:spacing w:after="0"/>
              <w:rPr>
                <w:sz w:val="20"/>
                <w:szCs w:val="20"/>
                <w:color w:val="auto"/>
              </w:rPr>
            </w:pPr>
            <w:r>
              <w:rPr>
                <w:rFonts w:ascii="Arial" w:cs="Arial" w:eastAsia="Arial" w:hAnsi="Arial"/>
                <w:sz w:val="13"/>
                <w:szCs w:val="13"/>
                <w:color w:val="auto"/>
              </w:rPr>
              <w:t>Consolidated earnings, etc</w:t>
            </w:r>
          </w:p>
        </w:tc>
        <w:tc>
          <w:tcPr>
            <w:tcW w:w="168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37"/>
        </w:trPr>
        <w:tc>
          <w:tcPr>
            <w:tcW w:w="380" w:type="dxa"/>
            <w:vAlign w:val="bottom"/>
            <w:gridSpan w:val="2"/>
          </w:tcPr>
          <w:p>
            <w:pPr>
              <w:spacing w:after="0" w:line="137"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7.</w:t>
              </w:r>
            </w:hyperlink>
          </w:p>
        </w:tc>
        <w:tc>
          <w:tcPr>
            <w:tcW w:w="840" w:type="dxa"/>
            <w:vAlign w:val="bottom"/>
            <w:gridSpan w:val="6"/>
          </w:tcPr>
          <w:p>
            <w:pPr>
              <w:spacing w:after="0"/>
              <w:rPr>
                <w:sz w:val="11"/>
                <w:szCs w:val="11"/>
                <w:color w:val="auto"/>
              </w:rPr>
            </w:pPr>
          </w:p>
        </w:tc>
        <w:tc>
          <w:tcPr>
            <w:tcW w:w="7080" w:type="dxa"/>
            <w:vAlign w:val="bottom"/>
            <w:gridSpan w:val="26"/>
          </w:tcPr>
          <w:p>
            <w:pPr>
              <w:spacing w:after="0" w:line="137" w:lineRule="exact"/>
              <w:rPr>
                <w:rFonts w:ascii="Arial" w:cs="Arial" w:eastAsia="Arial" w:hAnsi="Arial"/>
                <w:sz w:val="13"/>
                <w:szCs w:val="13"/>
                <w:color w:val="0000EE"/>
              </w:rPr>
            </w:pPr>
            <w:hyperlink w:anchor="page33">
              <w:r>
                <w:rPr>
                  <w:rFonts w:ascii="Arial" w:cs="Arial" w:eastAsia="Arial" w:hAnsi="Arial"/>
                  <w:sz w:val="13"/>
                  <w:szCs w:val="13"/>
                  <w:color w:val="0000EE"/>
                </w:rPr>
                <w:t>Management’s Discussion and Analysis of Financial Condition and Results of Operations</w:t>
              </w:r>
            </w:hyperlink>
          </w:p>
        </w:tc>
        <w:tc>
          <w:tcPr>
            <w:tcW w:w="1680" w:type="dxa"/>
            <w:vAlign w:val="bottom"/>
          </w:tcPr>
          <w:p>
            <w:pPr>
              <w:jc w:val="right"/>
              <w:spacing w:after="0" w:line="137" w:lineRule="exact"/>
              <w:rPr>
                <w:sz w:val="20"/>
                <w:szCs w:val="20"/>
                <w:color w:val="auto"/>
              </w:rPr>
            </w:pPr>
            <w:r>
              <w:rPr>
                <w:rFonts w:ascii="Arial" w:cs="Arial" w:eastAsia="Arial" w:hAnsi="Arial"/>
                <w:sz w:val="13"/>
                <w:szCs w:val="13"/>
                <w:color w:val="auto"/>
              </w:rPr>
              <w:t>32-98</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100">
              <w:r>
                <w:rPr>
                  <w:rFonts w:ascii="Arial" w:cs="Arial" w:eastAsia="Arial" w:hAnsi="Arial"/>
                  <w:sz w:val="13"/>
                  <w:szCs w:val="13"/>
                  <w:color w:val="0000EE"/>
                  <w:w w:val="94"/>
                </w:rPr>
                <w:t>Item 7A.</w:t>
              </w:r>
            </w:hyperlink>
          </w:p>
        </w:tc>
        <w:tc>
          <w:tcPr>
            <w:tcW w:w="740" w:type="dxa"/>
            <w:vAlign w:val="bottom"/>
            <w:gridSpan w:val="3"/>
          </w:tcPr>
          <w:p>
            <w:pPr>
              <w:spacing w:after="0"/>
              <w:rPr>
                <w:sz w:val="11"/>
                <w:szCs w:val="11"/>
                <w:color w:val="auto"/>
              </w:rPr>
            </w:pPr>
          </w:p>
        </w:tc>
        <w:tc>
          <w:tcPr>
            <w:tcW w:w="318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100">
              <w:r>
                <w:rPr>
                  <w:rFonts w:ascii="Arial" w:cs="Arial" w:eastAsia="Arial" w:hAnsi="Arial"/>
                  <w:sz w:val="13"/>
                  <w:szCs w:val="13"/>
                  <w:color w:val="0000EE"/>
                  <w:w w:val="92"/>
                </w:rPr>
                <w:t>Quantitative and Qualitative Disclosures About Market Risk</w:t>
              </w:r>
            </w:hyperlink>
          </w:p>
        </w:tc>
        <w:tc>
          <w:tcPr>
            <w:tcW w:w="3900" w:type="dxa"/>
            <w:vAlign w:val="bottom"/>
            <w:gridSpan w:val="13"/>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99</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100">
              <w:r>
                <w:rPr>
                  <w:rFonts w:ascii="Arial" w:cs="Arial" w:eastAsia="Arial" w:hAnsi="Arial"/>
                  <w:sz w:val="13"/>
                  <w:szCs w:val="13"/>
                  <w:color w:val="0000EE"/>
                  <w:w w:val="90"/>
                </w:rPr>
                <w:t>Item 8.</w:t>
              </w:r>
            </w:hyperlink>
          </w:p>
        </w:tc>
        <w:tc>
          <w:tcPr>
            <w:tcW w:w="840" w:type="dxa"/>
            <w:vAlign w:val="bottom"/>
            <w:gridSpan w:val="6"/>
          </w:tcPr>
          <w:p>
            <w:pPr>
              <w:spacing w:after="0"/>
              <w:rPr>
                <w:sz w:val="11"/>
                <w:szCs w:val="11"/>
                <w:color w:val="auto"/>
              </w:rPr>
            </w:pPr>
          </w:p>
        </w:tc>
        <w:tc>
          <w:tcPr>
            <w:tcW w:w="7080" w:type="dxa"/>
            <w:vAlign w:val="bottom"/>
            <w:gridSpan w:val="26"/>
          </w:tcPr>
          <w:p>
            <w:pPr>
              <w:spacing w:after="0" w:line="138" w:lineRule="exact"/>
              <w:rPr>
                <w:rFonts w:ascii="Arial" w:cs="Arial" w:eastAsia="Arial" w:hAnsi="Arial"/>
                <w:sz w:val="13"/>
                <w:szCs w:val="13"/>
                <w:color w:val="0000EE"/>
              </w:rPr>
            </w:pPr>
            <w:hyperlink w:anchor="page100">
              <w:r>
                <w:rPr>
                  <w:rFonts w:ascii="Arial" w:cs="Arial" w:eastAsia="Arial" w:hAnsi="Arial"/>
                  <w:sz w:val="13"/>
                  <w:szCs w:val="13"/>
                  <w:color w:val="0000EE"/>
                </w:rPr>
                <w:t>Financial Statements and Supplementary Data</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99</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rFonts w:ascii="Arial" w:cs="Arial" w:eastAsia="Arial" w:hAnsi="Arial"/>
                <w:sz w:val="8"/>
                <w:szCs w:val="8"/>
                <w:color w:val="0000EE"/>
                <w:w w:val="78"/>
              </w:rPr>
            </w:pPr>
            <w:hyperlink w:anchor="page101">
              <w:r>
                <w:rPr>
                  <w:rFonts w:ascii="Arial" w:cs="Arial" w:eastAsia="Arial" w:hAnsi="Arial"/>
                  <w:sz w:val="8"/>
                  <w:szCs w:val="8"/>
                  <w:color w:val="0000EE"/>
                  <w:w w:val="78"/>
                </w:rPr>
                <w:t>A.</w:t>
              </w:r>
            </w:hyperlink>
          </w:p>
        </w:tc>
        <w:tc>
          <w:tcPr>
            <w:tcW w:w="200" w:type="dxa"/>
            <w:vAlign w:val="bottom"/>
          </w:tcPr>
          <w:p>
            <w:pPr>
              <w:spacing w:after="0"/>
              <w:rPr>
                <w:sz w:val="11"/>
                <w:szCs w:val="11"/>
                <w:color w:val="auto"/>
              </w:rPr>
            </w:pPr>
          </w:p>
        </w:tc>
        <w:tc>
          <w:tcPr>
            <w:tcW w:w="6780" w:type="dxa"/>
            <w:vAlign w:val="bottom"/>
            <w:gridSpan w:val="24"/>
          </w:tcPr>
          <w:p>
            <w:pPr>
              <w:spacing w:after="0" w:line="138" w:lineRule="exact"/>
              <w:rPr>
                <w:rFonts w:ascii="Arial" w:cs="Arial" w:eastAsia="Arial" w:hAnsi="Arial"/>
                <w:sz w:val="13"/>
                <w:szCs w:val="13"/>
                <w:color w:val="0000EE"/>
              </w:rPr>
            </w:pPr>
            <w:hyperlink w:anchor="page101">
              <w:r>
                <w:rPr>
                  <w:rFonts w:ascii="Arial" w:cs="Arial" w:eastAsia="Arial" w:hAnsi="Arial"/>
                  <w:sz w:val="13"/>
                  <w:szCs w:val="13"/>
                  <w:color w:val="0000EE"/>
                </w:rPr>
                <w:t>Report on Internal Control Over Financial Reporting</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100</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0000EE"/>
            </w:tcBorders>
          </w:tcPr>
          <w:p>
            <w:pPr>
              <w:spacing w:after="0"/>
              <w:rPr>
                <w:rFonts w:ascii="Arial" w:cs="Arial" w:eastAsia="Arial" w:hAnsi="Arial"/>
                <w:sz w:val="8"/>
                <w:szCs w:val="8"/>
                <w:color w:val="0000EE"/>
                <w:w w:val="78"/>
              </w:rPr>
            </w:pPr>
            <w:hyperlink w:anchor="page102">
              <w:r>
                <w:rPr>
                  <w:rFonts w:ascii="Arial" w:cs="Arial" w:eastAsia="Arial" w:hAnsi="Arial"/>
                  <w:sz w:val="8"/>
                  <w:szCs w:val="8"/>
                  <w:color w:val="0000EE"/>
                  <w:w w:val="78"/>
                </w:rPr>
                <w:t>B.</w:t>
              </w:r>
            </w:hyperlink>
          </w:p>
        </w:tc>
        <w:tc>
          <w:tcPr>
            <w:tcW w:w="200" w:type="dxa"/>
            <w:vAlign w:val="bottom"/>
          </w:tcPr>
          <w:p>
            <w:pPr>
              <w:spacing w:after="0"/>
              <w:rPr>
                <w:sz w:val="11"/>
                <w:szCs w:val="11"/>
                <w:color w:val="auto"/>
              </w:rPr>
            </w:pPr>
          </w:p>
        </w:tc>
        <w:tc>
          <w:tcPr>
            <w:tcW w:w="3080" w:type="dxa"/>
            <w:vAlign w:val="bottom"/>
            <w:tcBorders>
              <w:bottom w:val="single" w:sz="8" w:color="0000EE"/>
            </w:tcBorders>
            <w:gridSpan w:val="12"/>
          </w:tcPr>
          <w:p>
            <w:pPr>
              <w:spacing w:after="0" w:line="138" w:lineRule="exact"/>
              <w:rPr>
                <w:rFonts w:ascii="Arial" w:cs="Arial" w:eastAsia="Arial" w:hAnsi="Arial"/>
                <w:sz w:val="13"/>
                <w:szCs w:val="13"/>
                <w:color w:val="0000EE"/>
                <w:w w:val="92"/>
              </w:rPr>
            </w:pPr>
            <w:hyperlink w:anchor="page102">
              <w:r>
                <w:rPr>
                  <w:rFonts w:ascii="Arial" w:cs="Arial" w:eastAsia="Arial" w:hAnsi="Arial"/>
                  <w:sz w:val="13"/>
                  <w:szCs w:val="13"/>
                  <w:color w:val="0000EE"/>
                  <w:w w:val="92"/>
                </w:rPr>
                <w:t>Report of Independent Registered Public Accounting Firm</w:t>
              </w:r>
            </w:hyperlink>
          </w:p>
        </w:tc>
        <w:tc>
          <w:tcPr>
            <w:tcW w:w="3700" w:type="dxa"/>
            <w:vAlign w:val="bottom"/>
            <w:gridSpan w:val="12"/>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0000EE"/>
            </w:tcBorders>
          </w:tcPr>
          <w:p>
            <w:pPr>
              <w:spacing w:after="0"/>
              <w:rPr>
                <w:rFonts w:ascii="Arial" w:cs="Arial" w:eastAsia="Arial" w:hAnsi="Arial"/>
                <w:sz w:val="8"/>
                <w:szCs w:val="8"/>
                <w:color w:val="0000EE"/>
                <w:w w:val="74"/>
              </w:rPr>
            </w:pPr>
            <w:hyperlink w:anchor="page103">
              <w:r>
                <w:rPr>
                  <w:rFonts w:ascii="Arial" w:cs="Arial" w:eastAsia="Arial" w:hAnsi="Arial"/>
                  <w:sz w:val="8"/>
                  <w:szCs w:val="8"/>
                  <w:color w:val="0000EE"/>
                  <w:w w:val="74"/>
                </w:rPr>
                <w:t>C.</w:t>
              </w:r>
            </w:hyperlink>
          </w:p>
        </w:tc>
        <w:tc>
          <w:tcPr>
            <w:tcW w:w="200" w:type="dxa"/>
            <w:vAlign w:val="bottom"/>
          </w:tcPr>
          <w:p>
            <w:pPr>
              <w:spacing w:after="0"/>
              <w:rPr>
                <w:sz w:val="11"/>
                <w:szCs w:val="11"/>
                <w:color w:val="auto"/>
              </w:rPr>
            </w:pPr>
          </w:p>
        </w:tc>
        <w:tc>
          <w:tcPr>
            <w:tcW w:w="324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170">
              <w:r>
                <w:rPr>
                  <w:rFonts w:ascii="Arial" w:cs="Arial" w:eastAsia="Arial" w:hAnsi="Arial"/>
                  <w:sz w:val="13"/>
                  <w:szCs w:val="13"/>
                  <w:color w:val="0000EE"/>
                  <w:w w:val="90"/>
                </w:rPr>
                <w:t>Consolidated Balance Sheet — December 31, 2010 and 2009</w:t>
              </w:r>
            </w:hyperlink>
          </w:p>
        </w:tc>
        <w:tc>
          <w:tcPr>
            <w:tcW w:w="3540" w:type="dxa"/>
            <w:vAlign w:val="bottom"/>
            <w:gridSpan w:val="10"/>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0000EE"/>
            </w:tcBorders>
          </w:tcPr>
          <w:p>
            <w:pPr>
              <w:spacing w:after="0"/>
              <w:rPr>
                <w:rFonts w:ascii="Arial" w:cs="Arial" w:eastAsia="Arial" w:hAnsi="Arial"/>
                <w:sz w:val="8"/>
                <w:szCs w:val="8"/>
                <w:color w:val="0000EE"/>
                <w:w w:val="74"/>
              </w:rPr>
            </w:pPr>
            <w:hyperlink w:anchor="page104">
              <w:r>
                <w:rPr>
                  <w:rFonts w:ascii="Arial" w:cs="Arial" w:eastAsia="Arial" w:hAnsi="Arial"/>
                  <w:sz w:val="8"/>
                  <w:szCs w:val="8"/>
                  <w:color w:val="0000EE"/>
                  <w:w w:val="74"/>
                </w:rPr>
                <w:t>D.</w:t>
              </w:r>
            </w:hyperlink>
          </w:p>
        </w:tc>
        <w:tc>
          <w:tcPr>
            <w:tcW w:w="200" w:type="dxa"/>
            <w:vAlign w:val="bottom"/>
          </w:tcPr>
          <w:p>
            <w:pPr>
              <w:spacing w:after="0"/>
              <w:rPr>
                <w:sz w:val="11"/>
                <w:szCs w:val="11"/>
                <w:color w:val="auto"/>
              </w:rPr>
            </w:pPr>
          </w:p>
        </w:tc>
        <w:tc>
          <w:tcPr>
            <w:tcW w:w="4560" w:type="dxa"/>
            <w:vAlign w:val="bottom"/>
            <w:tcBorders>
              <w:bottom w:val="single" w:sz="8" w:color="0000EE"/>
            </w:tcBorders>
            <w:gridSpan w:val="20"/>
          </w:tcPr>
          <w:p>
            <w:pPr>
              <w:spacing w:after="0" w:line="138" w:lineRule="exact"/>
              <w:rPr>
                <w:rFonts w:ascii="Arial" w:cs="Arial" w:eastAsia="Arial" w:hAnsi="Arial"/>
                <w:sz w:val="13"/>
                <w:szCs w:val="13"/>
                <w:color w:val="0000EE"/>
                <w:w w:val="89"/>
              </w:rPr>
            </w:pPr>
            <w:hyperlink w:anchor="page104">
              <w:r>
                <w:rPr>
                  <w:rFonts w:ascii="Arial" w:cs="Arial" w:eastAsia="Arial" w:hAnsi="Arial"/>
                  <w:sz w:val="13"/>
                  <w:szCs w:val="13"/>
                  <w:color w:val="0000EE"/>
                  <w:w w:val="89"/>
                </w:rPr>
                <w:t>Consolidated Statement of Income — Years ended December 31, 2010, 2009 and 2008</w:t>
              </w:r>
            </w:hyperlink>
          </w:p>
        </w:tc>
        <w:tc>
          <w:tcPr>
            <w:tcW w:w="2220" w:type="dxa"/>
            <w:vAlign w:val="bottom"/>
            <w:gridSpan w:val="4"/>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rFonts w:ascii="Arial" w:cs="Arial" w:eastAsia="Arial" w:hAnsi="Arial"/>
                <w:sz w:val="8"/>
                <w:szCs w:val="8"/>
                <w:color w:val="0000EE"/>
                <w:w w:val="78"/>
              </w:rPr>
            </w:pPr>
            <w:hyperlink w:anchor="page105">
              <w:r>
                <w:rPr>
                  <w:rFonts w:ascii="Arial" w:cs="Arial" w:eastAsia="Arial" w:hAnsi="Arial"/>
                  <w:sz w:val="8"/>
                  <w:szCs w:val="8"/>
                  <w:color w:val="0000EE"/>
                  <w:w w:val="78"/>
                </w:rPr>
                <w:t>E.</w:t>
              </w:r>
            </w:hyperlink>
          </w:p>
        </w:tc>
        <w:tc>
          <w:tcPr>
            <w:tcW w:w="200" w:type="dxa"/>
            <w:vAlign w:val="bottom"/>
          </w:tcPr>
          <w:p>
            <w:pPr>
              <w:spacing w:after="0"/>
              <w:rPr>
                <w:sz w:val="11"/>
                <w:szCs w:val="11"/>
                <w:color w:val="auto"/>
              </w:rPr>
            </w:pPr>
          </w:p>
        </w:tc>
        <w:tc>
          <w:tcPr>
            <w:tcW w:w="6780" w:type="dxa"/>
            <w:vAlign w:val="bottom"/>
            <w:gridSpan w:val="24"/>
          </w:tcPr>
          <w:p>
            <w:pPr>
              <w:spacing w:after="0" w:line="138" w:lineRule="exact"/>
              <w:rPr>
                <w:rFonts w:ascii="Arial" w:cs="Arial" w:eastAsia="Arial" w:hAnsi="Arial"/>
                <w:sz w:val="13"/>
                <w:szCs w:val="13"/>
                <w:color w:val="0000EE"/>
              </w:rPr>
            </w:pPr>
            <w:hyperlink w:anchor="page105">
              <w:r>
                <w:rPr>
                  <w:rFonts w:ascii="Arial" w:cs="Arial" w:eastAsia="Arial" w:hAnsi="Arial"/>
                  <w:sz w:val="13"/>
                  <w:szCs w:val="13"/>
                  <w:color w:val="0000EE"/>
                </w:rPr>
                <w:t>Consolidated Statement of Cash Flows — Years ended December 31, 2010, 2009 and 2008</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rFonts w:ascii="Arial" w:cs="Arial" w:eastAsia="Arial" w:hAnsi="Arial"/>
                <w:sz w:val="9"/>
                <w:szCs w:val="9"/>
                <w:color w:val="0000EE"/>
                <w:w w:val="74"/>
              </w:rPr>
            </w:pPr>
            <w:hyperlink w:anchor="page106">
              <w:r>
                <w:rPr>
                  <w:rFonts w:ascii="Arial" w:cs="Arial" w:eastAsia="Arial" w:hAnsi="Arial"/>
                  <w:sz w:val="9"/>
                  <w:szCs w:val="9"/>
                  <w:color w:val="0000EE"/>
                  <w:w w:val="74"/>
                </w:rPr>
                <w:t>F.</w:t>
              </w:r>
            </w:hyperlink>
          </w:p>
        </w:tc>
        <w:tc>
          <w:tcPr>
            <w:tcW w:w="200" w:type="dxa"/>
            <w:vAlign w:val="bottom"/>
          </w:tcPr>
          <w:p>
            <w:pPr>
              <w:spacing w:after="0"/>
              <w:rPr>
                <w:sz w:val="11"/>
                <w:szCs w:val="11"/>
                <w:color w:val="auto"/>
              </w:rPr>
            </w:pPr>
          </w:p>
        </w:tc>
        <w:tc>
          <w:tcPr>
            <w:tcW w:w="6780" w:type="dxa"/>
            <w:vAlign w:val="bottom"/>
            <w:gridSpan w:val="24"/>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Consolidated Statement of Changes in Shareholders’ Equity — Years ended December 31, 2010, 2009 and 2008</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rFonts w:ascii="Arial" w:cs="Arial" w:eastAsia="Arial" w:hAnsi="Arial"/>
                <w:sz w:val="8"/>
                <w:szCs w:val="8"/>
                <w:color w:val="0000EE"/>
                <w:w w:val="70"/>
              </w:rPr>
            </w:pPr>
            <w:hyperlink w:anchor="page107">
              <w:r>
                <w:rPr>
                  <w:rFonts w:ascii="Arial" w:cs="Arial" w:eastAsia="Arial" w:hAnsi="Arial"/>
                  <w:sz w:val="8"/>
                  <w:szCs w:val="8"/>
                  <w:color w:val="0000EE"/>
                  <w:w w:val="70"/>
                </w:rPr>
                <w:t>G.</w:t>
              </w:r>
            </w:hyperlink>
          </w:p>
        </w:tc>
        <w:tc>
          <w:tcPr>
            <w:tcW w:w="200" w:type="dxa"/>
            <w:vAlign w:val="bottom"/>
          </w:tcPr>
          <w:p>
            <w:pPr>
              <w:spacing w:after="0"/>
              <w:rPr>
                <w:sz w:val="11"/>
                <w:szCs w:val="11"/>
                <w:color w:val="auto"/>
              </w:rPr>
            </w:pPr>
          </w:p>
        </w:tc>
        <w:tc>
          <w:tcPr>
            <w:tcW w:w="6780" w:type="dxa"/>
            <w:vAlign w:val="bottom"/>
            <w:gridSpan w:val="24"/>
          </w:tcPr>
          <w:p>
            <w:pPr>
              <w:spacing w:after="0" w:line="138" w:lineRule="exact"/>
              <w:rPr>
                <w:rFonts w:ascii="Arial" w:cs="Arial" w:eastAsia="Arial" w:hAnsi="Arial"/>
                <w:sz w:val="13"/>
                <w:szCs w:val="13"/>
                <w:color w:val="0000EE"/>
              </w:rPr>
            </w:pPr>
            <w:hyperlink w:anchor="page107">
              <w:r>
                <w:rPr>
                  <w:rFonts w:ascii="Arial" w:cs="Arial" w:eastAsia="Arial" w:hAnsi="Arial"/>
                  <w:sz w:val="13"/>
                  <w:szCs w:val="13"/>
                  <w:color w:val="0000EE"/>
                </w:rPr>
                <w:t>Notes to Financial Statements</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106-168</w:t>
            </w:r>
          </w:p>
        </w:tc>
      </w:tr>
      <w:tr>
        <w:trPr>
          <w:trHeight w:val="158"/>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0000EE"/>
            </w:tcBorders>
          </w:tcPr>
          <w:p>
            <w:pPr>
              <w:spacing w:after="0"/>
              <w:rPr>
                <w:sz w:val="20"/>
                <w:szCs w:val="20"/>
                <w:color w:val="auto"/>
              </w:rPr>
            </w:pPr>
            <w:r>
              <w:rPr>
                <w:rFonts w:ascii="Arial" w:cs="Arial" w:eastAsia="Arial" w:hAnsi="Arial"/>
                <w:sz w:val="8"/>
                <w:szCs w:val="8"/>
                <w:color w:val="auto"/>
                <w:w w:val="74"/>
              </w:rPr>
              <w:t>H.</w:t>
            </w:r>
          </w:p>
        </w:tc>
        <w:tc>
          <w:tcPr>
            <w:tcW w:w="200" w:type="dxa"/>
            <w:vAlign w:val="bottom"/>
          </w:tcPr>
          <w:p>
            <w:pPr>
              <w:spacing w:after="0"/>
              <w:rPr>
                <w:sz w:val="13"/>
                <w:szCs w:val="13"/>
                <w:color w:val="auto"/>
              </w:rPr>
            </w:pPr>
          </w:p>
        </w:tc>
        <w:tc>
          <w:tcPr>
            <w:tcW w:w="1560" w:type="dxa"/>
            <w:vAlign w:val="bottom"/>
            <w:tcBorders>
              <w:top w:val="single" w:sz="8" w:color="0000EE"/>
            </w:tcBorders>
            <w:gridSpan w:val="5"/>
          </w:tcPr>
          <w:p>
            <w:pPr>
              <w:spacing w:after="0"/>
              <w:rPr>
                <w:sz w:val="20"/>
                <w:szCs w:val="20"/>
                <w:color w:val="auto"/>
              </w:rPr>
            </w:pPr>
            <w:r>
              <w:rPr>
                <w:rFonts w:ascii="Arial" w:cs="Arial" w:eastAsia="Arial" w:hAnsi="Arial"/>
                <w:sz w:val="13"/>
                <w:szCs w:val="13"/>
                <w:color w:val="auto"/>
              </w:rPr>
              <w:t>Quarterly Trends</w:t>
            </w:r>
          </w:p>
        </w:tc>
        <w:tc>
          <w:tcPr>
            <w:tcW w:w="5220" w:type="dxa"/>
            <w:vAlign w:val="bottom"/>
            <w:gridSpan w:val="19"/>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37"/>
        </w:trPr>
        <w:tc>
          <w:tcPr>
            <w:tcW w:w="380" w:type="dxa"/>
            <w:vAlign w:val="bottom"/>
            <w:gridSpan w:val="2"/>
          </w:tcPr>
          <w:p>
            <w:pPr>
              <w:spacing w:after="0" w:line="137" w:lineRule="exact"/>
              <w:rPr>
                <w:rFonts w:ascii="Arial" w:cs="Arial" w:eastAsia="Arial" w:hAnsi="Arial"/>
                <w:sz w:val="13"/>
                <w:szCs w:val="13"/>
                <w:color w:val="0000EE"/>
                <w:w w:val="90"/>
              </w:rPr>
            </w:pPr>
            <w:hyperlink w:anchor="page170">
              <w:r>
                <w:rPr>
                  <w:rFonts w:ascii="Arial" w:cs="Arial" w:eastAsia="Arial" w:hAnsi="Arial"/>
                  <w:sz w:val="13"/>
                  <w:szCs w:val="13"/>
                  <w:color w:val="0000EE"/>
                  <w:w w:val="90"/>
                </w:rPr>
                <w:t>Item 9.</w:t>
              </w:r>
            </w:hyperlink>
          </w:p>
        </w:tc>
        <w:tc>
          <w:tcPr>
            <w:tcW w:w="840" w:type="dxa"/>
            <w:vAlign w:val="bottom"/>
            <w:gridSpan w:val="6"/>
          </w:tcPr>
          <w:p>
            <w:pPr>
              <w:spacing w:after="0"/>
              <w:rPr>
                <w:sz w:val="11"/>
                <w:szCs w:val="11"/>
                <w:color w:val="auto"/>
              </w:rPr>
            </w:pPr>
          </w:p>
        </w:tc>
        <w:tc>
          <w:tcPr>
            <w:tcW w:w="7080" w:type="dxa"/>
            <w:vAlign w:val="bottom"/>
            <w:gridSpan w:val="26"/>
          </w:tcPr>
          <w:p>
            <w:pPr>
              <w:spacing w:after="0" w:line="137" w:lineRule="exact"/>
              <w:rPr>
                <w:rFonts w:ascii="Arial" w:cs="Arial" w:eastAsia="Arial" w:hAnsi="Arial"/>
                <w:sz w:val="13"/>
                <w:szCs w:val="13"/>
                <w:color w:val="0000EE"/>
              </w:rPr>
            </w:pPr>
            <w:hyperlink w:anchor="page170">
              <w:r>
                <w:rPr>
                  <w:rFonts w:ascii="Arial" w:cs="Arial" w:eastAsia="Arial" w:hAnsi="Arial"/>
                  <w:sz w:val="13"/>
                  <w:szCs w:val="13"/>
                  <w:color w:val="0000EE"/>
                </w:rPr>
                <w:t>Changes in and Disagreements with Accountants on Accounting and Financial Disclosure</w:t>
              </w:r>
            </w:hyperlink>
          </w:p>
        </w:tc>
        <w:tc>
          <w:tcPr>
            <w:tcW w:w="1680" w:type="dxa"/>
            <w:vAlign w:val="bottom"/>
          </w:tcPr>
          <w:p>
            <w:pPr>
              <w:jc w:val="right"/>
              <w:spacing w:after="0" w:line="137" w:lineRule="exact"/>
              <w:rPr>
                <w:sz w:val="20"/>
                <w:szCs w:val="20"/>
                <w:color w:val="auto"/>
              </w:rPr>
            </w:pPr>
            <w:r>
              <w:rPr>
                <w:rFonts w:ascii="Arial" w:cs="Arial" w:eastAsia="Arial" w:hAnsi="Arial"/>
                <w:sz w:val="13"/>
                <w:szCs w:val="13"/>
                <w:color w:val="auto"/>
              </w:rPr>
              <w:t>169</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170">
              <w:r>
                <w:rPr>
                  <w:rFonts w:ascii="Arial" w:cs="Arial" w:eastAsia="Arial" w:hAnsi="Arial"/>
                  <w:sz w:val="13"/>
                  <w:szCs w:val="13"/>
                  <w:color w:val="0000EE"/>
                  <w:w w:val="94"/>
                </w:rPr>
                <w:t>Item 9A.</w:t>
              </w:r>
            </w:hyperlink>
          </w:p>
        </w:tc>
        <w:tc>
          <w:tcPr>
            <w:tcW w:w="740" w:type="dxa"/>
            <w:vAlign w:val="bottom"/>
            <w:gridSpan w:val="3"/>
          </w:tcPr>
          <w:p>
            <w:pPr>
              <w:spacing w:after="0"/>
              <w:rPr>
                <w:sz w:val="11"/>
                <w:szCs w:val="11"/>
                <w:color w:val="auto"/>
              </w:rPr>
            </w:pPr>
          </w:p>
        </w:tc>
        <w:tc>
          <w:tcPr>
            <w:tcW w:w="1300" w:type="dxa"/>
            <w:vAlign w:val="bottom"/>
            <w:tcBorders>
              <w:bottom w:val="single" w:sz="8" w:color="0000EE"/>
            </w:tcBorders>
            <w:gridSpan w:val="5"/>
          </w:tcPr>
          <w:p>
            <w:pPr>
              <w:spacing w:after="0" w:line="138" w:lineRule="exact"/>
              <w:rPr>
                <w:rFonts w:ascii="Arial" w:cs="Arial" w:eastAsia="Arial" w:hAnsi="Arial"/>
                <w:sz w:val="13"/>
                <w:szCs w:val="13"/>
                <w:color w:val="0000EE"/>
                <w:w w:val="88"/>
              </w:rPr>
            </w:pPr>
            <w:hyperlink w:anchor="page170">
              <w:r>
                <w:rPr>
                  <w:rFonts w:ascii="Arial" w:cs="Arial" w:eastAsia="Arial" w:hAnsi="Arial"/>
                  <w:sz w:val="13"/>
                  <w:szCs w:val="13"/>
                  <w:color w:val="0000EE"/>
                  <w:w w:val="88"/>
                </w:rPr>
                <w:t>Controls and Procedures</w:t>
              </w:r>
            </w:hyperlink>
          </w:p>
        </w:tc>
        <w:tc>
          <w:tcPr>
            <w:tcW w:w="5780" w:type="dxa"/>
            <w:vAlign w:val="bottom"/>
            <w:gridSpan w:val="21"/>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169</w:t>
            </w:r>
          </w:p>
        </w:tc>
      </w:tr>
      <w:tr>
        <w:trPr>
          <w:trHeight w:val="158"/>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A.</w:t>
            </w:r>
          </w:p>
        </w:tc>
        <w:tc>
          <w:tcPr>
            <w:tcW w:w="6780" w:type="dxa"/>
            <w:vAlign w:val="bottom"/>
            <w:gridSpan w:val="24"/>
          </w:tcPr>
          <w:p>
            <w:pPr>
              <w:spacing w:after="0"/>
              <w:rPr>
                <w:sz w:val="20"/>
                <w:szCs w:val="20"/>
                <w:color w:val="auto"/>
              </w:rPr>
            </w:pPr>
            <w:r>
              <w:rPr>
                <w:rFonts w:ascii="Arial" w:cs="Arial" w:eastAsia="Arial" w:hAnsi="Arial"/>
                <w:sz w:val="13"/>
                <w:szCs w:val="13"/>
                <w:color w:val="auto"/>
              </w:rPr>
              <w:t>Conclusions of principal executive officer and principal financial officer regarding disclosure controls and procedures</w:t>
            </w:r>
          </w:p>
        </w:tc>
        <w:tc>
          <w:tcPr>
            <w:tcW w:w="16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B.</w:t>
            </w:r>
          </w:p>
        </w:tc>
        <w:tc>
          <w:tcPr>
            <w:tcW w:w="6780" w:type="dxa"/>
            <w:vAlign w:val="bottom"/>
            <w:gridSpan w:val="24"/>
          </w:tcPr>
          <w:p>
            <w:pPr>
              <w:spacing w:after="0"/>
              <w:rPr>
                <w:sz w:val="20"/>
                <w:szCs w:val="20"/>
                <w:color w:val="auto"/>
              </w:rPr>
            </w:pPr>
            <w:r>
              <w:rPr>
                <w:rFonts w:ascii="Arial" w:cs="Arial" w:eastAsia="Arial" w:hAnsi="Arial"/>
                <w:sz w:val="13"/>
                <w:szCs w:val="13"/>
                <w:color w:val="auto"/>
              </w:rPr>
              <w:t>Management’s annual report on internal control over financial reporting</w:t>
            </w:r>
          </w:p>
        </w:tc>
        <w:tc>
          <w:tcPr>
            <w:tcW w:w="16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C.</w:t>
            </w:r>
          </w:p>
        </w:tc>
        <w:tc>
          <w:tcPr>
            <w:tcW w:w="6780" w:type="dxa"/>
            <w:vAlign w:val="bottom"/>
            <w:gridSpan w:val="24"/>
          </w:tcPr>
          <w:p>
            <w:pPr>
              <w:spacing w:after="0"/>
              <w:rPr>
                <w:sz w:val="20"/>
                <w:szCs w:val="20"/>
                <w:color w:val="auto"/>
              </w:rPr>
            </w:pPr>
            <w:r>
              <w:rPr>
                <w:rFonts w:ascii="Arial" w:cs="Arial" w:eastAsia="Arial" w:hAnsi="Arial"/>
                <w:sz w:val="13"/>
                <w:szCs w:val="13"/>
                <w:color w:val="auto"/>
              </w:rPr>
              <w:t>Attestation report of the registered public accounting firm</w:t>
            </w:r>
          </w:p>
        </w:tc>
        <w:tc>
          <w:tcPr>
            <w:tcW w:w="16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rPr>
              <w:t>D.</w:t>
            </w:r>
          </w:p>
        </w:tc>
        <w:tc>
          <w:tcPr>
            <w:tcW w:w="6780" w:type="dxa"/>
            <w:vAlign w:val="bottom"/>
            <w:gridSpan w:val="24"/>
          </w:tcPr>
          <w:p>
            <w:pPr>
              <w:spacing w:after="0"/>
              <w:rPr>
                <w:sz w:val="20"/>
                <w:szCs w:val="20"/>
                <w:color w:val="auto"/>
              </w:rPr>
            </w:pPr>
            <w:r>
              <w:rPr>
                <w:rFonts w:ascii="Arial" w:cs="Arial" w:eastAsia="Arial" w:hAnsi="Arial"/>
                <w:sz w:val="13"/>
                <w:szCs w:val="13"/>
                <w:color w:val="auto"/>
              </w:rPr>
              <w:t>Changes in internal control over financial reporting</w:t>
            </w:r>
          </w:p>
        </w:tc>
        <w:tc>
          <w:tcPr>
            <w:tcW w:w="16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37"/>
        </w:trPr>
        <w:tc>
          <w:tcPr>
            <w:tcW w:w="1220" w:type="dxa"/>
            <w:vAlign w:val="bottom"/>
            <w:gridSpan w:val="8"/>
          </w:tcPr>
          <w:p>
            <w:pPr>
              <w:spacing w:after="0" w:line="137" w:lineRule="exact"/>
              <w:rPr>
                <w:rFonts w:ascii="Arial" w:cs="Arial" w:eastAsia="Arial" w:hAnsi="Arial"/>
                <w:sz w:val="13"/>
                <w:szCs w:val="13"/>
                <w:color w:val="0000EE"/>
              </w:rPr>
            </w:pPr>
            <w:hyperlink w:anchor="page170">
              <w:r>
                <w:rPr>
                  <w:rFonts w:ascii="Arial" w:cs="Arial" w:eastAsia="Arial" w:hAnsi="Arial"/>
                  <w:sz w:val="13"/>
                  <w:szCs w:val="13"/>
                  <w:color w:val="0000EE"/>
                </w:rPr>
                <w:t>Item 9B.</w:t>
              </w:r>
            </w:hyperlink>
          </w:p>
        </w:tc>
        <w:tc>
          <w:tcPr>
            <w:tcW w:w="7080" w:type="dxa"/>
            <w:vAlign w:val="bottom"/>
            <w:gridSpan w:val="26"/>
          </w:tcPr>
          <w:p>
            <w:pPr>
              <w:spacing w:after="0" w:line="137" w:lineRule="exact"/>
              <w:rPr>
                <w:rFonts w:ascii="Arial" w:cs="Arial" w:eastAsia="Arial" w:hAnsi="Arial"/>
                <w:sz w:val="13"/>
                <w:szCs w:val="13"/>
                <w:color w:val="0000EE"/>
              </w:rPr>
            </w:pPr>
            <w:hyperlink w:anchor="page170">
              <w:r>
                <w:rPr>
                  <w:rFonts w:ascii="Arial" w:cs="Arial" w:eastAsia="Arial" w:hAnsi="Arial"/>
                  <w:sz w:val="13"/>
                  <w:szCs w:val="13"/>
                  <w:color w:val="0000EE"/>
                </w:rPr>
                <w:t>Other Information</w:t>
              </w:r>
            </w:hyperlink>
          </w:p>
        </w:tc>
        <w:tc>
          <w:tcPr>
            <w:tcW w:w="1680" w:type="dxa"/>
            <w:vAlign w:val="bottom"/>
          </w:tcPr>
          <w:p>
            <w:pPr>
              <w:jc w:val="right"/>
              <w:spacing w:after="0" w:line="137" w:lineRule="exact"/>
              <w:rPr>
                <w:sz w:val="20"/>
                <w:szCs w:val="20"/>
                <w:color w:val="auto"/>
              </w:rPr>
            </w:pPr>
            <w:r>
              <w:rPr>
                <w:rFonts w:ascii="Arial" w:cs="Arial" w:eastAsia="Arial" w:hAnsi="Arial"/>
                <w:sz w:val="13"/>
                <w:szCs w:val="13"/>
                <w:color w:val="auto"/>
              </w:rPr>
              <w:t>169</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Borders>
              <w:bottom w:val="single" w:sz="8" w:color="0000EE"/>
            </w:tcBorders>
            <w:gridSpan w:val="4"/>
          </w:tcPr>
          <w:p>
            <w:pPr>
              <w:spacing w:after="0"/>
              <w:rPr>
                <w:rFonts w:ascii="Arial" w:cs="Arial" w:eastAsia="Arial" w:hAnsi="Arial"/>
                <w:sz w:val="13"/>
                <w:szCs w:val="13"/>
                <w:b w:val="1"/>
                <w:bCs w:val="1"/>
                <w:color w:val="0000EE"/>
              </w:rPr>
            </w:pPr>
            <w:hyperlink w:anchor="page170">
              <w:r>
                <w:rPr>
                  <w:rFonts w:ascii="Arial" w:cs="Arial" w:eastAsia="Arial" w:hAnsi="Arial"/>
                  <w:sz w:val="13"/>
                  <w:szCs w:val="13"/>
                  <w:b w:val="1"/>
                  <w:bCs w:val="1"/>
                  <w:color w:val="0000EE"/>
                </w:rPr>
                <w:t>PART III</w:t>
              </w:r>
            </w:hyperlink>
          </w:p>
        </w:tc>
        <w:tc>
          <w:tcPr>
            <w:tcW w:w="3020" w:type="dxa"/>
            <w:vAlign w:val="bottom"/>
            <w:gridSpan w:val="7"/>
          </w:tcPr>
          <w:p>
            <w:pPr>
              <w:spacing w:after="0"/>
              <w:rPr>
                <w:sz w:val="22"/>
                <w:szCs w:val="22"/>
                <w:color w:val="auto"/>
              </w:rPr>
            </w:pPr>
          </w:p>
        </w:tc>
        <w:tc>
          <w:tcPr>
            <w:tcW w:w="1680" w:type="dxa"/>
            <w:vAlign w:val="bottom"/>
          </w:tcPr>
          <w:p>
            <w:pPr>
              <w:spacing w:after="0"/>
              <w:rPr>
                <w:sz w:val="22"/>
                <w:szCs w:val="22"/>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0">
              <w:r>
                <w:rPr>
                  <w:rFonts w:ascii="Arial" w:cs="Arial" w:eastAsia="Arial" w:hAnsi="Arial"/>
                  <w:sz w:val="13"/>
                  <w:szCs w:val="13"/>
                  <w:color w:val="0000EE"/>
                </w:rPr>
                <w:t>Item 10.</w:t>
              </w:r>
            </w:hyperlink>
          </w:p>
        </w:tc>
        <w:tc>
          <w:tcPr>
            <w:tcW w:w="7080" w:type="dxa"/>
            <w:vAlign w:val="bottom"/>
            <w:gridSpan w:val="26"/>
          </w:tcPr>
          <w:p>
            <w:pPr>
              <w:spacing w:after="0" w:line="138" w:lineRule="exact"/>
              <w:rPr>
                <w:rFonts w:ascii="Arial" w:cs="Arial" w:eastAsia="Arial" w:hAnsi="Arial"/>
                <w:sz w:val="13"/>
                <w:szCs w:val="13"/>
                <w:color w:val="0000EE"/>
              </w:rPr>
            </w:pPr>
            <w:hyperlink w:anchor="page170">
              <w:r>
                <w:rPr>
                  <w:rFonts w:ascii="Arial" w:cs="Arial" w:eastAsia="Arial" w:hAnsi="Arial"/>
                  <w:sz w:val="13"/>
                  <w:szCs w:val="13"/>
                  <w:color w:val="0000EE"/>
                </w:rPr>
                <w:t>Directors, Executive Officers and Corporate Governance</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169</w:t>
            </w:r>
          </w:p>
        </w:tc>
      </w:tr>
      <w:tr>
        <w:trPr>
          <w:trHeight w:val="137"/>
        </w:trPr>
        <w:tc>
          <w:tcPr>
            <w:tcW w:w="440" w:type="dxa"/>
            <w:vAlign w:val="bottom"/>
            <w:tcBorders>
              <w:top w:val="single" w:sz="8" w:color="0000EE"/>
            </w:tcBorders>
            <w:gridSpan w:val="3"/>
          </w:tcPr>
          <w:p>
            <w:pPr>
              <w:spacing w:after="0" w:line="138" w:lineRule="exact"/>
              <w:rPr>
                <w:rFonts w:ascii="Arial" w:cs="Arial" w:eastAsia="Arial" w:hAnsi="Arial"/>
                <w:sz w:val="13"/>
                <w:szCs w:val="13"/>
                <w:color w:val="0000EE"/>
                <w:w w:val="89"/>
              </w:rPr>
            </w:pPr>
            <w:hyperlink w:anchor="page170">
              <w:r>
                <w:rPr>
                  <w:rFonts w:ascii="Arial" w:cs="Arial" w:eastAsia="Arial" w:hAnsi="Arial"/>
                  <w:sz w:val="13"/>
                  <w:szCs w:val="13"/>
                  <w:color w:val="0000EE"/>
                  <w:w w:val="89"/>
                </w:rPr>
                <w:t>Item 11.</w:t>
              </w:r>
            </w:hyperlink>
          </w:p>
        </w:tc>
        <w:tc>
          <w:tcPr>
            <w:tcW w:w="780" w:type="dxa"/>
            <w:vAlign w:val="bottom"/>
            <w:gridSpan w:val="5"/>
          </w:tcPr>
          <w:p>
            <w:pPr>
              <w:spacing w:after="0"/>
              <w:rPr>
                <w:sz w:val="11"/>
                <w:szCs w:val="11"/>
                <w:color w:val="auto"/>
              </w:rPr>
            </w:pPr>
          </w:p>
        </w:tc>
        <w:tc>
          <w:tcPr>
            <w:tcW w:w="2980" w:type="dxa"/>
            <w:vAlign w:val="bottom"/>
            <w:tcBorders>
              <w:top w:val="single" w:sz="8" w:color="0000EE"/>
            </w:tcBorders>
            <w:gridSpan w:val="11"/>
          </w:tcPr>
          <w:p>
            <w:pPr>
              <w:spacing w:after="0" w:line="138" w:lineRule="exact"/>
              <w:rPr>
                <w:rFonts w:ascii="Arial" w:cs="Arial" w:eastAsia="Arial" w:hAnsi="Arial"/>
                <w:sz w:val="13"/>
                <w:szCs w:val="13"/>
                <w:color w:val="0000EE"/>
              </w:rPr>
            </w:pPr>
            <w:hyperlink w:anchor="page170">
              <w:r>
                <w:rPr>
                  <w:rFonts w:ascii="Arial" w:cs="Arial" w:eastAsia="Arial" w:hAnsi="Arial"/>
                  <w:sz w:val="13"/>
                  <w:szCs w:val="13"/>
                  <w:color w:val="0000EE"/>
                </w:rPr>
                <w:t>Executive Compensation</w:t>
              </w:r>
            </w:hyperlink>
          </w:p>
        </w:tc>
        <w:tc>
          <w:tcPr>
            <w:tcW w:w="4100" w:type="dxa"/>
            <w:vAlign w:val="bottom"/>
            <w:gridSpan w:val="15"/>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169</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Item 12.</w:t>
              </w:r>
            </w:hyperlink>
          </w:p>
        </w:tc>
        <w:tc>
          <w:tcPr>
            <w:tcW w:w="7080" w:type="dxa"/>
            <w:vAlign w:val="bottom"/>
            <w:gridSpan w:val="26"/>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Security Ownership of Certain Beneficial Owners and Management and Related Stockholder Matters</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170</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Item 13.</w:t>
              </w:r>
            </w:hyperlink>
          </w:p>
        </w:tc>
        <w:tc>
          <w:tcPr>
            <w:tcW w:w="7080" w:type="dxa"/>
            <w:vAlign w:val="bottom"/>
            <w:gridSpan w:val="26"/>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Certain Relationships and Related Transactions, and Director Independence</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170</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Item 14.</w:t>
              </w:r>
            </w:hyperlink>
          </w:p>
        </w:tc>
        <w:tc>
          <w:tcPr>
            <w:tcW w:w="7080" w:type="dxa"/>
            <w:vAlign w:val="bottom"/>
            <w:gridSpan w:val="26"/>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Principal Accounting Fees and Services</w:t>
              </w:r>
            </w:hyperlink>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170</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6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60" w:type="dxa"/>
            <w:vAlign w:val="bottom"/>
            <w:gridSpan w:val="11"/>
          </w:tcPr>
          <w:p>
            <w:pPr>
              <w:spacing w:after="0"/>
              <w:rPr>
                <w:rFonts w:ascii="Arial" w:cs="Arial" w:eastAsia="Arial" w:hAnsi="Arial"/>
                <w:sz w:val="13"/>
                <w:szCs w:val="13"/>
                <w:b w:val="1"/>
                <w:bCs w:val="1"/>
                <w:color w:val="0000EE"/>
              </w:rPr>
            </w:pPr>
            <w:hyperlink w:anchor="page171">
              <w:r>
                <w:rPr>
                  <w:rFonts w:ascii="Arial" w:cs="Arial" w:eastAsia="Arial" w:hAnsi="Arial"/>
                  <w:sz w:val="13"/>
                  <w:szCs w:val="13"/>
                  <w:b w:val="1"/>
                  <w:bCs w:val="1"/>
                  <w:color w:val="0000EE"/>
                </w:rPr>
                <w:t>PART IV</w:t>
              </w:r>
            </w:hyperlink>
          </w:p>
        </w:tc>
        <w:tc>
          <w:tcPr>
            <w:tcW w:w="1680" w:type="dxa"/>
            <w:vAlign w:val="bottom"/>
          </w:tcPr>
          <w:p>
            <w:pPr>
              <w:spacing w:after="0"/>
              <w:rPr>
                <w:sz w:val="22"/>
                <w:szCs w:val="22"/>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Item 15.</w:t>
              </w:r>
            </w:hyperlink>
          </w:p>
        </w:tc>
        <w:tc>
          <w:tcPr>
            <w:tcW w:w="3540" w:type="dxa"/>
            <w:vAlign w:val="bottom"/>
            <w:gridSpan w:val="16"/>
          </w:tcPr>
          <w:p>
            <w:pPr>
              <w:spacing w:after="0" w:line="138" w:lineRule="exact"/>
              <w:rPr>
                <w:rFonts w:ascii="Arial" w:cs="Arial" w:eastAsia="Arial" w:hAnsi="Arial"/>
                <w:sz w:val="13"/>
                <w:szCs w:val="13"/>
                <w:color w:val="0000EE"/>
              </w:rPr>
            </w:pPr>
            <w:hyperlink w:anchor="page171">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2"/>
          </w:tcPr>
          <w:p>
            <w:pPr>
              <w:spacing w:after="0"/>
              <w:rPr>
                <w:sz w:val="11"/>
                <w:szCs w:val="11"/>
                <w:color w:val="auto"/>
              </w:rPr>
            </w:pPr>
          </w:p>
        </w:tc>
        <w:tc>
          <w:tcPr>
            <w:tcW w:w="3040" w:type="dxa"/>
            <w:vAlign w:val="bottom"/>
            <w:gridSpan w:val="8"/>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170</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2">
              <w:r>
                <w:rPr>
                  <w:rFonts w:ascii="Arial" w:cs="Arial" w:eastAsia="Arial" w:hAnsi="Arial"/>
                  <w:sz w:val="13"/>
                  <w:szCs w:val="13"/>
                  <w:color w:val="0000EE"/>
                </w:rPr>
                <w:t>SIGNATURES</w:t>
              </w:r>
            </w:hyperlink>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171-172</w:t>
            </w:r>
          </w:p>
        </w:tc>
      </w:tr>
      <w:tr>
        <w:trPr>
          <w:trHeight w:val="20"/>
        </w:trPr>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7"/>
        </w:trPr>
        <w:tc>
          <w:tcPr>
            <w:tcW w:w="1220" w:type="dxa"/>
            <w:vAlign w:val="bottom"/>
            <w:gridSpan w:val="8"/>
          </w:tcPr>
          <w:p>
            <w:pPr>
              <w:spacing w:after="0" w:line="138" w:lineRule="exact"/>
              <w:rPr>
                <w:rFonts w:ascii="Arial" w:cs="Arial" w:eastAsia="Arial" w:hAnsi="Arial"/>
                <w:sz w:val="13"/>
                <w:szCs w:val="13"/>
                <w:color w:val="0000EE"/>
              </w:rPr>
            </w:pPr>
            <w:hyperlink w:anchor="page174">
              <w:r>
                <w:rPr>
                  <w:rFonts w:ascii="Arial" w:cs="Arial" w:eastAsia="Arial" w:hAnsi="Arial"/>
                  <w:sz w:val="13"/>
                  <w:szCs w:val="13"/>
                  <w:color w:val="0000EE"/>
                </w:rPr>
                <w:t>EXHIBIT INDEX</w:t>
              </w:r>
            </w:hyperlink>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jc w:val="right"/>
              <w:spacing w:after="0" w:line="138" w:lineRule="exact"/>
              <w:rPr>
                <w:sz w:val="20"/>
                <w:szCs w:val="20"/>
                <w:color w:val="auto"/>
              </w:rPr>
            </w:pPr>
            <w:r>
              <w:rPr>
                <w:rFonts w:ascii="Arial" w:cs="Arial" w:eastAsia="Arial" w:hAnsi="Arial"/>
                <w:sz w:val="13"/>
                <w:szCs w:val="13"/>
                <w:color w:val="auto"/>
              </w:rPr>
              <w:t>173-175</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EX-10.5</w:t>
            </w:r>
          </w:p>
        </w:tc>
        <w:tc>
          <w:tcPr>
            <w:tcW w:w="480" w:type="dxa"/>
            <w:vAlign w:val="bottom"/>
            <w:tcBorders>
              <w:top w:val="single" w:sz="8" w:color="0000EE"/>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EX-12.1</w:t>
            </w:r>
          </w:p>
        </w:tc>
        <w:tc>
          <w:tcPr>
            <w:tcW w:w="7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EX-23.1</w:t>
            </w:r>
          </w:p>
        </w:tc>
        <w:tc>
          <w:tcPr>
            <w:tcW w:w="7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EX-31.1</w:t>
            </w:r>
          </w:p>
        </w:tc>
        <w:tc>
          <w:tcPr>
            <w:tcW w:w="7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r>
    </w:tbl>
    <w:p>
      <w:pPr>
        <w:spacing w:after="0" w:line="14"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EX-99.1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EX-99.2</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99"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M&amp;T Bank Corporation (“Registrant” or “M&amp;T”) is a New York business corporation which is registered as a bank holding company under the Bank Holding Company Act of 1956, as amended (“BHCA”) and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2010 the Company had consolidated total assets of $68.0 billion, deposits of $49.8 billion and shareholders’ equity of $8.4 billion. The Company had 12,031 full-time and 1,334 part-time employees as of December 31, 2010.</w:t>
      </w:r>
    </w:p>
    <w:p>
      <w:pPr>
        <w:spacing w:after="0" w:line="2"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At December 31, 2010, the Registrant had two wholly owned bank subsidiaries: M&amp;T Bank and M&amp;T Bank, National Association (“M&amp;T Bank, N.A.”). The banks collectively offer a wide range of commercial banking, trust and investment services to their customers. At December 31, 2010, M&amp;T Bank represented 99% of consolidated assets of the Company.</w:t>
      </w:r>
    </w:p>
    <w:p>
      <w:pPr>
        <w:ind w:left="680" w:right="300" w:firstLine="599"/>
        <w:spacing w:after="0" w:line="285" w:lineRule="auto"/>
        <w:rPr>
          <w:sz w:val="20"/>
          <w:szCs w:val="20"/>
          <w:color w:val="auto"/>
        </w:rPr>
      </w:pPr>
      <w:r>
        <w:rPr>
          <w:rFonts w:ascii="Arial" w:cs="Arial" w:eastAsia="Arial" w:hAnsi="Arial"/>
          <w:sz w:val="13"/>
          <w:szCs w:val="13"/>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Relationship with Allied Irish Banks, p.l.c.</w:t>
      </w:r>
    </w:p>
    <w:p>
      <w:pPr>
        <w:spacing w:after="0" w:line="22"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On April 1, 2003, M&amp;T completed the acquisition of Allfirst Financial Inc. (“Allfirst”), a bank holding company headquartered in Baltimore, Maryland from Allied Irish Banks, p.l.c. (“AIB”). Under the terms of the Agreement and Plan of Reorganization dated September 26, 2002 by and among AIB, Allfirst and M&amp;T, M&amp;T combined with Allfirst through the acquisition of all of the issued and outstanding Allfirst stock in exchange for 26,700,000 shares of M&amp;T common stock and $886,107,000 in cash paid to AIB. Those shares of common stock owned by AIB represented 22.4% of the issued and outstanding shares of M&amp;T common stock on September 30, 2010. In an effort to raise its capital position to meet new Irish government-mandated capital requirements, on November 4, 2010 AIB sold those 26,700,000 shares. As a result, the provisions of the Agreement and Plan of Reorganization between M&amp;T and AIB, which included several provisions related to AIB’s rights as a substantial shareholder in the corporate governance of M&amp;T, became inoperative.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Subsidiaries</w:t>
      </w:r>
    </w:p>
    <w:p>
      <w:pPr>
        <w:spacing w:after="0" w:line="22" w:lineRule="exact"/>
        <w:rPr>
          <w:sz w:val="20"/>
          <w:szCs w:val="20"/>
          <w:color w:val="auto"/>
        </w:rPr>
      </w:pPr>
    </w:p>
    <w:p>
      <w:pPr>
        <w:ind w:left="680" w:right="20"/>
        <w:spacing w:after="0" w:line="271" w:lineRule="auto"/>
        <w:rPr>
          <w:sz w:val="20"/>
          <w:szCs w:val="20"/>
          <w:color w:val="auto"/>
        </w:rPr>
      </w:pPr>
      <w:r>
        <w:rPr>
          <w:rFonts w:ascii="Arial" w:cs="Arial" w:eastAsia="Arial" w:hAnsi="Arial"/>
          <w:sz w:val="13"/>
          <w:szCs w:val="13"/>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2010, M&amp;T Bank had 738 domestic banking offices located throughout New York State, Pennsylvania, Maryland, Delaware, New Jersey, Virginia, West Virginia, and the District of Columbia, a full-service commercial banking office in Ontario, Canada, and an office in George Town, Cayman Islands. As of December 31, 2010, M&amp;T Bank had consolidated total assets of $67.1 billion, deposits of $49.8 billion and shareholder’s equity of $8.9 billion. The deposit liabilities of M&amp;T Bank are insured by the FDIC through its Deposit Insurance Fund (“DIF”) of which, at December 31, 2010, $49.3 billion were assessable.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medium-size businesses based in those areas, although loans are originated through lending offices in other states. In addition, the Company conducts lending activities in various states through other subsidiaries. M&amp;T Bank and certain of its subsidiaries also offer commercial mortgage loans secured by income producing properties or properties used by borrowers in a</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trade or business. Additional financial services are provided through other operating subsidiaries of the Company.</w:t>
      </w:r>
    </w:p>
    <w:p>
      <w:pPr>
        <w:spacing w:after="0" w:line="18" w:lineRule="exact"/>
        <w:rPr>
          <w:sz w:val="20"/>
          <w:szCs w:val="20"/>
          <w:color w:val="auto"/>
        </w:rPr>
      </w:pPr>
    </w:p>
    <w:p>
      <w:pPr>
        <w:ind w:left="680" w:right="220" w:firstLine="599"/>
        <w:spacing w:after="0" w:line="268" w:lineRule="auto"/>
        <w:rPr>
          <w:sz w:val="20"/>
          <w:szCs w:val="20"/>
          <w:color w:val="auto"/>
        </w:rPr>
      </w:pPr>
      <w:r>
        <w:rPr>
          <w:rFonts w:ascii="Arial" w:cs="Arial" w:eastAsia="Arial" w:hAnsi="Arial"/>
          <w:sz w:val="13"/>
          <w:szCs w:val="13"/>
          <w:color w:val="auto"/>
        </w:rPr>
        <w:t>M&amp;T Bank, N.A., a national banking association and a member of the Federal Reserve System and the FDIC, commenced operations on October 2, 1995. The deposit liabilities of M&amp;T Bank, N.A. are insured by the FDIC through the DIF. The main office of M&amp;T Bank, N.A. is located at 48 Main Street, Oakfield, New York 14125. M&amp;T Bank, N.A. offers selected deposit and loan products on a nationwide basis, through direct mail, telephone marketing techniques and the Internet. As of December 31, 2010, M&amp;T Bank, N.A. had total assets of $797 million, deposits of $472 million and shareholder’s equity of $162 million.</w:t>
      </w:r>
    </w:p>
    <w:p>
      <w:pPr>
        <w:spacing w:after="0" w:line="1"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M&amp;T Life Insurance Company (“M&amp;T Life Insurance”), a wholly owned subsidiary of M&amp;T, was incorporated as an Arizona business corporation in January 1984. M&amp;T Life Insurance is a captive credit reinsurer which reinsures credit life and accident and health insurance purchased by the Company’s consumer loan customers. As of December 31, 2010, M&amp;T Life Insurance had assets of $33 million and shareholder’s equity of $31 million. M&amp;T Life Insurance recorded revenues of $1 million during 2010. Headquarters of M&amp;T Life Insurance are located at 101 North First Avenue, Phoenix, Arizona 85003.</w:t>
      </w:r>
    </w:p>
    <w:p>
      <w:pPr>
        <w:ind w:left="680" w:right="160" w:firstLine="599"/>
        <w:spacing w:after="0" w:line="249" w:lineRule="auto"/>
        <w:rPr>
          <w:sz w:val="20"/>
          <w:szCs w:val="20"/>
          <w:color w:val="auto"/>
        </w:rPr>
      </w:pPr>
      <w:r>
        <w:rPr>
          <w:rFonts w:ascii="Arial" w:cs="Arial" w:eastAsia="Arial" w:hAnsi="Arial"/>
          <w:sz w:val="14"/>
          <w:szCs w:val="14"/>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2010, M&amp;T Insurance Agency had assets of $41 million and shareholder’s equity of $28 million. M&amp;T Insurance Agency recorded revenues of $24 million during 2010. The headquarters of M&amp;T Insurance Agency are located at 285 Delaware Avenue, Buffalo, New York 14202.</w:t>
      </w:r>
    </w:p>
    <w:p>
      <w:pPr>
        <w:ind w:left="680" w:right="120" w:firstLine="599"/>
        <w:spacing w:after="0" w:line="268" w:lineRule="auto"/>
        <w:rPr>
          <w:sz w:val="20"/>
          <w:szCs w:val="20"/>
          <w:color w:val="auto"/>
        </w:rPr>
      </w:pPr>
      <w:r>
        <w:rPr>
          <w:rFonts w:ascii="Arial" w:cs="Arial" w:eastAsia="Arial" w:hAnsi="Arial"/>
          <w:sz w:val="13"/>
          <w:szCs w:val="13"/>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2010, M&amp;T Reinsurance had assets of $38 million and shareholder’s equity of $20 million. M&amp;T Reinsurance recorded approximately $4 million of revenue during 2010. M&amp;T Reinsurance’s principal and registered office is at 148 College Street, Burlington, Vermont 05401.</w:t>
      </w:r>
    </w:p>
    <w:p>
      <w:pPr>
        <w:spacing w:after="0" w:line="1" w:lineRule="exact"/>
        <w:rPr>
          <w:sz w:val="20"/>
          <w:szCs w:val="20"/>
          <w:color w:val="auto"/>
        </w:rPr>
      </w:pPr>
    </w:p>
    <w:p>
      <w:pPr>
        <w:ind w:left="680" w:right="220" w:firstLine="599"/>
        <w:spacing w:after="0" w:line="268" w:lineRule="auto"/>
        <w:rPr>
          <w:sz w:val="20"/>
          <w:szCs w:val="20"/>
          <w:color w:val="auto"/>
        </w:rPr>
      </w:pPr>
      <w:r>
        <w:rPr>
          <w:rFonts w:ascii="Arial" w:cs="Arial" w:eastAsia="Arial" w:hAnsi="Arial"/>
          <w:sz w:val="13"/>
          <w:szCs w:val="13"/>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2010, M&amp;T Real Estate had assets of $16.3 billion, common shareholder’s equity of $15.6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$774 million of revenue in 2010. The headquarters of M&amp;T Real Estate are located at M&amp;T Center, One Fountain Plaza, Buffalo, New York 14203.</w:t>
      </w:r>
    </w:p>
    <w:p>
      <w:pPr>
        <w:spacing w:after="0" w:line="1" w:lineRule="exact"/>
        <w:rPr>
          <w:sz w:val="20"/>
          <w:szCs w:val="20"/>
          <w:color w:val="auto"/>
        </w:rPr>
      </w:pPr>
    </w:p>
    <w:p>
      <w:pPr>
        <w:ind w:left="680" w:right="180" w:firstLine="599"/>
        <w:spacing w:after="0" w:line="249" w:lineRule="auto"/>
        <w:rPr>
          <w:sz w:val="20"/>
          <w:szCs w:val="20"/>
          <w:color w:val="auto"/>
        </w:rPr>
      </w:pPr>
      <w:r>
        <w:rPr>
          <w:rFonts w:ascii="Arial" w:cs="Arial" w:eastAsia="Arial" w:hAnsi="Arial"/>
          <w:sz w:val="14"/>
          <w:szCs w:val="14"/>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2010 M&amp;T Realty Capital serviced $8.1 billion of commercial mortgage loans for non-affiliates and had assets of $321 million and shareholder’s equity of $47 million. M&amp;T Realty Capital recorded revenues of $64 million in 2010. The headquarters of M&amp;T Realty Capital are located at 25 South Charles Street, Baltimore, Maryland 21202.</w:t>
      </w:r>
    </w:p>
    <w:p>
      <w:pPr>
        <w:ind w:left="680" w:right="80" w:firstLine="599"/>
        <w:spacing w:after="0" w:line="252" w:lineRule="auto"/>
        <w:rPr>
          <w:sz w:val="20"/>
          <w:szCs w:val="20"/>
          <w:color w:val="auto"/>
        </w:rPr>
      </w:pPr>
      <w:r>
        <w:rPr>
          <w:rFonts w:ascii="Arial" w:cs="Arial" w:eastAsia="Arial" w:hAnsi="Arial"/>
          <w:sz w:val="14"/>
          <w:szCs w:val="14"/>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M&amp;T Securities is licensed as a life insurance agent in each state where M&amp;T Bank operates branch offices and in a number of other states. It provides securities brokerage, investment advisory and insurance services. As of December 31, 2010, M&amp;T Securities had assets of $43 million and shareholder’s equity of $32 million. M&amp;T Securities recorded</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$78 million of revenue during 2010. The headquarters of M&amp;T Securities are located at One M&amp;T Plaza, Buffalo, New York 14203.</w:t>
      </w:r>
    </w:p>
    <w:p>
      <w:pPr>
        <w:spacing w:after="0" w:line="18" w:lineRule="exact"/>
        <w:rPr>
          <w:sz w:val="20"/>
          <w:szCs w:val="20"/>
          <w:color w:val="auto"/>
        </w:rPr>
      </w:pPr>
    </w:p>
    <w:p>
      <w:pPr>
        <w:ind w:left="680" w:right="220" w:firstLine="599"/>
        <w:spacing w:after="0" w:line="249" w:lineRule="auto"/>
        <w:rPr>
          <w:sz w:val="20"/>
          <w:szCs w:val="20"/>
          <w:color w:val="auto"/>
        </w:rPr>
      </w:pPr>
      <w:r>
        <w:rPr>
          <w:rFonts w:ascii="Arial" w:cs="Arial" w:eastAsia="Arial" w:hAnsi="Arial"/>
          <w:sz w:val="14"/>
          <w:szCs w:val="14"/>
          <w:color w:val="auto"/>
        </w:rPr>
        <w:t>MTB Investment Advisors, Inc. (“MTB Investment Advisors”), a wholly owned subsidiary of M&amp;T Bank, was incorporated as a Maryland corporation on June 30, 1995. MTB Investment Advisors serves as investment advisor to the MTB Group of Funds, a family of proprietary mutual funds, and institutional clients. As of December 31, 2010, MTB Investment Advisors had assets of $17 million and shareholder’s equity of $13 million. MTB Investment Advisors recorded revenues of $34 million in 2010. The headquarters of MTB Investment Advisors are located at 100 East Pratt Street, Baltimore, Maryland 21202.</w:t>
      </w:r>
    </w:p>
    <w:p>
      <w:pPr>
        <w:ind w:left="680" w:right="680" w:firstLine="599"/>
        <w:spacing w:after="0" w:line="301" w:lineRule="auto"/>
        <w:rPr>
          <w:sz w:val="20"/>
          <w:szCs w:val="20"/>
          <w:color w:val="auto"/>
        </w:rPr>
      </w:pPr>
      <w:r>
        <w:rPr>
          <w:rFonts w:ascii="Arial" w:cs="Arial" w:eastAsia="Arial" w:hAnsi="Arial"/>
          <w:sz w:val="13"/>
          <w:szCs w:val="13"/>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2010.</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 Principal Products/Services and Foreign Operations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ind w:left="680" w:right="180" w:firstLine="599"/>
        <w:spacing w:after="0" w:line="256" w:lineRule="auto"/>
        <w:rPr>
          <w:sz w:val="20"/>
          <w:szCs w:val="20"/>
          <w:color w:val="auto"/>
        </w:rPr>
      </w:pPr>
      <w:r>
        <w:rPr>
          <w:rFonts w:ascii="Arial" w:cs="Arial" w:eastAsia="Arial" w:hAnsi="Arial"/>
          <w:sz w:val="14"/>
          <w:szCs w:val="14"/>
          <w:color w:val="auto"/>
        </w:rPr>
        <w:t>The only activities that, as a class, contributed 10% or more of the sum of consolidated interest income and other income in any of the last three years were interest on loans and investment securities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the Company</w:t>
      </w:r>
    </w:p>
    <w:p>
      <w:pPr>
        <w:spacing w:after="0" w:line="22"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M&amp;T and its subsidiaries are subject to the extensive regulatory framework applicable to bank holding companies and their subsidiaries. Regulation of financial institutions such as M&amp;T and its subsidiaries is intended primarily for the protection of depositors, the FDIC’s DIF and the banking system as a whole, and generally is not intended for the protection of stockholders, creditors or other investors. Described below are the material elements of selected laws and regulations applicable to M&amp;T and its subsidiaries. The descriptions are not intended to be complete and are qualified in their entirety by reference to the full text of the statutes and regulations described. Changes in applicable law or regulation, and in their application by regulatory agencies, cannot be predicted, but they may have a material effect on the business and results of M&amp;T and its subsidiaries.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22"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M&amp;T is registered with the Board of Governors of the Federal Reserve Board System (the “Federal Reserve Board”) as a bank holding company under the Bank Holding Company Act of 1956, as amended (“BHCA”). As such, M&amp;T and its subsidiaries are subject to the supervision, examination and reporting requirements of the BHCA and the regulations of the Federal Reserve Board.</w:t>
      </w:r>
    </w:p>
    <w:p>
      <w:pPr>
        <w:ind w:left="680" w:firstLine="599"/>
        <w:spacing w:after="0" w:line="253" w:lineRule="auto"/>
        <w:rPr>
          <w:sz w:val="20"/>
          <w:szCs w:val="20"/>
          <w:color w:val="auto"/>
        </w:rPr>
      </w:pPr>
      <w:r>
        <w:rPr>
          <w:rFonts w:ascii="Arial" w:cs="Arial" w:eastAsia="Arial" w:hAnsi="Arial"/>
          <w:sz w:val="14"/>
          <w:szCs w:val="14"/>
          <w:color w:val="auto"/>
        </w:rPr>
        <w:t>In general, the BHCA limits the business of bank holding companies to banking, managing or controlling banks and other activities that the Federal Reserve Board has determined to be so closely related to banking as to be a proper incident thereto. In addition, 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Board in consultation with the Secretary of the Treasury)</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55" w:lineRule="auto"/>
        <w:rPr>
          <w:sz w:val="20"/>
          <w:szCs w:val="20"/>
          <w:color w:val="auto"/>
        </w:rPr>
      </w:pPr>
      <w:r>
        <w:rPr>
          <w:rFonts w:ascii="Arial" w:cs="Arial" w:eastAsia="Arial" w:hAnsi="Arial"/>
          <w:sz w:val="14"/>
          <w:szCs w:val="14"/>
          <w:color w:val="auto"/>
        </w:rPr>
        <w:t>or (ii) complementary to a financial activity and does not pose a substantial risk to the safety and soundness of depository institutions or the financial system generally (as solely determined by the Federal Reserve Board), without prior approval of the Federal Reserve Board. Activities that are financial in nature include securities underwriting and dealing, insurance underwriting and making merchant banking investments.</w:t>
      </w:r>
    </w:p>
    <w:p>
      <w:pPr>
        <w:ind w:left="680" w:right="100" w:firstLine="599"/>
        <w:spacing w:after="0" w:line="249" w:lineRule="auto"/>
        <w:rPr>
          <w:sz w:val="20"/>
          <w:szCs w:val="20"/>
          <w:color w:val="auto"/>
        </w:rPr>
      </w:pPr>
      <w:r>
        <w:rPr>
          <w:rFonts w:ascii="Arial" w:cs="Arial" w:eastAsia="Arial" w:hAnsi="Arial"/>
          <w:sz w:val="14"/>
          <w:szCs w:val="14"/>
          <w:color w:val="auto"/>
        </w:rPr>
        <w:t>In order to qualify and register with the Federal Reserve Board as a financial holding company, a bank holding company must demonstrate that each of its bank subsidiaries is “well capitalized,” “well managed,” and has at least a “satisfactory” rating under the Community Reinvestment Act of 1977 (“CRA”). Beginning in July 2011, a bank holding company’s eligibility to elect financial holding company status will also depend upon the holding company being well-capitalized and well-managed. M&amp;T filed a declaration to elect to become a financial holding company on January 26, 2011.</w:t>
      </w:r>
    </w:p>
    <w:p>
      <w:pPr>
        <w:ind w:left="680" w:right="40" w:firstLine="599"/>
        <w:spacing w:after="0" w:line="271" w:lineRule="auto"/>
        <w:rPr>
          <w:sz w:val="20"/>
          <w:szCs w:val="20"/>
          <w:color w:val="auto"/>
        </w:rPr>
      </w:pPr>
      <w:r>
        <w:rPr>
          <w:rFonts w:ascii="Arial" w:cs="Arial" w:eastAsia="Arial" w:hAnsi="Arial"/>
          <w:sz w:val="13"/>
          <w:szCs w:val="13"/>
          <w:color w:val="auto"/>
        </w:rPr>
        <w:t>The financial activities authorized by the BHCA may also be engaged in by a “financial subsidiary” of a national or state bank, except for insurance or annuity underwriting, insurance company portfolio investments, real estate investment and development, and merchant banking, which must be conducted in a financial holding company. In order for these financial activities to be engaged in by a financial subsidiary of a national or state bank, federal law requires each of the parent bank (and its sister-bank affiliates) to be well capitalized and well managed; the aggregate consolidated assets of all of that bank’s financial subsidiaries may not exceed the lesser of 45% of its consolidated total assets or $50 billion; the bank must have at least a satisfactory CRA rating; and, if that bank is one of the 100 largest national banks, it must meet certain financial rating or other comparable requirements. M&amp;T Bank and M&amp;T Bank, N.A. have not elected to engage in financial activities through financial subsidiaries. Current federal law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these laws require disclosure of privacy policies to consumers and, in some circumstances, allow consumers to prevent the disclosure of certain personal information to nonaffiliated third parties.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Developments</w:t>
      </w:r>
    </w:p>
    <w:p>
      <w:pPr>
        <w:spacing w:after="0" w:line="22"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The Dodd-Frank Wall Street Reform and Consumer Protection Act (the “Dodd-Frank Act”), which was enacted in July 2010, significantly restructures the financial regulatory regime in the United States, including through the creation of a new resolution authority, mandating higher capital and liquidity requirements, requiring banks to pay increased fees to regulatory agencies, and through numerous other provisions aimed at strengthening the sound operation of the financial services sector. The Dodd-Frank Act also creates a new systemic risk oversight body, the Financial Stability Oversight Council (“FSOC”). The FSOC will oversee and coordinate the efforts of the primary U.S. financial regulatory agencies (including the Federal Reserve Board, the FDIC and the SEC) in establishing regulations to address financial stability concerns. The Dodd-Frank Act directs the FSOC to make recommendations to the Federal Reserve Board regarding supervisory requirements and prudential standards applicable to systemically important financial institutions which, based upon the proposed rule issued on February 8, 2011, is expected to include M&amp;T, including capital, leverage, liquidity and risk-management requirements. The Dodd-Frank Act mandates that the requirements applicable to systemically important financial institutions be more stringent than those applicable to other financial companies.</w:t>
      </w:r>
    </w:p>
    <w:p>
      <w:pPr>
        <w:spacing w:after="0" w:line="1" w:lineRule="exact"/>
        <w:rPr>
          <w:sz w:val="20"/>
          <w:szCs w:val="20"/>
          <w:color w:val="auto"/>
        </w:rPr>
      </w:pPr>
    </w:p>
    <w:p>
      <w:pPr>
        <w:ind w:left="680" w:firstLine="599"/>
        <w:spacing w:after="0" w:line="251" w:lineRule="auto"/>
        <w:rPr>
          <w:sz w:val="20"/>
          <w:szCs w:val="20"/>
          <w:color w:val="auto"/>
        </w:rPr>
      </w:pPr>
      <w:r>
        <w:rPr>
          <w:rFonts w:ascii="Arial" w:cs="Arial" w:eastAsia="Arial" w:hAnsi="Arial"/>
          <w:sz w:val="14"/>
          <w:szCs w:val="14"/>
          <w:color w:val="auto"/>
        </w:rPr>
        <w:t>In addition to the framework for systemic risk oversight implemented through the FSOC, the Dodd-Frank Act imposes heightened prudential requirements on bank holding companies with at least $50 billion in total consolidated assets, such as M&amp;T, and requires the Federal Reserve Board to establish prudential standards for such large bank holding companies that are more stringent than those applicable to other bank holding companies, including standards for risk-based capital requirements and leverage limits, liquidity, risk-management requirements, resolution plan and credit exposure reporting, and concentration. The Federal Reserve Board has discretionary authority to establish additional prudential standards, on its own or at the FSOC’s recommendation, regarding contingent capital, enhanced public disclosures, short-term debt limits, and otherwise as it deems appropriate. The Dodd-Frank Act also</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540"/>
        <w:spacing w:after="0" w:line="258" w:lineRule="auto"/>
        <w:rPr>
          <w:sz w:val="20"/>
          <w:szCs w:val="20"/>
          <w:color w:val="auto"/>
        </w:rPr>
      </w:pPr>
      <w:r>
        <w:rPr>
          <w:rFonts w:ascii="Arial" w:cs="Arial" w:eastAsia="Arial" w:hAnsi="Arial"/>
          <w:sz w:val="14"/>
          <w:szCs w:val="14"/>
          <w:color w:val="auto"/>
        </w:rPr>
        <w:t>requires the Federal Reserve Board to conduct annual analyses of such bank holding companies to evaluate whether the companies have sufficient capital on a total consolidated basis necessary to absorb losses as a result of adverse economic conditions.</w:t>
      </w:r>
    </w:p>
    <w:p>
      <w:pPr>
        <w:jc w:val="both"/>
        <w:ind w:left="680" w:right="40" w:firstLine="599"/>
        <w:spacing w:after="0" w:line="249" w:lineRule="auto"/>
        <w:rPr>
          <w:sz w:val="20"/>
          <w:szCs w:val="20"/>
          <w:color w:val="auto"/>
        </w:rPr>
      </w:pPr>
      <w:r>
        <w:rPr>
          <w:rFonts w:ascii="Arial" w:cs="Arial" w:eastAsia="Arial" w:hAnsi="Arial"/>
          <w:sz w:val="14"/>
          <w:szCs w:val="14"/>
          <w:color w:val="auto"/>
        </w:rPr>
        <w:t>Title X of the Dodd-Frank Act provides for the creation of the Consumer Financial Protection Bureau (the “CFPB”), a new consumer financial services regulator. The CFPB is directed to prevent unfair, deceptive and abusive practices and ensure that all consumers have access to markets for consumer financial products and services, and that such markets are fair, transparent and competitive. The Dodd-Frank Act gives the CFPB authority to enforce and issue rules and regulations implementing existing consumer protection laws and responsibility for all such existing regulations. Depository institutions with assets exceeding $10 billion, such as M&amp;T Bank, their affiliates, and other “larger participants” in the markets for consumer financial services (as determined by the CFPB) will be subject to direct supervision by the CFPB, including any applicable examination, enforcement and reporting requirements the CFPB may establish.</w:t>
      </w:r>
    </w:p>
    <w:p>
      <w:pPr>
        <w:ind w:left="680" w:firstLine="599"/>
        <w:spacing w:after="0" w:line="276" w:lineRule="auto"/>
        <w:rPr>
          <w:sz w:val="20"/>
          <w:szCs w:val="20"/>
          <w:color w:val="auto"/>
        </w:rPr>
      </w:pPr>
      <w:r>
        <w:rPr>
          <w:rFonts w:ascii="Arial" w:cs="Arial" w:eastAsia="Arial" w:hAnsi="Arial"/>
          <w:sz w:val="13"/>
          <w:szCs w:val="13"/>
          <w:color w:val="auto"/>
        </w:rPr>
        <w:t>New laws or regulations or changes to existing laws and regulations (including changes in interpretation or enforcement) could materially adversely affect M&amp;T’s financial condition or results of operations. As discussed further throughout this section, many aspects of the Dodd-Frank Act are subject to further rulemaking and will take effect over several years, making it difficult to anticipate the overall financial impact on M&amp;T and its subsidiaries or the financial services industry generally. In addition to the discussion in this section, see “Recent Legislative Developments” in Part II, Item 7, “Management’s Discussion and Analysis of Financial Condition and Results of Operations” for a discussion of the potential impact legislative and regulatory reforms may have on our results of operations and financial condition.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Dividends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The Registrant is a legal entity separate and distinct from its banking and other subsidiaries. Historically, the majority of the Registrant’s revenue has been from dividends paid to the Registrant by its subsidiary banks. M&amp;T Bank and M&amp;T Bank, N.A. are subject, under one or more of the banking laws, to restrictions on the amount of dividend declarations. Future dividend payments to the Registrant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ind w:left="680" w:right="60" w:firstLine="599"/>
        <w:spacing w:after="0" w:line="249" w:lineRule="auto"/>
        <w:rPr>
          <w:sz w:val="20"/>
          <w:szCs w:val="20"/>
          <w:color w:val="auto"/>
        </w:rPr>
      </w:pPr>
      <w:r>
        <w:rPr>
          <w:rFonts w:ascii="Arial" w:cs="Arial" w:eastAsia="Arial" w:hAnsi="Arial"/>
          <w:sz w:val="14"/>
          <w:szCs w:val="14"/>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ind w:left="680" w:right="780" w:firstLine="599"/>
        <w:spacing w:after="0" w:line="263" w:lineRule="auto"/>
        <w:rPr>
          <w:sz w:val="20"/>
          <w:szCs w:val="20"/>
          <w:color w:val="auto"/>
        </w:rPr>
      </w:pPr>
      <w:r>
        <w:rPr>
          <w:rFonts w:ascii="Arial" w:cs="Arial" w:eastAsia="Arial" w:hAnsi="Arial"/>
          <w:sz w:val="14"/>
          <w:szCs w:val="14"/>
          <w:color w:val="auto"/>
        </w:rPr>
        <w:t>As described herein under the heading “U.S. Treasury Capital Purchase Program”, in connection with the issuance of Series A Preferred Stock to the U.S. Department of the Treasury (“U.S. Treasury”), M&amp;T is restricted from increasing its common stock dividend.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M&amp;T Bank’s Subsidiaries</w:t>
      </w:r>
    </w:p>
    <w:p>
      <w:pPr>
        <w:spacing w:after="0" w:line="22" w:lineRule="exact"/>
        <w:rPr>
          <w:sz w:val="20"/>
          <w:szCs w:val="20"/>
          <w:color w:val="auto"/>
        </w:rPr>
      </w:pPr>
    </w:p>
    <w:p>
      <w:pPr>
        <w:ind w:left="680" w:right="120"/>
        <w:spacing w:after="0" w:line="256" w:lineRule="auto"/>
        <w:rPr>
          <w:sz w:val="20"/>
          <w:szCs w:val="20"/>
          <w:color w:val="auto"/>
        </w:rPr>
      </w:pPr>
      <w:r>
        <w:rPr>
          <w:rFonts w:ascii="Arial" w:cs="Arial" w:eastAsia="Arial" w:hAnsi="Arial"/>
          <w:sz w:val="14"/>
          <w:szCs w:val="14"/>
          <w:color w:val="auto"/>
        </w:rPr>
        <w:t>M&amp;T Bank has a number of subsidiaries. These subsidiaries are subject to the laws and regulations of both the federal government and the various states in which they conduct business. For example, M&amp;T Securities is regulated by the Securities and Exchange Commission, the Financial Industry Regulatory Authority and state securities regulators.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 Requirements</w:t>
      </w:r>
    </w:p>
    <w:p>
      <w:pPr>
        <w:spacing w:after="0" w:line="22" w:lineRule="exact"/>
        <w:rPr>
          <w:sz w:val="20"/>
          <w:szCs w:val="20"/>
          <w:color w:val="auto"/>
        </w:rPr>
      </w:pPr>
    </w:p>
    <w:p>
      <w:pPr>
        <w:jc w:val="both"/>
        <w:ind w:left="680" w:right="520"/>
        <w:spacing w:after="0" w:line="290" w:lineRule="auto"/>
        <w:rPr>
          <w:sz w:val="20"/>
          <w:szCs w:val="20"/>
          <w:color w:val="auto"/>
        </w:rPr>
      </w:pPr>
      <w:r>
        <w:rPr>
          <w:rFonts w:ascii="Arial" w:cs="Arial" w:eastAsia="Arial" w:hAnsi="Arial"/>
          <w:sz w:val="12"/>
          <w:szCs w:val="12"/>
          <w:color w:val="auto"/>
        </w:rPr>
        <w:t>M&amp;T and its subsidiary banks are required to comply with the applicable capital adequacy standards established by the Federal Reserve Board. There are two basic measures of capital adequacy for bank holding companies that have been promulgated by the Federal Reserve Board: a risk-based measure and a leverage measure.</w:t>
      </w:r>
    </w:p>
    <w:p>
      <w:pPr>
        <w:spacing w:after="0" w:line="1"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4"/>
          <w:szCs w:val="14"/>
          <w:i w:val="1"/>
          <w:iCs w:val="1"/>
          <w:color w:val="auto"/>
        </w:rPr>
        <w:t xml:space="preserve">Risk-based Capital Standards. </w:t>
      </w:r>
      <w:r>
        <w:rPr>
          <w:rFonts w:ascii="Arial" w:cs="Arial" w:eastAsia="Arial" w:hAnsi="Arial"/>
          <w:sz w:val="14"/>
          <w:szCs w:val="14"/>
          <w:color w:val="auto"/>
        </w:rPr>
        <w:t>The risk-based capital standards are designed to make regulatory capital requirements more sensitive to differences in credit and</w:t>
      </w:r>
      <w:r>
        <w:rPr>
          <w:rFonts w:ascii="Arial" w:cs="Arial" w:eastAsia="Arial" w:hAnsi="Arial"/>
          <w:sz w:val="14"/>
          <w:szCs w:val="14"/>
          <w:i w:val="1"/>
          <w:iCs w:val="1"/>
          <w:color w:val="auto"/>
        </w:rPr>
        <w:t xml:space="preserve"> </w:t>
      </w:r>
      <w:r>
        <w:rPr>
          <w:rFonts w:ascii="Arial" w:cs="Arial" w:eastAsia="Arial" w:hAnsi="Arial"/>
          <w:sz w:val="14"/>
          <w:szCs w:val="14"/>
          <w:color w:val="auto"/>
        </w:rPr>
        <w:t>market risk profiles among banks and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0"/>
        <w:spacing w:after="0" w:line="255" w:lineRule="auto"/>
        <w:rPr>
          <w:sz w:val="20"/>
          <w:szCs w:val="20"/>
          <w:color w:val="auto"/>
        </w:rPr>
      </w:pPr>
      <w:r>
        <w:rPr>
          <w:rFonts w:ascii="Arial" w:cs="Arial" w:eastAsia="Arial" w:hAnsi="Arial"/>
          <w:sz w:val="14"/>
          <w:szCs w:val="14"/>
          <w:color w:val="auto"/>
        </w:rPr>
        <w:t>financial holding companies, to account for off-balance sheet exposure, and to minimize disincentives for holding liquid assets. Assets and off-balance sheet items are assigned to broad risk categories, each with appropriate weights. The resulting capital ratios represent capital as a percentage of total risk-weighted assets and off-balance sheet items.</w:t>
      </w:r>
    </w:p>
    <w:p>
      <w:pPr>
        <w:ind w:left="680" w:firstLine="599"/>
        <w:spacing w:after="0" w:line="249" w:lineRule="auto"/>
        <w:rPr>
          <w:sz w:val="20"/>
          <w:szCs w:val="20"/>
          <w:color w:val="auto"/>
        </w:rPr>
      </w:pPr>
      <w:r>
        <w:rPr>
          <w:rFonts w:ascii="Arial" w:cs="Arial" w:eastAsia="Arial" w:hAnsi="Arial"/>
          <w:sz w:val="14"/>
          <w:szCs w:val="14"/>
          <w:color w:val="auto"/>
        </w:rPr>
        <w:t>The minimum guideline for the ratio of total capital (“Total Capital”) to risk-weighted assets (including certain off-balance sheet items, such as standby letters of credit) is 8.0%. At least half of the Total Capital must be “Tier 1 Capital,” which currently consists of qualifying common equity, qualifying noncumulative perpetual preferred stock (including related surplus), senior perpetual preferred stock issued to the U.S. Department of the Treasury (the “U.S. Treasury”) as part of the Troubled Asset Relief Program Capital Purchase Program (the “CPP”), minority interests relating to qualifying common or noncumulative perpetual preferred stock issued by a consolidated U.S. depository institution or foreign bank subsidiary, and certain “restricted core capital elements,” as discussed below, less goodwill and certain other intangible assets. Currently, “Tier 2 Capital” may consist of, among other things, qualifying subordinated debt, mandatorily convertible debt securities, preferred stock and trust preferred securities not included in the definition of Tier 1 Capital, and a limited amount of the allowance for loan losses. Non-cumulative perpetual preferred stock, trust preferred securities and other so-called “restricted core capital elements” are currently limited to 25% of Tier 1 Capital. Pursuant to the Dodd-Frank Act, trust preferred securities will be phased-out of the definition of Tier 1 Capital of bank holding companies having consolidated assets exceeding $500 million, such as M&amp;T, over a three-year period beginning in January 2013.</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minimum guideline to be considered well-capitalized for Tier 1 Capital and Total Capital is 6.0% and 10.0%, respectively. At December 31, 2010, the Registrant’s consolidated Tier 1 Capital ratio was 9.47% and its Total Capital ratio was 13.08%. The elements currently comprising Tier 1 Capital and Tier 2 Capital and the minimum Tier 1 Capital and Total Capital ratios may in the future be subject to change, as discussed in greater detail below.</w:t>
      </w:r>
    </w:p>
    <w:p>
      <w:pPr>
        <w:ind w:left="680" w:right="20" w:firstLine="599"/>
        <w:spacing w:after="0" w:line="268" w:lineRule="auto"/>
        <w:rPr>
          <w:sz w:val="20"/>
          <w:szCs w:val="20"/>
          <w:color w:val="auto"/>
        </w:rPr>
      </w:pPr>
      <w:r>
        <w:rPr>
          <w:rFonts w:ascii="Arial" w:cs="Arial" w:eastAsia="Arial" w:hAnsi="Arial"/>
          <w:sz w:val="13"/>
          <w:szCs w:val="13"/>
          <w:i w:val="1"/>
          <w:iCs w:val="1"/>
          <w:color w:val="auto"/>
        </w:rPr>
        <w:t xml:space="preserve">Basel I and II Standards. </w:t>
      </w:r>
      <w:r>
        <w:rPr>
          <w:rFonts w:ascii="Arial" w:cs="Arial" w:eastAsia="Arial" w:hAnsi="Arial"/>
          <w:sz w:val="13"/>
          <w:szCs w:val="13"/>
          <w:color w:val="auto"/>
        </w:rPr>
        <w:t>M&amp;T currently calculates its risk-based capital ratios under guidelines adopted by the Federal Reserve Board based on the 1988 Capital</w:t>
      </w:r>
      <w:r>
        <w:rPr>
          <w:rFonts w:ascii="Arial" w:cs="Arial" w:eastAsia="Arial" w:hAnsi="Arial"/>
          <w:sz w:val="13"/>
          <w:szCs w:val="13"/>
          <w:i w:val="1"/>
          <w:iCs w:val="1"/>
          <w:color w:val="auto"/>
        </w:rPr>
        <w:t xml:space="preserve"> </w:t>
      </w:r>
      <w:r>
        <w:rPr>
          <w:rFonts w:ascii="Arial" w:cs="Arial" w:eastAsia="Arial" w:hAnsi="Arial"/>
          <w:sz w:val="13"/>
          <w:szCs w:val="13"/>
          <w:color w:val="auto"/>
        </w:rPr>
        <w:t>Accord (“Basel I”) of the Basel Committee on Banking Supervision (the “Basel Committee”). In 2004, the Basel Committee published a new set of risk-based capital standards (“Basel II”) in order to update Basel I. Basel II provides two approaches for setting capital standards for credit risk — an internal ratings-based approach tailored to individual institutions’ circumstances and a standardized approach that bases risk-weighting on external credit assessments to a much greater extent than permitted in the existing risk-based capital guidelines. Basel II also would set capital requirements for operational risk and refine the existing capital requirements for market risk exposures. A definitive final rule for implementing the advanced approaches of Basel II in the United States, which applies only to internationally active banking organizations, or “core banks” (defined as those with consolidated total assets of $250 billion or more or consolidated on-balance sheet foreign exposures of $10 billion or more) became effective on April 1, 2008. Other U.S. banking organizations may elect to adopt the requirements of this rule (if they meet applicable qualification requirements), but are not required to comply. The rule also allows a banking organization’s primary federal supervisor to determine that application of the rule would not be appropriate in light of the bank’s asset size, level of complexity, risk profile or scope of operations. Neither M&amp;T Bank nor M&amp;T Bank, N.A. is currently required to comply with Basel II.</w:t>
      </w:r>
    </w:p>
    <w:p>
      <w:pPr>
        <w:spacing w:after="0" w:line="2"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In July 2008, the U.S. bank regulatory agencies issued a proposed rule that would provide banking organizations that do not use the advanced approaches with the option to implement a new risk-based capital framework. This framework would adopt the standardized approach of Basel II for credit risk, the basic indicator approach of Basel II for operational risk, and related disclosure requirements. While this proposed rule generally parallels the relevant approaches under Basel II, it diverges where United States markets have unique characteristics and risk profiles, most notably with respect to risk weighting residential mortgage exposures. The proposed rule, if adopted, would replace the agencies’ earlier proposed amendments to existing risk-based capital guidelines to make them more risk sensitive (formerly referred to as the “Basel I-A” approach).</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40" w:firstLine="599"/>
        <w:spacing w:after="0" w:line="252" w:lineRule="auto"/>
        <w:rPr>
          <w:sz w:val="20"/>
          <w:szCs w:val="20"/>
          <w:color w:val="auto"/>
        </w:rPr>
      </w:pPr>
      <w:r>
        <w:rPr>
          <w:rFonts w:ascii="Arial" w:cs="Arial" w:eastAsia="Arial" w:hAnsi="Arial"/>
          <w:sz w:val="14"/>
          <w:szCs w:val="14"/>
          <w:i w:val="1"/>
          <w:iCs w:val="1"/>
          <w:color w:val="auto"/>
        </w:rPr>
        <w:t xml:space="preserve">Leverage Requirements. </w:t>
      </w:r>
      <w:r>
        <w:rPr>
          <w:rFonts w:ascii="Arial" w:cs="Arial" w:eastAsia="Arial" w:hAnsi="Arial"/>
          <w:sz w:val="14"/>
          <w:szCs w:val="14"/>
          <w:color w:val="auto"/>
        </w:rPr>
        <w:t>Neither Basel I nor Basel II includes a leverage requirement as an international standard, however, the Federal Reserve Board has</w:t>
      </w:r>
      <w:r>
        <w:rPr>
          <w:rFonts w:ascii="Arial" w:cs="Arial" w:eastAsia="Arial" w:hAnsi="Arial"/>
          <w:sz w:val="14"/>
          <w:szCs w:val="14"/>
          <w:i w:val="1"/>
          <w:iCs w:val="1"/>
          <w:color w:val="auto"/>
        </w:rPr>
        <w:t xml:space="preserve"> </w:t>
      </w:r>
      <w:r>
        <w:rPr>
          <w:rFonts w:ascii="Arial" w:cs="Arial" w:eastAsia="Arial" w:hAnsi="Arial"/>
          <w:sz w:val="14"/>
          <w:szCs w:val="14"/>
          <w:color w:val="auto"/>
        </w:rPr>
        <w:t>established minimum leverage ratio guidelines to be considered well-capitalized for bank holding companies. These guidelines provide for a minimum ratio of Tier 1 Capital to average total assets, less goodwill and certain other intangible assets (the “Leverage Ratio”), of 3.0% for bank holding companies that meet certain specified criteria, including having the highest regulatory rating. All other bank holding companies generally are required to maintain a Leverage Ratio of at least 4%. M&amp;T’s Leverage Ratio at December 31, 2010 was 9.33%.</w:t>
      </w:r>
    </w:p>
    <w:p>
      <w:pPr>
        <w:spacing w:after="0" w:line="2"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The guidelines also provide that bank holding companies experiencing internal growth or making acquisitions will be expected to maintain strong capital positions substantially above the minimum supervisory levels without significant reliance on intangible assets. Furthermore, the Federal Reserve Board has indicated that it will consider a “tangible Tier 1 Capital leverage ratio” (deducting all intangibles) and other indicators of capital strength in evaluating proposals for expansion or new activities.</w:t>
      </w:r>
    </w:p>
    <w:p>
      <w:pPr>
        <w:ind w:left="680" w:firstLine="599"/>
        <w:spacing w:after="0" w:line="249" w:lineRule="auto"/>
        <w:rPr>
          <w:sz w:val="20"/>
          <w:szCs w:val="20"/>
          <w:color w:val="auto"/>
        </w:rPr>
      </w:pPr>
      <w:r>
        <w:rPr>
          <w:rFonts w:ascii="Arial" w:cs="Arial" w:eastAsia="Arial" w:hAnsi="Arial"/>
          <w:sz w:val="14"/>
          <w:szCs w:val="14"/>
          <w:i w:val="1"/>
          <w:iCs w:val="1"/>
          <w:color w:val="auto"/>
        </w:rPr>
        <w:t xml:space="preserve">Basel III Standards. </w:t>
      </w:r>
      <w:r>
        <w:rPr>
          <w:rFonts w:ascii="Arial" w:cs="Arial" w:eastAsia="Arial" w:hAnsi="Arial"/>
          <w:sz w:val="14"/>
          <w:szCs w:val="14"/>
          <w:color w:val="auto"/>
        </w:rPr>
        <w:t>In December 2010, the Basel Committee released its final framework for strengthening international capital and liquidity regulation, now</w:t>
      </w:r>
      <w:r>
        <w:rPr>
          <w:rFonts w:ascii="Arial" w:cs="Arial" w:eastAsia="Arial" w:hAnsi="Arial"/>
          <w:sz w:val="14"/>
          <w:szCs w:val="14"/>
          <w:i w:val="1"/>
          <w:iCs w:val="1"/>
          <w:color w:val="auto"/>
        </w:rPr>
        <w:t xml:space="preserve"> </w:t>
      </w:r>
      <w:r>
        <w:rPr>
          <w:rFonts w:ascii="Arial" w:cs="Arial" w:eastAsia="Arial" w:hAnsi="Arial"/>
          <w:sz w:val="14"/>
          <w:szCs w:val="14"/>
          <w:color w:val="auto"/>
        </w:rPr>
        <w:t>officially identified by the Basel Committee as “Basel III.” Basel III, when implemented by the U.S. bank regulatory agencies and fully phased-in, will require bank holding companies and their bank subsidiaries to maintain substantially more capital, with a greater emphasis on common equity. The Basel III final capital framework, among other things:</w:t>
      </w:r>
    </w:p>
    <w:p>
      <w:pPr>
        <w:ind w:left="1280" w:right="120" w:hanging="190"/>
        <w:spacing w:after="0" w:line="268" w:lineRule="auto"/>
        <w:tabs>
          <w:tab w:leader="none" w:pos="1280" w:val="left"/>
        </w:tabs>
        <w:numPr>
          <w:ilvl w:val="0"/>
          <w:numId w:val="8"/>
        </w:numPr>
        <w:rPr>
          <w:rFonts w:ascii="Arial" w:cs="Arial" w:eastAsia="Arial" w:hAnsi="Arial"/>
          <w:sz w:val="9"/>
          <w:szCs w:val="9"/>
          <w:color w:val="auto"/>
        </w:rPr>
      </w:pPr>
      <w:r>
        <w:rPr>
          <w:rFonts w:ascii="Arial" w:cs="Arial" w:eastAsia="Arial" w:hAnsi="Arial"/>
          <w:sz w:val="13"/>
          <w:szCs w:val="13"/>
          <w:color w:val="auto"/>
        </w:rPr>
        <w:t>introduces as a new capital measure “Common Equity Tier 1”</w:t>
      </w:r>
      <w:r>
        <w:rPr>
          <w:rFonts w:ascii="Arial" w:cs="Arial" w:eastAsia="Arial" w:hAnsi="Arial"/>
          <w:sz w:val="13"/>
          <w:szCs w:val="13"/>
          <w:i w:val="1"/>
          <w:iCs w:val="1"/>
          <w:color w:val="auto"/>
        </w:rPr>
        <w:t>,</w:t>
      </w:r>
      <w:r>
        <w:rPr>
          <w:rFonts w:ascii="Arial" w:cs="Arial" w:eastAsia="Arial" w:hAnsi="Arial"/>
          <w:sz w:val="13"/>
          <w:szCs w:val="13"/>
          <w:color w:val="auto"/>
        </w:rPr>
        <w:t xml:space="preserve"> or “CET1”, specifies that Tier 1 capital consists of CET1 and “Additional Tier 1 capital” instruments meeting specified requirements, defines CET1 narrowly by requiring that most deductions or adjustments to regulatory capital measures be made to CET1 and not to the other components of capital, and expands the scope of the deductions or adjustments as compared to existing regulations;</w:t>
      </w:r>
    </w:p>
    <w:p>
      <w:pPr>
        <w:ind w:left="1280" w:hanging="190"/>
        <w:spacing w:after="0"/>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when fully phased in on January 1, 2019, requires banks to maintain:</w:t>
      </w:r>
    </w:p>
    <w:p>
      <w:pPr>
        <w:spacing w:after="0" w:line="6" w:lineRule="exact"/>
        <w:rPr>
          <w:rFonts w:ascii="Arial" w:cs="Arial" w:eastAsia="Arial" w:hAnsi="Arial"/>
          <w:sz w:val="9"/>
          <w:szCs w:val="9"/>
          <w:color w:val="auto"/>
        </w:rPr>
      </w:pPr>
    </w:p>
    <w:p>
      <w:pPr>
        <w:ind w:left="1600" w:right="80" w:hanging="205"/>
        <w:spacing w:after="0" w:line="268" w:lineRule="auto"/>
        <w:tabs>
          <w:tab w:leader="none" w:pos="1600" w:val="left"/>
        </w:tabs>
        <w:numPr>
          <w:ilvl w:val="1"/>
          <w:numId w:val="8"/>
        </w:numPr>
        <w:rPr>
          <w:rFonts w:ascii="Arial" w:cs="Arial" w:eastAsia="Arial" w:hAnsi="Arial"/>
          <w:sz w:val="9"/>
          <w:szCs w:val="9"/>
          <w:color w:val="auto"/>
        </w:rPr>
      </w:pPr>
      <w:r>
        <w:rPr>
          <w:rFonts w:ascii="Arial" w:cs="Arial" w:eastAsia="Arial" w:hAnsi="Arial"/>
          <w:sz w:val="13"/>
          <w:szCs w:val="13"/>
          <w:color w:val="auto"/>
        </w:rPr>
        <w:t>as a newly adopted international standard, a minimum ratio of CET1 to risk-weighted assets of at least 4.5%, plus a 2.5% “capital conservation buffer” (which is added to the 4.5% CET1 ratio as that buffer is phased in, effectively resulting in a minimum ratio of CET1 to risk-weighted assets of at least 7%);</w:t>
      </w:r>
    </w:p>
    <w:p>
      <w:pPr>
        <w:ind w:left="1600" w:hanging="205"/>
        <w:spacing w:after="0" w:line="249" w:lineRule="auto"/>
        <w:tabs>
          <w:tab w:leader="none" w:pos="1600" w:val="left"/>
        </w:tabs>
        <w:numPr>
          <w:ilvl w:val="1"/>
          <w:numId w:val="8"/>
        </w:numPr>
        <w:rPr>
          <w:rFonts w:ascii="Arial" w:cs="Arial" w:eastAsia="Arial" w:hAnsi="Arial"/>
          <w:sz w:val="9"/>
          <w:szCs w:val="9"/>
          <w:color w:val="auto"/>
        </w:rPr>
      </w:pPr>
      <w:r>
        <w:rPr>
          <w:rFonts w:ascii="Arial" w:cs="Arial" w:eastAsia="Arial" w:hAnsi="Arial"/>
          <w:sz w:val="14"/>
          <w:szCs w:val="14"/>
          <w:color w:val="auto"/>
        </w:rPr>
        <w:t>a minimum ratio of Tier 1 capital to risk-weighted assets of at least 6.0%, plus the capital conservation buffer (which is added to the 6.0% Tier 1 capital ratio as that buffer is phased in, effectively resulting in a minimum Tier 1 capital ratio of 8.5% upon full implementation);</w:t>
      </w:r>
    </w:p>
    <w:p>
      <w:pPr>
        <w:ind w:left="1600" w:right="160" w:hanging="205"/>
        <w:spacing w:after="0" w:line="268" w:lineRule="auto"/>
        <w:tabs>
          <w:tab w:leader="none" w:pos="1600" w:val="left"/>
        </w:tabs>
        <w:numPr>
          <w:ilvl w:val="1"/>
          <w:numId w:val="8"/>
        </w:numPr>
        <w:rPr>
          <w:rFonts w:ascii="Arial" w:cs="Arial" w:eastAsia="Arial" w:hAnsi="Arial"/>
          <w:sz w:val="9"/>
          <w:szCs w:val="9"/>
          <w:color w:val="auto"/>
        </w:rPr>
      </w:pPr>
      <w:r>
        <w:rPr>
          <w:rFonts w:ascii="Arial" w:cs="Arial" w:eastAsia="Arial" w:hAnsi="Arial"/>
          <w:sz w:val="13"/>
          <w:szCs w:val="13"/>
          <w:color w:val="auto"/>
        </w:rPr>
        <w:t>a minimum ratio of Total (that is, Tier 1 plus Tier 2) capital to risk-weighted assets of at least 8.0%, plus the capital conservation buffer (which is added to the 8.0% total capital ratio as that buffer is phased in, effectively resulting in a minimum total capital ratio of 10.5% upon full implementation);</w:t>
      </w:r>
    </w:p>
    <w:p>
      <w:pPr>
        <w:ind w:left="1600" w:right="160" w:hanging="205"/>
        <w:spacing w:after="0" w:line="249" w:lineRule="auto"/>
        <w:tabs>
          <w:tab w:leader="none" w:pos="1600" w:val="left"/>
        </w:tabs>
        <w:numPr>
          <w:ilvl w:val="1"/>
          <w:numId w:val="8"/>
        </w:numPr>
        <w:rPr>
          <w:rFonts w:ascii="Arial" w:cs="Arial" w:eastAsia="Arial" w:hAnsi="Arial"/>
          <w:sz w:val="9"/>
          <w:szCs w:val="9"/>
          <w:color w:val="auto"/>
        </w:rPr>
      </w:pPr>
      <w:r>
        <w:rPr>
          <w:rFonts w:ascii="Arial" w:cs="Arial" w:eastAsia="Arial" w:hAnsi="Arial"/>
          <w:sz w:val="14"/>
          <w:szCs w:val="14"/>
          <w:color w:val="auto"/>
        </w:rPr>
        <w:t>as a newly adopted international standard, a minimum leverage ratio of 3%, calculated as the ratio of Tier 1 capital to balance sheet exposures plus certain off-balance sheet exposures (as the average for each quarter of the month-end ratios for the quarter); and</w:t>
      </w:r>
    </w:p>
    <w:p>
      <w:pPr>
        <w:ind w:left="1280" w:right="200" w:hanging="190"/>
        <w:spacing w:after="0" w:line="256" w:lineRule="auto"/>
        <w:tabs>
          <w:tab w:leader="none" w:pos="1280" w:val="left"/>
        </w:tabs>
        <w:numPr>
          <w:ilvl w:val="0"/>
          <w:numId w:val="8"/>
        </w:numPr>
        <w:rPr>
          <w:rFonts w:ascii="Arial" w:cs="Arial" w:eastAsia="Arial" w:hAnsi="Arial"/>
          <w:sz w:val="9"/>
          <w:szCs w:val="9"/>
          <w:color w:val="auto"/>
        </w:rPr>
      </w:pPr>
      <w:r>
        <w:rPr>
          <w:rFonts w:ascii="Arial" w:cs="Arial" w:eastAsia="Arial" w:hAnsi="Arial"/>
          <w:sz w:val="14"/>
          <w:szCs w:val="14"/>
          <w:color w:val="auto"/>
        </w:rPr>
        <w:t>provides for a “countercyclical capital buffer”, generally to be imposed when national regulators determine that excess aggregate credit growth becomes associated with a buildup of systemic risk, that would be a CET1 add-on to the capital conservation buffer in the range of 0% to 2.5% when fully implemented (potentially resulting in total buffers of between 2.5% and 5%).</w:t>
      </w:r>
    </w:p>
    <w:p>
      <w:pPr>
        <w:spacing w:after="0" w:line="63"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The capital conservation buffer is designed to absorb losses during periods of economic stress. Banking institutions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ind w:left="680" w:right="240" w:firstLine="599"/>
        <w:spacing w:after="0" w:line="249" w:lineRule="auto"/>
        <w:rPr>
          <w:sz w:val="20"/>
          <w:szCs w:val="20"/>
          <w:color w:val="auto"/>
        </w:rPr>
      </w:pPr>
      <w:r>
        <w:rPr>
          <w:rFonts w:ascii="Arial" w:cs="Arial" w:eastAsia="Arial" w:hAnsi="Arial"/>
          <w:sz w:val="14"/>
          <w:szCs w:val="14"/>
          <w:color w:val="auto"/>
        </w:rPr>
        <w:t>The implementation of the Basel III final framework will commence January 1, 2013. On that date, banking institutions will be required to meet the following minimum capital ratios before the application of any buffer:</w:t>
      </w:r>
    </w:p>
    <w:p>
      <w:pPr>
        <w:ind w:left="1280" w:hanging="190"/>
        <w:spacing w:after="0"/>
        <w:tabs>
          <w:tab w:leader="none" w:pos="1280" w:val="left"/>
        </w:tabs>
        <w:numPr>
          <w:ilvl w:val="0"/>
          <w:numId w:val="9"/>
        </w:numPr>
        <w:rPr>
          <w:rFonts w:ascii="Arial" w:cs="Arial" w:eastAsia="Arial" w:hAnsi="Arial"/>
          <w:sz w:val="9"/>
          <w:szCs w:val="9"/>
          <w:color w:val="auto"/>
        </w:rPr>
      </w:pPr>
      <w:r>
        <w:rPr>
          <w:rFonts w:ascii="Arial" w:cs="Arial" w:eastAsia="Arial" w:hAnsi="Arial"/>
          <w:sz w:val="14"/>
          <w:szCs w:val="14"/>
          <w:color w:val="auto"/>
        </w:rPr>
        <w:t>3.5% CET1 to risk-weighted assets;</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9"/>
        </w:numPr>
        <w:rPr>
          <w:rFonts w:ascii="Arial" w:cs="Arial" w:eastAsia="Arial" w:hAnsi="Arial"/>
          <w:sz w:val="9"/>
          <w:szCs w:val="9"/>
          <w:color w:val="auto"/>
        </w:rPr>
      </w:pPr>
      <w:r>
        <w:rPr>
          <w:rFonts w:ascii="Arial" w:cs="Arial" w:eastAsia="Arial" w:hAnsi="Arial"/>
          <w:sz w:val="14"/>
          <w:szCs w:val="14"/>
          <w:color w:val="auto"/>
        </w:rPr>
        <w:t>4.5% Tier 1 capital to risk-weighted assets; and</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9"/>
        </w:numPr>
        <w:rPr>
          <w:rFonts w:ascii="Arial" w:cs="Arial" w:eastAsia="Arial" w:hAnsi="Arial"/>
          <w:sz w:val="9"/>
          <w:szCs w:val="9"/>
          <w:color w:val="auto"/>
        </w:rPr>
      </w:pPr>
      <w:r>
        <w:rPr>
          <w:rFonts w:ascii="Arial" w:cs="Arial" w:eastAsia="Arial" w:hAnsi="Arial"/>
          <w:sz w:val="14"/>
          <w:szCs w:val="14"/>
          <w:color w:val="auto"/>
        </w:rPr>
        <w:t>8.0% Total capital to risk-weighted assets.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00" w:firstLine="599"/>
        <w:spacing w:after="0" w:line="274" w:lineRule="auto"/>
        <w:rPr>
          <w:sz w:val="20"/>
          <w:szCs w:val="20"/>
          <w:color w:val="auto"/>
        </w:rPr>
      </w:pPr>
      <w:r>
        <w:rPr>
          <w:rFonts w:ascii="Arial" w:cs="Arial" w:eastAsia="Arial" w:hAnsi="Arial"/>
          <w:sz w:val="13"/>
          <w:szCs w:val="13"/>
          <w:color w:val="auto"/>
        </w:rPr>
        <w:t>The Basel III final framework provides for a number of new deductions from and adjustments to CET1. These include, for example, the requirement that mortgage servicing rights, deferred tax assets dependent upon future taxable income and significant investments in non-consolidated financial entities be deducted from CET1 to the extent that any one such category exceeds 10% of CET1 or all such categories in the aggregate exceed 15% of CET1.</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Implementation of the deductions and other adjustments to CET1 will begin on January 1, 2014 and will be phased-in over a five-year period (20% per year). The implementation of the capital conservation buffer will begin on January 1, 2016 at 0.625% and be phased in over a four-year period (increasing by that amount on each subsequent January 1, until it reaches 2.5% on January 1, 2019).</w:t>
      </w:r>
    </w:p>
    <w:p>
      <w:pPr>
        <w:ind w:left="680" w:firstLine="599"/>
        <w:spacing w:after="0" w:line="249" w:lineRule="auto"/>
        <w:rPr>
          <w:sz w:val="20"/>
          <w:szCs w:val="20"/>
          <w:color w:val="auto"/>
        </w:rPr>
      </w:pPr>
      <w:r>
        <w:rPr>
          <w:rFonts w:ascii="Arial" w:cs="Arial" w:eastAsia="Arial" w:hAnsi="Arial"/>
          <w:sz w:val="14"/>
          <w:szCs w:val="14"/>
          <w:color w:val="auto"/>
        </w:rPr>
        <w:t>The U.S. banking agencies have indicated informally that they expect to propose regulations implementing Basel III in mid-2011 with final adoption of implementing regulations in mid-2012. Notwithstanding its release of the Basel III framework as a final framework, the Basel Committee is considering further amendments to Basel III, including the imposition of additional capital surcharges on globally systemically important financial institutions. In addition to Basel III, the Dodd-Frank Act requires or permits the Federal banking agencies to adopt regulations affecting banking institutions’ capital requirements in a number of respects, including potentially more stringent capital requirements for systemically important financial institutions. Accordingly, the regulations ultimately applicable to M&amp;T may be substantially different from the Basel III final framework as published in December 2010.</w:t>
      </w:r>
    </w:p>
    <w:p>
      <w:pPr>
        <w:ind w:left="680" w:firstLine="599"/>
        <w:spacing w:after="0" w:line="268" w:lineRule="auto"/>
        <w:rPr>
          <w:sz w:val="20"/>
          <w:szCs w:val="20"/>
          <w:color w:val="auto"/>
        </w:rPr>
      </w:pPr>
      <w:r>
        <w:rPr>
          <w:rFonts w:ascii="Arial" w:cs="Arial" w:eastAsia="Arial" w:hAnsi="Arial"/>
          <w:sz w:val="13"/>
          <w:szCs w:val="13"/>
          <w:i w:val="1"/>
          <w:iCs w:val="1"/>
          <w:color w:val="auto"/>
        </w:rPr>
        <w:t xml:space="preserve">Liquidity Ratios under Basel III. </w:t>
      </w:r>
      <w:r>
        <w:rPr>
          <w:rFonts w:ascii="Arial" w:cs="Arial" w:eastAsia="Arial" w:hAnsi="Arial"/>
          <w:sz w:val="13"/>
          <w:szCs w:val="13"/>
          <w:color w:val="auto"/>
        </w:rPr>
        <w:t>Historically, regulation and monitoring of bank and bank holding company liquidity has been addressed as a supervisory matter,</w:t>
      </w:r>
      <w:r>
        <w:rPr>
          <w:rFonts w:ascii="Arial" w:cs="Arial" w:eastAsia="Arial" w:hAnsi="Arial"/>
          <w:sz w:val="13"/>
          <w:szCs w:val="13"/>
          <w:i w:val="1"/>
          <w:iCs w:val="1"/>
          <w:color w:val="auto"/>
        </w:rPr>
        <w:t xml:space="preserve"> </w:t>
      </w:r>
      <w:r>
        <w:rPr>
          <w:rFonts w:ascii="Arial" w:cs="Arial" w:eastAsia="Arial" w:hAnsi="Arial"/>
          <w:sz w:val="13"/>
          <w:szCs w:val="13"/>
          <w:color w:val="auto"/>
        </w:rPr>
        <w:t>both in the U.S. and internationally, without required formulaic measures. The Basel III final framework requires banks and bank holding companies to measure their liquidity against specific liquidity tests that, although similar in some respects to liquidity measures historically applied by banks and regulators for management and supervisory purposes, going forward will be required by regulation. One test, referred to as the liquidity coverage ratio (“LCR”), is designed to ensure that the banking entity maintains an adequate level of unencumbered high-quality liquid assets equal to the entity’s expected net cash outflow for a 30-day time horizon (or, if greater, 25% of its expected total cash outflow) under an acute liquidity stress scenario. The other, referred to as the net stable funding ratio (“NSFR”), is designed to promote more medium-and long-term funding of the assets and activities of banking entities over a one-year time horizon. These requirements will incent banking entities to increase their holdings of U.S. Treasury securities and other sovereign debt as a component of assets and increase the use of long-term debt as a funding source. The LCR would be implemented subject to an observation period beginning in 2011, but would not be introduced as a requirement until January 1, 2015, and the NSFR would not be introduced as a requirement until January 1, 2018. These new standards are subject to further rulemaking and their terms may well change before implementation.</w:t>
      </w:r>
    </w:p>
    <w:p>
      <w:pPr>
        <w:spacing w:after="0" w:line="2" w:lineRule="exact"/>
        <w:rPr>
          <w:sz w:val="20"/>
          <w:szCs w:val="20"/>
          <w:color w:val="auto"/>
        </w:rPr>
      </w:pPr>
    </w:p>
    <w:p>
      <w:pPr>
        <w:ind w:left="680" w:right="180" w:firstLine="599"/>
        <w:spacing w:after="0" w:line="249" w:lineRule="auto"/>
        <w:rPr>
          <w:sz w:val="20"/>
          <w:szCs w:val="20"/>
          <w:color w:val="auto"/>
        </w:rPr>
      </w:pPr>
      <w:r>
        <w:rPr>
          <w:rFonts w:ascii="Arial" w:cs="Arial" w:eastAsia="Arial" w:hAnsi="Arial"/>
          <w:sz w:val="14"/>
          <w:szCs w:val="14"/>
          <w:i w:val="1"/>
          <w:iCs w:val="1"/>
          <w:color w:val="auto"/>
        </w:rPr>
        <w:t xml:space="preserve">Capital Requirements of Subsidiary Depository Institutions. </w:t>
      </w:r>
      <w:r>
        <w:rPr>
          <w:rFonts w:ascii="Arial" w:cs="Arial" w:eastAsia="Arial" w:hAnsi="Arial"/>
          <w:sz w:val="14"/>
          <w:szCs w:val="14"/>
          <w:color w:val="auto"/>
        </w:rPr>
        <w:t>M&amp;T Bank and M&amp;T Bank, N.A. are subject to substantially similar capital requirements as those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to M&amp;T. As of December 31, 2010, both M&amp;T Bank and M&amp;T Bank, N.A. were in compliance with applicable minimum capital requirements. None of M&amp;T, M&amp;T Bank or M&amp;T Bank, N.A. has been advised by any federal banking agency of any specific minimum capital ratio requirement applicable to it as of December 31, 2010. Failure to meet capital guidelines could subject a bank to a variety of enforcement remedies, including the termination of deposit insurance by the FDIC, and to certain restrictions on its business. See “Regulatory Remedies under the FDIA” below.</w:t>
      </w:r>
    </w:p>
    <w:p>
      <w:pPr>
        <w:ind w:left="680" w:right="60" w:firstLine="599"/>
        <w:spacing w:after="0" w:line="301" w:lineRule="auto"/>
        <w:rPr>
          <w:sz w:val="20"/>
          <w:szCs w:val="20"/>
          <w:color w:val="auto"/>
        </w:rPr>
      </w:pPr>
      <w:r>
        <w:rPr>
          <w:rFonts w:ascii="Arial" w:cs="Arial" w:eastAsia="Arial" w:hAnsi="Arial"/>
          <w:sz w:val="13"/>
          <w:szCs w:val="13"/>
          <w:color w:val="auto"/>
        </w:rPr>
        <w:t>Given that the Basel III rules are subject to change and the scope and content of capital regulations that U.S. federal banking agencies may adopt under the Dodd-Frank Act is uncertain, M&amp;T cannot be certain of the impact new capital regulations will have on its capital ratios or those of its bank subsidiaries.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Safety and Soundness Standards</w:t>
      </w:r>
    </w:p>
    <w:p>
      <w:pPr>
        <w:spacing w:after="0" w:line="22" w:lineRule="exact"/>
        <w:rPr>
          <w:sz w:val="20"/>
          <w:szCs w:val="20"/>
          <w:color w:val="auto"/>
        </w:rPr>
      </w:pPr>
    </w:p>
    <w:p>
      <w:pPr>
        <w:jc w:val="both"/>
        <w:ind w:left="680" w:right="80"/>
        <w:spacing w:after="0" w:line="256" w:lineRule="auto"/>
        <w:rPr>
          <w:sz w:val="20"/>
          <w:szCs w:val="20"/>
          <w:color w:val="auto"/>
        </w:rPr>
      </w:pPr>
      <w:r>
        <w:rPr>
          <w:rFonts w:ascii="Arial" w:cs="Arial" w:eastAsia="Arial" w:hAnsi="Arial"/>
          <w:sz w:val="14"/>
          <w:szCs w:val="14"/>
          <w:color w:val="auto"/>
        </w:rPr>
        <w:t>Guidelines adopted by the federal bank regulatory agencies pursuant to the Federal Deposit Insurance Act, as amended (the “FDIA”), establish general standards relating to internal controls and information systems, internal audit systems, loan documentation, credit underwriting, interest rate exposure, asset growth and compensation, fees and benefits. In general, these guidelines require, among other things,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8" w:lineRule="auto"/>
        <w:rPr>
          <w:sz w:val="20"/>
          <w:szCs w:val="20"/>
          <w:color w:val="auto"/>
        </w:rPr>
      </w:pPr>
      <w:r>
        <w:rPr>
          <w:rFonts w:ascii="Arial" w:cs="Arial" w:eastAsia="Arial" w:hAnsi="Arial"/>
          <w:sz w:val="13"/>
          <w:szCs w:val="13"/>
          <w:color w:val="auto"/>
        </w:rPr>
        <w:t>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the FDIA. See “Regulatory Remedies under the FDIA” below. If an institution fails to comply with such an order, the agency may seek to enforce such order in judicial proceedings and to impose civil money penalties.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Regulatory Remedies under the FDIA</w:t>
      </w:r>
    </w:p>
    <w:p>
      <w:pPr>
        <w:spacing w:after="0" w:line="22" w:lineRule="exact"/>
        <w:rPr>
          <w:sz w:val="20"/>
          <w:szCs w:val="20"/>
          <w:color w:val="auto"/>
        </w:rPr>
      </w:pPr>
    </w:p>
    <w:p>
      <w:pPr>
        <w:ind w:left="680" w:right="120"/>
        <w:spacing w:after="0" w:line="274" w:lineRule="auto"/>
        <w:rPr>
          <w:sz w:val="20"/>
          <w:szCs w:val="20"/>
          <w:color w:val="auto"/>
        </w:rPr>
      </w:pPr>
      <w:r>
        <w:rPr>
          <w:rFonts w:ascii="Arial" w:cs="Arial" w:eastAsia="Arial" w:hAnsi="Arial"/>
          <w:sz w:val="13"/>
          <w:szCs w:val="13"/>
          <w:color w:val="auto"/>
        </w:rPr>
        <w:t>The FDIA establishes a system of regulatory remedies to resolve the problems of undercapitalized institutions.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 upon the capital category in which the institution is placed. Generally, subject to a narrow exception, the FDIA requires the banking regulator to appoint a receiver or conservator for an institution that is critically undercapitalized. The federal bank regulatory agencies have specified by regulation the relevant capital levels for each category:</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“Well-Capitalized”</w:t>
            </w:r>
          </w:p>
        </w:tc>
        <w:tc>
          <w:tcPr>
            <w:tcW w:w="200" w:type="dxa"/>
            <w:vAlign w:val="bottom"/>
          </w:tcPr>
          <w:p>
            <w:pPr>
              <w:spacing w:after="0"/>
              <w:rPr>
                <w:sz w:val="14"/>
                <w:szCs w:val="1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“Adequately Capitalized”</w:t>
            </w:r>
          </w:p>
        </w:tc>
      </w:tr>
      <w:tr>
        <w:trPr>
          <w:trHeight w:val="178"/>
        </w:trPr>
        <w:tc>
          <w:tcPr>
            <w:tcW w:w="5000" w:type="dxa"/>
            <w:vAlign w:val="bottom"/>
          </w:tcPr>
          <w:p>
            <w:pPr>
              <w:spacing w:after="0"/>
              <w:rPr>
                <w:sz w:val="20"/>
                <w:szCs w:val="20"/>
                <w:color w:val="auto"/>
              </w:rPr>
            </w:pPr>
            <w:r>
              <w:rPr>
                <w:rFonts w:ascii="Arial" w:cs="Arial" w:eastAsia="Arial" w:hAnsi="Arial"/>
                <w:sz w:val="13"/>
                <w:szCs w:val="13"/>
                <w:color w:val="auto"/>
              </w:rPr>
              <w:t>Leverage Ratio of 5%,</w:t>
            </w:r>
          </w:p>
        </w:tc>
        <w:tc>
          <w:tcPr>
            <w:tcW w:w="20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Leverage Ratio of 4%,</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Tier 1 Capital ratio of 6%,</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Tier 1 Capital ratio of 4%, and</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Total Capital ratio of 10%, and</w:t>
            </w:r>
          </w:p>
        </w:tc>
        <w:tc>
          <w:tcPr>
            <w:tcW w:w="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Total Capital ratio of 8%.</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Not subject to a written agreement, order, capital</w:t>
            </w:r>
          </w:p>
        </w:tc>
        <w:tc>
          <w:tcPr>
            <w:tcW w:w="20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directive or regulatory remedy directive requiring</w:t>
            </w:r>
          </w:p>
        </w:tc>
        <w:tc>
          <w:tcPr>
            <w:tcW w:w="20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a specific capital level.</w:t>
            </w:r>
          </w:p>
        </w:tc>
        <w:tc>
          <w:tcPr>
            <w:tcW w:w="200" w:type="dxa"/>
            <w:vAlign w:val="bottom"/>
          </w:tcPr>
          <w:p>
            <w:pPr>
              <w:spacing w:after="0"/>
              <w:rPr>
                <w:sz w:val="14"/>
                <w:szCs w:val="14"/>
                <w:color w:val="auto"/>
              </w:rPr>
            </w:pPr>
          </w:p>
        </w:tc>
        <w:tc>
          <w:tcPr>
            <w:tcW w:w="4780" w:type="dxa"/>
            <w:vAlign w:val="bottom"/>
          </w:tcPr>
          <w:p>
            <w:pPr>
              <w:spacing w:after="0"/>
              <w:rPr>
                <w:sz w:val="14"/>
                <w:szCs w:val="14"/>
                <w:color w:val="auto"/>
              </w:rPr>
            </w:pPr>
          </w:p>
        </w:tc>
      </w:tr>
    </w:tbl>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100" w:type="dxa"/>
            <w:vAlign w:val="bottom"/>
          </w:tcPr>
          <w:p>
            <w:pPr>
              <w:spacing w:after="0"/>
              <w:rPr>
                <w:sz w:val="20"/>
                <w:szCs w:val="20"/>
                <w:color w:val="auto"/>
              </w:rPr>
            </w:pPr>
            <w:r>
              <w:rPr>
                <w:rFonts w:ascii="Arial" w:cs="Arial" w:eastAsia="Arial" w:hAnsi="Arial"/>
                <w:sz w:val="13"/>
                <w:szCs w:val="13"/>
                <w:b w:val="1"/>
                <w:bCs w:val="1"/>
                <w:color w:val="auto"/>
                <w:w w:val="92"/>
              </w:rPr>
              <w:t>“Undercapitalized”</w:t>
            </w:r>
          </w:p>
        </w:tc>
        <w:tc>
          <w:tcPr>
            <w:tcW w:w="2640" w:type="dxa"/>
            <w:vAlign w:val="bottom"/>
            <w:gridSpan w:val="2"/>
          </w:tcPr>
          <w:p>
            <w:pPr>
              <w:spacing w:after="0"/>
              <w:rPr>
                <w:sz w:val="13"/>
                <w:szCs w:val="13"/>
                <w:color w:val="auto"/>
              </w:rPr>
            </w:pPr>
          </w:p>
        </w:tc>
        <w:tc>
          <w:tcPr>
            <w:tcW w:w="3320" w:type="dxa"/>
            <w:vAlign w:val="bottom"/>
            <w:gridSpan w:val="3"/>
          </w:tcPr>
          <w:p>
            <w:pPr>
              <w:ind w:left="1460"/>
              <w:spacing w:after="0"/>
              <w:rPr>
                <w:sz w:val="20"/>
                <w:szCs w:val="20"/>
                <w:color w:val="auto"/>
              </w:rPr>
            </w:pPr>
            <w:r>
              <w:rPr>
                <w:rFonts w:ascii="Arial" w:cs="Arial" w:eastAsia="Arial" w:hAnsi="Arial"/>
                <w:sz w:val="13"/>
                <w:szCs w:val="13"/>
                <w:b w:val="1"/>
                <w:bCs w:val="1"/>
                <w:color w:val="auto"/>
                <w:w w:val="92"/>
              </w:rPr>
              <w:t>“Significantly Undercapitalized”</w:t>
            </w:r>
          </w:p>
        </w:tc>
      </w:tr>
      <w:tr>
        <w:trPr>
          <w:trHeight w:val="20"/>
        </w:trPr>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3740" w:type="dxa"/>
            <w:vAlign w:val="bottom"/>
            <w:gridSpan w:val="3"/>
          </w:tcPr>
          <w:p>
            <w:pPr>
              <w:spacing w:after="0"/>
              <w:rPr>
                <w:sz w:val="20"/>
                <w:szCs w:val="20"/>
                <w:color w:val="auto"/>
              </w:rPr>
            </w:pPr>
            <w:r>
              <w:rPr>
                <w:rFonts w:ascii="Arial" w:cs="Arial" w:eastAsia="Arial" w:hAnsi="Arial"/>
                <w:sz w:val="13"/>
                <w:szCs w:val="13"/>
                <w:color w:val="auto"/>
              </w:rPr>
              <w:t>Leverage Ratio less than 4%,</w:t>
            </w:r>
          </w:p>
        </w:tc>
        <w:tc>
          <w:tcPr>
            <w:tcW w:w="3320" w:type="dxa"/>
            <w:vAlign w:val="bottom"/>
            <w:gridSpan w:val="3"/>
          </w:tcPr>
          <w:p>
            <w:pPr>
              <w:ind w:left="1460"/>
              <w:spacing w:after="0"/>
              <w:rPr>
                <w:sz w:val="20"/>
                <w:szCs w:val="20"/>
                <w:color w:val="auto"/>
              </w:rPr>
            </w:pPr>
            <w:r>
              <w:rPr>
                <w:rFonts w:ascii="Arial" w:cs="Arial" w:eastAsia="Arial" w:hAnsi="Arial"/>
                <w:sz w:val="13"/>
                <w:szCs w:val="13"/>
                <w:color w:val="auto"/>
              </w:rPr>
              <w:t>Leverage Ratio less than 3%,</w:t>
            </w:r>
          </w:p>
        </w:tc>
      </w:tr>
      <w:tr>
        <w:trPr>
          <w:trHeight w:val="157"/>
        </w:trPr>
        <w:tc>
          <w:tcPr>
            <w:tcW w:w="3740" w:type="dxa"/>
            <w:vAlign w:val="bottom"/>
            <w:gridSpan w:val="3"/>
          </w:tcPr>
          <w:p>
            <w:pPr>
              <w:spacing w:after="0"/>
              <w:rPr>
                <w:sz w:val="20"/>
                <w:szCs w:val="20"/>
                <w:color w:val="auto"/>
              </w:rPr>
            </w:pPr>
            <w:r>
              <w:rPr>
                <w:rFonts w:ascii="Arial" w:cs="Arial" w:eastAsia="Arial" w:hAnsi="Arial"/>
                <w:sz w:val="13"/>
                <w:szCs w:val="13"/>
                <w:color w:val="auto"/>
              </w:rPr>
              <w:t>Tier 1 Capital ratio less than 4%, or</w:t>
            </w:r>
          </w:p>
        </w:tc>
        <w:tc>
          <w:tcPr>
            <w:tcW w:w="3320" w:type="dxa"/>
            <w:vAlign w:val="bottom"/>
            <w:gridSpan w:val="3"/>
          </w:tcPr>
          <w:p>
            <w:pPr>
              <w:ind w:left="1460"/>
              <w:spacing w:after="0"/>
              <w:rPr>
                <w:sz w:val="20"/>
                <w:szCs w:val="20"/>
                <w:color w:val="auto"/>
              </w:rPr>
            </w:pPr>
            <w:r>
              <w:rPr>
                <w:rFonts w:ascii="Arial" w:cs="Arial" w:eastAsia="Arial" w:hAnsi="Arial"/>
                <w:sz w:val="13"/>
                <w:szCs w:val="13"/>
                <w:color w:val="auto"/>
                <w:w w:val="90"/>
              </w:rPr>
              <w:t>Tier 1 Capital ratio less than 3%, or</w:t>
            </w:r>
          </w:p>
        </w:tc>
      </w:tr>
      <w:tr>
        <w:trPr>
          <w:trHeight w:val="165"/>
        </w:trPr>
        <w:tc>
          <w:tcPr>
            <w:tcW w:w="3740" w:type="dxa"/>
            <w:vAlign w:val="bottom"/>
            <w:gridSpan w:val="3"/>
          </w:tcPr>
          <w:p>
            <w:pPr>
              <w:spacing w:after="0"/>
              <w:rPr>
                <w:sz w:val="20"/>
                <w:szCs w:val="20"/>
                <w:color w:val="auto"/>
              </w:rPr>
            </w:pPr>
            <w:r>
              <w:rPr>
                <w:rFonts w:ascii="Arial" w:cs="Arial" w:eastAsia="Arial" w:hAnsi="Arial"/>
                <w:sz w:val="13"/>
                <w:szCs w:val="13"/>
                <w:color w:val="auto"/>
              </w:rPr>
              <w:t>Total Capital ratio less than 8%.</w:t>
            </w:r>
          </w:p>
        </w:tc>
        <w:tc>
          <w:tcPr>
            <w:tcW w:w="3320" w:type="dxa"/>
            <w:vAlign w:val="bottom"/>
            <w:gridSpan w:val="3"/>
          </w:tcPr>
          <w:p>
            <w:pPr>
              <w:ind w:left="1460"/>
              <w:spacing w:after="0"/>
              <w:rPr>
                <w:sz w:val="20"/>
                <w:szCs w:val="20"/>
                <w:color w:val="auto"/>
              </w:rPr>
            </w:pPr>
            <w:r>
              <w:rPr>
                <w:rFonts w:ascii="Arial" w:cs="Arial" w:eastAsia="Arial" w:hAnsi="Arial"/>
                <w:sz w:val="13"/>
                <w:szCs w:val="13"/>
                <w:color w:val="auto"/>
              </w:rPr>
              <w:t>Total Capital ratio less than 6%.</w:t>
            </w:r>
          </w:p>
        </w:tc>
      </w:tr>
      <w:tr>
        <w:trPr>
          <w:trHeight w:val="24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“Critically undercapitalized”</w:t>
            </w:r>
          </w:p>
        </w:tc>
        <w:tc>
          <w:tcPr>
            <w:tcW w:w="2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65"/>
        </w:trPr>
        <w:tc>
          <w:tcPr>
            <w:tcW w:w="3740" w:type="dxa"/>
            <w:vAlign w:val="bottom"/>
            <w:gridSpan w:val="3"/>
          </w:tcPr>
          <w:p>
            <w:pPr>
              <w:spacing w:after="0"/>
              <w:rPr>
                <w:sz w:val="20"/>
                <w:szCs w:val="20"/>
                <w:color w:val="auto"/>
              </w:rPr>
            </w:pPr>
            <w:r>
              <w:rPr>
                <w:rFonts w:ascii="Arial" w:cs="Arial" w:eastAsia="Arial" w:hAnsi="Arial"/>
                <w:sz w:val="13"/>
                <w:szCs w:val="13"/>
                <w:color w:val="auto"/>
              </w:rPr>
              <w:t>Tangible equity to total assets less than 2%.</w:t>
            </w:r>
          </w:p>
        </w:tc>
        <w:tc>
          <w:tcPr>
            <w:tcW w:w="1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77" w:lineRule="exact"/>
        <w:rPr>
          <w:sz w:val="20"/>
          <w:szCs w:val="20"/>
          <w:color w:val="auto"/>
        </w:rPr>
      </w:pPr>
    </w:p>
    <w:p>
      <w:pPr>
        <w:ind w:left="680" w:right="80" w:firstLine="599"/>
        <w:spacing w:after="0" w:line="272" w:lineRule="auto"/>
        <w:rPr>
          <w:sz w:val="20"/>
          <w:szCs w:val="20"/>
          <w:color w:val="auto"/>
        </w:rPr>
      </w:pPr>
      <w:r>
        <w:rPr>
          <w:rFonts w:ascii="Arial" w:cs="Arial" w:eastAsia="Arial" w:hAnsi="Arial"/>
          <w:sz w:val="13"/>
          <w:szCs w:val="13"/>
          <w:color w:val="auto"/>
        </w:rPr>
        <w:t>For purposes of these regulations, the term “tangible equity” includes core capital elements counted as Tier 1 Capital for purposes of the risk-based capital standards plus the amount of outstanding cumulative perpetual preferred stock (including related surplus), minus all intangible assets with certain exceptions. 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ind w:left="680" w:right="60" w:firstLine="599"/>
        <w:spacing w:after="0" w:line="252" w:lineRule="auto"/>
        <w:rPr>
          <w:sz w:val="20"/>
          <w:szCs w:val="20"/>
          <w:color w:val="auto"/>
        </w:rPr>
      </w:pPr>
      <w:r>
        <w:rPr>
          <w:rFonts w:ascii="Arial" w:cs="Arial" w:eastAsia="Arial" w:hAnsi="Arial"/>
          <w:sz w:val="14"/>
          <w:szCs w:val="14"/>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bank holding company must guarantee that a subsidiary depository institution will comply with its capital restoration plan, subject to certain limitations. The bank holding company must also provide appropriate assurances of performance. The obligation of a controlling bank holding company under the FDIA to fund a capital restoration plan is limited to the lesser of 5.0% of an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78" w:lineRule="auto"/>
        <w:rPr>
          <w:sz w:val="20"/>
          <w:szCs w:val="20"/>
          <w:color w:val="auto"/>
        </w:rPr>
      </w:pPr>
      <w:r>
        <w:rPr>
          <w:rFonts w:ascii="Arial" w:cs="Arial" w:eastAsia="Arial" w:hAnsi="Arial"/>
          <w:sz w:val="13"/>
          <w:szCs w:val="13"/>
          <w:color w:val="auto"/>
        </w:rPr>
        <w:t>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Support of Subsidiary Banks</w:t>
      </w:r>
    </w:p>
    <w:p>
      <w:pPr>
        <w:spacing w:after="0" w:line="22" w:lineRule="exact"/>
        <w:rPr>
          <w:sz w:val="20"/>
          <w:szCs w:val="20"/>
          <w:color w:val="auto"/>
        </w:rPr>
      </w:pPr>
    </w:p>
    <w:p>
      <w:pPr>
        <w:ind w:left="680" w:right="80"/>
        <w:spacing w:after="0" w:line="252" w:lineRule="auto"/>
        <w:rPr>
          <w:sz w:val="20"/>
          <w:szCs w:val="20"/>
          <w:color w:val="auto"/>
        </w:rPr>
      </w:pPr>
      <w:r>
        <w:rPr>
          <w:rFonts w:ascii="Arial" w:cs="Arial" w:eastAsia="Arial" w:hAnsi="Arial"/>
          <w:sz w:val="14"/>
          <w:szCs w:val="14"/>
          <w:color w:val="auto"/>
        </w:rPr>
        <w:t>Under longstanding Federal Reserve Board policy which has been codified by the Dodd-Frank Act, M&amp;T is expected to act as a source of financial strength to, and to commit resources to support, its subsidiary banks. This support may be required at times when M&amp;T may not be inclined to provide it. In addition, 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Cross-Guarantee Provisions</w:t>
      </w:r>
    </w:p>
    <w:p>
      <w:pPr>
        <w:spacing w:after="0" w:line="22" w:lineRule="exact"/>
        <w:rPr>
          <w:sz w:val="20"/>
          <w:szCs w:val="20"/>
          <w:color w:val="auto"/>
        </w:rPr>
      </w:pPr>
    </w:p>
    <w:p>
      <w:pPr>
        <w:ind w:left="680" w:right="140"/>
        <w:spacing w:after="0" w:line="274" w:lineRule="auto"/>
        <w:rPr>
          <w:sz w:val="20"/>
          <w:szCs w:val="20"/>
          <w:color w:val="auto"/>
        </w:rPr>
      </w:pPr>
      <w:r>
        <w:rPr>
          <w:rFonts w:ascii="Arial" w:cs="Arial" w:eastAsia="Arial" w:hAnsi="Arial"/>
          <w:sz w:val="13"/>
          <w:szCs w:val="13"/>
          <w:color w:val="auto"/>
        </w:rPr>
        <w:t>Each insured depository institution “controlled” (as defined in the BHCA) by the same bank holding company can be held liable to the FDIC for any loss incurred, or reasonably expected to be incurred, by the FDIC due to the default of any other insured depository institution controlled by that holding company and for any assistance provided by the FDIC to any of those banks that is in danger of default. The FDIC’s claim under the cross-guarantee provisions is superior to claims of shareholders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Transactions with Affiliates</w:t>
      </w:r>
    </w:p>
    <w:p>
      <w:pPr>
        <w:spacing w:after="0" w:line="22" w:lineRule="exact"/>
        <w:rPr>
          <w:sz w:val="20"/>
          <w:szCs w:val="20"/>
          <w:color w:val="auto"/>
        </w:rPr>
      </w:pPr>
    </w:p>
    <w:p>
      <w:pPr>
        <w:ind w:left="680" w:right="20"/>
        <w:spacing w:after="0" w:line="250" w:lineRule="auto"/>
        <w:rPr>
          <w:sz w:val="20"/>
          <w:szCs w:val="20"/>
          <w:color w:val="auto"/>
        </w:rPr>
      </w:pPr>
      <w:r>
        <w:rPr>
          <w:rFonts w:ascii="Arial" w:cs="Arial" w:eastAsia="Arial" w:hAnsi="Arial"/>
          <w:sz w:val="14"/>
          <w:szCs w:val="14"/>
          <w:color w:val="auto"/>
        </w:rPr>
        <w:t>There are various legal restrictions on the extent to which M&amp;T and its non-bank subsidiaries may borrow or otherwise obtain funding from M&amp;T Bank and M&amp;T Bank, N.A. In general, Sections 23A and 23B of the Federal Reserve Board Act and Federal Reserve Board Regulation W require that any “covered transaction” by M&amp;T Bank and M&amp;T Bank, N.A. (or any of their respective subsidiaries) with an affiliate must be secured by designated amounts of specified collateral and must be limited to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expands the coverage and scope of the limitations on affiliate transactions within a banking organization. For example, commencing in July 2011, the Dodd-Frank Act will require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Board) from the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Insurance Assessments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i w:val="1"/>
          <w:iCs w:val="1"/>
          <w:color w:val="auto"/>
        </w:rPr>
        <w:t xml:space="preserve">Deposit Insurance Assessments. </w:t>
      </w:r>
      <w:r>
        <w:rPr>
          <w:rFonts w:ascii="Arial" w:cs="Arial" w:eastAsia="Arial" w:hAnsi="Arial"/>
          <w:sz w:val="14"/>
          <w:szCs w:val="14"/>
          <w:color w:val="auto"/>
        </w:rPr>
        <w:t>M&amp;T Bank and M&amp;T Bank, N.A. pay deposit insurance premiums to the FDIC based on an assessment rate established by the FDIC.</w:t>
      </w:r>
      <w:r>
        <w:rPr>
          <w:rFonts w:ascii="Arial" w:cs="Arial" w:eastAsia="Arial" w:hAnsi="Arial"/>
          <w:sz w:val="14"/>
          <w:szCs w:val="14"/>
          <w:i w:val="1"/>
          <w:iCs w:val="1"/>
          <w:color w:val="auto"/>
        </w:rPr>
        <w:t xml:space="preserve"> </w:t>
      </w:r>
      <w:r>
        <w:rPr>
          <w:rFonts w:ascii="Arial" w:cs="Arial" w:eastAsia="Arial" w:hAnsi="Arial"/>
          <w:sz w:val="14"/>
          <w:szCs w:val="14"/>
          <w:color w:val="auto"/>
        </w:rPr>
        <w:t>FDIC assessment rates generally depend upon a combination of regulatory ratings and financial ratios. Regulatory ratings reflect the applicable bank regulatory agency’s evaluation of the financial institution’s capital, asset quality, management, earnings, liquidity and sensitivity (or “CAMELS” ratings) to risk. The assessment rate for large institutions with long-term debt issuer ratings, such as M&amp;T Bank, are currently determined using a combination of the institutions weighted-average regulatory ratings, its long-term debt issuer ratings and the institution’s financial ratios, each equally weighted. Assessment rates for institutions that are in the lowest risk category currently vary from seven to twenty-four basis points per $100 of insured deposits, and may be increased or decreased by the FDIC on a semi-annual basis. Such base assessment rates are subject to adjustments based upon the institution’s ratio of (i) long-term unsecured debt to its domestic deposits, (ii) secured liabilities to domestic deposits and (iii) brokered deposits to domestic deposits (if greater than 10%).</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In February 2011, the FDIC adopted a final rule (the “New Assessment Rule”) that changes the deposit insurance assessment system for large institutions. The New Assessment Rule creates a two scorecard system for large institutions, one for most large institutions that have more than $10 billion in assets, such as M&amp;T Bank, and another for “highly complex” institutions that have over $50 billion in assets and are fully owned by a parent with over $500 billion in assets. Each scorecard will have a performance score and a loss-severity score that will be combined to produce a total score, which will be translated into an initial assessment rate. In calculating these scores, the FDIC will continue to utilize CAMELS ratings and will introduce certain new forward-looking financial measures to assess an institution’s ability to withstand asset-related stress and funding-related stress. The New Assessment Rule also eliminates the use of risk categories and long-term debt issuer ratings for calculating risk-based assessments for institutions having more than $10 billion in assets. The FDIC will continue to have the ability under the New Assessment Rule to make discretionary adjustments to the total score, up or down, based upon significant risk factors that are not adequately captured in the scorecard. The total score will then translate to an initial base assessment rate on a non-linear, sharply-increasing scale. The New Assessment Rule preserves the adjustments to an institution’s base assessment rates based on its long-term unsecured debt and brokered deposits (if greater than 10%) and creates a new adjustment based on the institution’s holdings of long-term unsecured debt issued by a different insured depository institution. The New Assessment Rule eliminates the adjustment to an institution’s base assessment rate based on its secured liabilities. The final rule will be effective April 1, 2011.</w:t>
      </w:r>
    </w:p>
    <w:p>
      <w:pPr>
        <w:spacing w:after="0" w:line="2"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M&amp;T Bank and M&amp;T Bank, N.A.’s deposit insurance assessments are currently based on the total domestic deposits held by such insured depository institution. The Dodd-Frank Act requires the FDIC to amend its regulations to base insurance assessments on the average consolidated assets less the average tangible equity of the insured depository institution during the assessment period. Under the New Assessment Rule, which implements these requirements effective April 1, 2011, assessments paid by M&amp;T Bank and M&amp;T Bank, N.A. are expected to increase in 2011.</w:t>
      </w:r>
    </w:p>
    <w:p>
      <w:pPr>
        <w:ind w:left="680" w:right="100" w:firstLine="599"/>
        <w:spacing w:after="0" w:line="268" w:lineRule="auto"/>
        <w:rPr>
          <w:sz w:val="20"/>
          <w:szCs w:val="20"/>
          <w:color w:val="auto"/>
        </w:rPr>
      </w:pPr>
      <w:r>
        <w:rPr>
          <w:rFonts w:ascii="Arial" w:cs="Arial" w:eastAsia="Arial" w:hAnsi="Arial"/>
          <w:sz w:val="13"/>
          <w:szCs w:val="13"/>
          <w:color w:val="auto"/>
        </w:rPr>
        <w:t>On November 17, 2009, the FDIC implemented a final rule requiring insured institutions, such as M&amp;T Bank and M&amp;T Bank, N.A., to prepay their estimated quarterly risk-based assessments for the fourth quarter of 2009, and for all of 2010, 2011 and 2012. Such prepaid assessments were paid on December 30, 2009, along with each institution’s quarterly risk-based deposit insurance assessment for the third quarter of 2009 (assuming 5% annual growth in deposits between the third quarter of 2009 and the end of 2012 and taking into account, for 2011 and 2012, the annualized three basis point increase discussed below). The remaining amount of prepaid insurance assessments at December 31, 2010 related to 2011 and 2012 for M&amp;T Bank was $178.5 million and for M&amp;T Bank, N.A. was $2.5 million.</w:t>
      </w:r>
    </w:p>
    <w:p>
      <w:pPr>
        <w:spacing w:after="0" w:line="1" w:lineRule="exact"/>
        <w:rPr>
          <w:sz w:val="20"/>
          <w:szCs w:val="20"/>
          <w:color w:val="auto"/>
        </w:rPr>
      </w:pPr>
    </w:p>
    <w:p>
      <w:pPr>
        <w:ind w:left="680" w:right="80" w:firstLine="599"/>
        <w:spacing w:after="0" w:line="253" w:lineRule="auto"/>
        <w:rPr>
          <w:sz w:val="20"/>
          <w:szCs w:val="20"/>
          <w:color w:val="auto"/>
        </w:rPr>
      </w:pPr>
      <w:r>
        <w:rPr>
          <w:rFonts w:ascii="Arial" w:cs="Arial" w:eastAsia="Arial" w:hAnsi="Arial"/>
          <w:sz w:val="14"/>
          <w:szCs w:val="14"/>
          <w:color w:val="auto"/>
        </w:rPr>
        <w:t>The FDIA establishes a minimum ratio of deposit insurance reserves to estimated insured deposits, the designated reserve ratio (the “DRR”), of 1.15% prior to September 2020 and 1.35% thereafter. On December 20, 2010, the FDIC issued a final rule setting the DRR at 2%. Because the DRR fell below 1.15% as of June 30, 2008, and was expected to remain below 1.15% the FDIC was required to establish and implement a Restoration Plan that would restore the reserve ratio to at least 1.15% within five years. In October 2008, the FDIC adopted such a restoration plan (the “Restoration Plan”). In February 2009,</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in light of the extraordinary challenges facing the banking industry, the FDIC amended the Restoration Plan to allow seven years for the reserve ratio to return to 1.15%. In May 2009, the FDIC adopted a final rule that imposed a five basis point special assessment on each institution’s assets minus Tier 1 Capital (as of June 30, 2009). Such special assessment was collected on September 30, 2009. In October 2009, the FDIC passed a final rule extending the term of the Restoration Plan to eight years. Such final rule also included a provision that implements a uniform three basis point increase in assessment rates, effective January 1, 2011, to help ensure that the reserve ratio returns to at least 1.15% within the eight year period called for by the Restoration Plan. In October 2010, the FDIC adopted a new restoration plan to ensure the DRR reaches 1.35% by September 2020. As part of the revised plan, the FDIC will forego the uniform three-basis point increase in assessment rates scheduled to take place in January 2011. The FDIC will, at least semi-annually, update its income and loss projections for the DIF and, if necessary, propose rules to further increase assessment rates. In addition, on January 12, 2010, the FDIC announced that it would seek public comment on whether banks with compensation plans that encourage risky behavior should be charged higher deposit assessment rates than such banks would otherwise be charged. See also “Executive and Incentive Compensation” below. It cannot predicted whether, as a result of an adverse change in economic conditions or other reasons, the FDIC will in the future further increase deposit insurance assessment levels.</w:t>
      </w:r>
    </w:p>
    <w:p>
      <w:pPr>
        <w:spacing w:after="0" w:line="1" w:lineRule="exact"/>
        <w:rPr>
          <w:sz w:val="20"/>
          <w:szCs w:val="20"/>
          <w:color w:val="auto"/>
        </w:rPr>
      </w:pPr>
    </w:p>
    <w:p>
      <w:pPr>
        <w:ind w:left="680" w:right="200" w:firstLine="599"/>
        <w:spacing w:after="0" w:line="268" w:lineRule="auto"/>
        <w:rPr>
          <w:sz w:val="20"/>
          <w:szCs w:val="20"/>
          <w:color w:val="auto"/>
        </w:rPr>
      </w:pPr>
      <w:r>
        <w:rPr>
          <w:rFonts w:ascii="Arial" w:cs="Arial" w:eastAsia="Arial" w:hAnsi="Arial"/>
          <w:sz w:val="13"/>
          <w:szCs w:val="13"/>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ind w:left="680" w:right="80" w:firstLine="599"/>
        <w:spacing w:after="0" w:line="252" w:lineRule="auto"/>
        <w:rPr>
          <w:sz w:val="20"/>
          <w:szCs w:val="20"/>
          <w:color w:val="auto"/>
        </w:rPr>
      </w:pPr>
      <w:r>
        <w:rPr>
          <w:rFonts w:ascii="Arial" w:cs="Arial" w:eastAsia="Arial" w:hAnsi="Arial"/>
          <w:sz w:val="14"/>
          <w:szCs w:val="14"/>
          <w:i w:val="1"/>
          <w:iCs w:val="1"/>
          <w:color w:val="auto"/>
        </w:rPr>
        <w:t xml:space="preserve">FICO Assessments. </w:t>
      </w:r>
      <w:r>
        <w:rPr>
          <w:rFonts w:ascii="Arial" w:cs="Arial" w:eastAsia="Arial" w:hAnsi="Arial"/>
          <w:sz w:val="14"/>
          <w:szCs w:val="14"/>
          <w:color w:val="auto"/>
        </w:rPr>
        <w:t>In addition, the Deposit Insurance Funds Act of 1996 authorized the Financing Corporation (“FICO”) to impose assessments on DIF</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$5 million of expense related to its FICO assessments and M&amp;T Bank, N.A. recognized $57 thousand of such expense in 2010.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Acquisitions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BHCA requires every bank holding company to obtain the prior approval of the Federal Reserve Board before: (1) it may acquire direct or indirect ownership or control of any voting shares of any bank or savings and loan association, if after such acquisition, the bank holding company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bank holding company. Effective July 2011, financial holding companies and bank holding companies with consolidated assets exceeding $50 billion, such as M&amp;T, must (i) obtain prior approval from the Federal Reserve Board before acquiring certain nonbank financial companies with assets exceeding $10 billion and (ii) provide prior written notice to the Federal Reserve Board before acquiring direct or indirect ownership or control of any voting shares of any company having consolidated assets of $10 billion or more. Bank holding companies seeking approval to complete an acquisition must be well-capitalized and well-managed effective July 2011.</w:t>
      </w:r>
    </w:p>
    <w:p>
      <w:pPr>
        <w:spacing w:after="0" w:line="1" w:lineRule="exact"/>
        <w:rPr>
          <w:sz w:val="20"/>
          <w:szCs w:val="20"/>
          <w:color w:val="auto"/>
        </w:rPr>
      </w:pPr>
    </w:p>
    <w:p>
      <w:pPr>
        <w:ind w:left="680" w:firstLine="599"/>
        <w:spacing w:after="0" w:line="251" w:lineRule="auto"/>
        <w:rPr>
          <w:sz w:val="20"/>
          <w:szCs w:val="20"/>
          <w:color w:val="auto"/>
        </w:rPr>
      </w:pPr>
      <w:r>
        <w:rPr>
          <w:rFonts w:ascii="Arial" w:cs="Arial" w:eastAsia="Arial" w:hAnsi="Arial"/>
          <w:sz w:val="14"/>
          <w:szCs w:val="14"/>
          <w:color w:val="auto"/>
        </w:rPr>
        <w:t>The BHCA further provides that the Federal Reserve Board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Board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80" w:lineRule="auto"/>
        <w:rPr>
          <w:sz w:val="20"/>
          <w:szCs w:val="20"/>
          <w:color w:val="auto"/>
        </w:rPr>
      </w:pPr>
      <w:r>
        <w:rPr>
          <w:rFonts w:ascii="Arial" w:cs="Arial" w:eastAsia="Arial" w:hAnsi="Arial"/>
          <w:sz w:val="14"/>
          <w:szCs w:val="14"/>
          <w:color w:val="auto"/>
        </w:rPr>
        <w:t>performance under the CRA, both of which are discussed below. In addition, the Federal Reserve Board must take into account the institutions’ effectiveness in combating money laundering.</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Temporary Liquidity Guarantee Program</w:t>
      </w:r>
    </w:p>
    <w:p>
      <w:pPr>
        <w:spacing w:after="0" w:line="22" w:lineRule="exact"/>
        <w:rPr>
          <w:sz w:val="20"/>
          <w:szCs w:val="20"/>
          <w:color w:val="auto"/>
        </w:rPr>
      </w:pPr>
    </w:p>
    <w:p>
      <w:pPr>
        <w:ind w:left="680" w:right="80"/>
        <w:spacing w:after="0" w:line="252" w:lineRule="auto"/>
        <w:rPr>
          <w:sz w:val="20"/>
          <w:szCs w:val="20"/>
          <w:color w:val="auto"/>
        </w:rPr>
      </w:pPr>
      <w:r>
        <w:rPr>
          <w:rFonts w:ascii="Arial" w:cs="Arial" w:eastAsia="Arial" w:hAnsi="Arial"/>
          <w:sz w:val="14"/>
          <w:szCs w:val="14"/>
          <w:color w:val="auto"/>
        </w:rPr>
        <w:t>In October 2008, the FDIC announced the Temporary Liquidity Guarantee Program (“TLGP”), under which the FDIC would guarantee certain senior unsecured debt of FDIC-insured U.S. depository institutions and U.S. bank holding companies as well as non-interest bearing transaction account deposits at FDIC-insured U.S. depository institutions, unless such institutions opted out of the program. M&amp;T participated in the Debt Guarantee Program through October 31, 2009. Although the guarantee of non-interest bearing transaction account deposits under the TLGP ended on June 30, 2010, the Dodd-Frank Act extended this guarantee to all insured institutions, regardless of participation in the TLGP, until January 1, 2013.</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 Treasury Capital Purchase Program</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Pursuant to the CPP, on December 23, 2008, M&amp;T issued and sold to the U.S. Treasury in a private offering (i) $600 million of Series A Preferred Stock and (ii) a warrant to purchase 1,218,522 shares of M&amp;T Common Stock at an exercise price of $73.86 per share, subject to certain anti-dilution and other adjustments. M&amp;T elected to participate in the capital purchase program at an amount equal to approximately 1% of its risk-weighted assets at the time. In connection with its acquisition of Provident on May 23, 2009, M&amp;T issued $152 million of Series C Preferred Stock in exchange for the securities issued by Provident to the U.S. Treasury on November 14, 2008, and assumed a warrant issued by Provident to the U.S. Treasury, which, on a converted basis, provides for the purchase of 407,542 shares of M&amp;T Common Stock at $55.76 per share.</w:t>
      </w:r>
    </w:p>
    <w:p>
      <w:pPr>
        <w:ind w:left="680" w:right="100" w:firstLine="599"/>
        <w:spacing w:after="0" w:line="251" w:lineRule="auto"/>
        <w:rPr>
          <w:sz w:val="20"/>
          <w:szCs w:val="20"/>
          <w:color w:val="auto"/>
        </w:rPr>
      </w:pPr>
      <w:r>
        <w:rPr>
          <w:rFonts w:ascii="Arial" w:cs="Arial" w:eastAsia="Arial" w:hAnsi="Arial"/>
          <w:sz w:val="14"/>
          <w:szCs w:val="14"/>
          <w:color w:val="auto"/>
        </w:rPr>
        <w:t>The securities purchase agreement, dated December 23, 2008, pursuant to which the securities issued to the U.S. Treasury under the CPP were sold, limits the payment of quarterly dividends on M&amp;T’s common stock to $0.70 per share without prior approval of the U.S. Treasury, limits M&amp;T’s ability to repurchase shares of its common stock (with certain exceptions, including the repurchase of our common stock to offset share dilution from equity-based compensation awards), grants the holders of the Series A Preferred Stock, the Warrant and the common stock of M&amp;T to be issued under the warrant certain registration rights, and subjects M&amp;T to certain of the executive compensation limitations included in the Emergency Economic Stabilization Act of 2008 (“EESA”), as amended by the American Recovery and Reinvestment Act of 2009 (“ARRA”), described below under “Executive and Incentive Compensation”. The securities purchase agreement between Provident and the U.S. Treasury, to which M&amp;T succeeded, has the same limitations and effects.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Depositor Preference</w:t>
      </w:r>
    </w:p>
    <w:p>
      <w:pPr>
        <w:spacing w:after="0" w:line="22"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bank holding company, with respect to any extensions of credit they have made to such insured depository institution.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and Incentive Compensation</w:t>
      </w:r>
    </w:p>
    <w:p>
      <w:pPr>
        <w:spacing w:after="0" w:line="22"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ARRA, an economic stimulus package signed into law on February 17, 2009, significantly expanded the restrictions on executive compensation that were included in Section 111 of EESA and imposed various corporate governance standards on recipients of TARP funds, including under the U.S. Treasury’s capital purchase program, until such funds are repaid. On June 10, 2009, the U.S. Treasury issued the TARP Interim Final Rule to clarify and provide additional guidance with respect to the restrictions on executive compensation that apply to executives and certain other employees of TARP recipients that includes: (i) a prohibition on paying bonuses, retention awards and incentive compensation, other than long-term restricted stock or pursuant to certain preexisting employment contracts, to its Senior Executive Officers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0" w:lineRule="auto"/>
        <w:rPr>
          <w:sz w:val="20"/>
          <w:szCs w:val="20"/>
          <w:color w:val="auto"/>
        </w:rPr>
      </w:pPr>
      <w:r>
        <w:rPr>
          <w:rFonts w:ascii="Arial" w:cs="Arial" w:eastAsia="Arial" w:hAnsi="Arial"/>
          <w:sz w:val="13"/>
          <w:szCs w:val="13"/>
          <w:color w:val="auto"/>
        </w:rPr>
        <w:t>(“SEOs”) and next 20 most highly-compensated employees; (ii) a prohibition on the payment of “golden parachute payments” to its SEOs and next five most highly compensated employees; (iii) a prohibition on paying incentive compensation for “unnecessary and excessive risks” and earnings manipulations; (iv) a requirement to clawback any bonus, retention award, or incentive compensation paid to a SEO and any of the next twenty most highly compensated employees based on statements of earnings, revenues, gains, or other criteria later found to be materially inaccurate; (v) a requirement to establish a policy on luxury or excessive expenditures, including entertainment or events, office and facility renovations, company owned aircraft and other transportation and similar activities or events; (vi) a requirement to provide shareholders with a non-binding advisory “say on pay” vote on executive compensation; (vii) a prohibition on deducting more than $500,000 in annual compensation or performance based compensation for the SEOs under Internal Revenue Code Section 162(m); (viii) a requirement that the compensation committee of the board of directors evaluate and review on a semi-annual basis the risks involved in employee compensation plans; and (ix) a requirement that the chief executive officer and chief financial officer provide written certifications of compliance with the foregoing requirements.</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Reserve Board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 In addition, on January 12, 2010, the FDIC announced that it would seek public comment on whether banks with compensation plans that encourage risky behavior should be charged higher deposit assessment rates than such banks would otherwise be charged.</w:t>
      </w:r>
    </w:p>
    <w:p>
      <w:pPr>
        <w:spacing w:after="0" w:line="2" w:lineRule="exact"/>
        <w:rPr>
          <w:sz w:val="20"/>
          <w:szCs w:val="20"/>
          <w:color w:val="auto"/>
        </w:rPr>
      </w:pPr>
    </w:p>
    <w:p>
      <w:pPr>
        <w:ind w:left="680" w:right="20" w:firstLine="599"/>
        <w:spacing w:after="0" w:line="256" w:lineRule="auto"/>
        <w:rPr>
          <w:sz w:val="20"/>
          <w:szCs w:val="20"/>
          <w:color w:val="auto"/>
        </w:rPr>
      </w:pPr>
      <w:r>
        <w:rPr>
          <w:rFonts w:ascii="Arial" w:cs="Arial" w:eastAsia="Arial" w:hAnsi="Arial"/>
          <w:sz w:val="14"/>
          <w:szCs w:val="14"/>
          <w:color w:val="auto"/>
        </w:rPr>
        <w:t>The scope and content of the U.S. banking regulators’ policies on incentive compensation are continuing to develop and are likely to continue evolving in the near future. It cannot be determined at this time whether compliance with such policies will adversely affect the ability of M&amp;T and its subsidiaries to hire, retain and motivate their key employees.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Orderly Liquidation Authority</w:t>
      </w:r>
    </w:p>
    <w:p>
      <w:pPr>
        <w:spacing w:after="0" w:line="22" w:lineRule="exact"/>
        <w:rPr>
          <w:sz w:val="20"/>
          <w:szCs w:val="20"/>
          <w:color w:val="auto"/>
        </w:rPr>
      </w:pPr>
    </w:p>
    <w:p>
      <w:pPr>
        <w:ind w:left="680" w:right="140"/>
        <w:spacing w:after="0" w:line="268" w:lineRule="auto"/>
        <w:rPr>
          <w:sz w:val="20"/>
          <w:szCs w:val="20"/>
          <w:color w:val="auto"/>
        </w:rPr>
      </w:pPr>
      <w:r>
        <w:rPr>
          <w:rFonts w:ascii="Arial" w:cs="Arial" w:eastAsia="Arial" w:hAnsi="Arial"/>
          <w:sz w:val="13"/>
          <w:szCs w:val="13"/>
          <w:color w:val="auto"/>
        </w:rPr>
        <w:t>The Dodd-Frank Act creates the Orderly Liquidation Authority (“OLA”), a resolution regime for systemically important non-bank financial companies, including bank holding companies, under which the FDIC may be appointed receiver to liquidate such a company if the company is in danger of default and presents a systemic risk to U.S. financial stability. This determination must come after supermajority recommendations by the Federal Reserve Board and the FDIC and consultation between the Secretary of the U.S. Treasury and the President. This resolution authority is similar to the FDIC resolution model for depository institutions, with certain modifications to reflect differences between depository institutions and non-financial companies and to reduce disparities between the treatment of creditors’ claims under the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U.S. Bankruptcy Code and in an orderly liquidation authority proceeding compared to those that would exist under the resolution model for insured depository institutions.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40" w:firstLine="599"/>
        <w:spacing w:after="0" w:line="259" w:lineRule="auto"/>
        <w:rPr>
          <w:sz w:val="20"/>
          <w:szCs w:val="20"/>
          <w:color w:val="auto"/>
        </w:rPr>
      </w:pPr>
      <w:r>
        <w:rPr>
          <w:rFonts w:ascii="Arial" w:cs="Arial" w:eastAsia="Arial" w:hAnsi="Arial"/>
          <w:sz w:val="14"/>
          <w:szCs w:val="14"/>
          <w:color w:val="auto"/>
        </w:rPr>
        <w:t>An Orderly Liquidation Fund will fund OLA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Privacy</w:t>
      </w:r>
    </w:p>
    <w:p>
      <w:pPr>
        <w:spacing w:after="0" w:line="22" w:lineRule="exact"/>
        <w:rPr>
          <w:sz w:val="20"/>
          <w:szCs w:val="20"/>
          <w:color w:val="auto"/>
        </w:rPr>
      </w:pPr>
    </w:p>
    <w:p>
      <w:pPr>
        <w:ind w:left="680" w:right="40"/>
        <w:spacing w:after="0" w:line="274" w:lineRule="auto"/>
        <w:rPr>
          <w:sz w:val="20"/>
          <w:szCs w:val="20"/>
          <w:color w:val="auto"/>
        </w:rPr>
      </w:pPr>
      <w:r>
        <w:rPr>
          <w:rFonts w:ascii="Arial" w:cs="Arial" w:eastAsia="Arial" w:hAnsi="Arial"/>
          <w:sz w:val="13"/>
          <w:szCs w:val="13"/>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Consumer Protection Laws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In connection with their respective lending and leasing activities, M&amp;T Bank, certain of its subsidiaries, and M&amp;T Bank, N.A.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ind w:left="680" w:right="40" w:firstLine="599"/>
        <w:spacing w:after="0" w:line="249" w:lineRule="auto"/>
        <w:rPr>
          <w:sz w:val="20"/>
          <w:szCs w:val="20"/>
          <w:color w:val="auto"/>
        </w:rPr>
      </w:pPr>
      <w:r>
        <w:rPr>
          <w:rFonts w:ascii="Arial" w:cs="Arial" w:eastAsia="Arial" w:hAnsi="Arial"/>
          <w:sz w:val="14"/>
          <w:szCs w:val="14"/>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ind w:left="680" w:right="40" w:firstLine="599"/>
        <w:spacing w:after="0" w:line="274" w:lineRule="auto"/>
        <w:rPr>
          <w:sz w:val="20"/>
          <w:szCs w:val="20"/>
          <w:color w:val="auto"/>
        </w:rPr>
      </w:pPr>
      <w:r>
        <w:rPr>
          <w:rFonts w:ascii="Arial" w:cs="Arial" w:eastAsia="Arial" w:hAnsi="Arial"/>
          <w:sz w:val="13"/>
          <w:szCs w:val="13"/>
          <w:color w:val="auto"/>
        </w:rPr>
        <w:t>Effective July 1, 2010, a new federal banking rule under 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Sarbanes-Oxley Act of 2002</w:t>
      </w:r>
    </w:p>
    <w:p>
      <w:pPr>
        <w:spacing w:after="0" w:line="22" w:lineRule="exact"/>
        <w:rPr>
          <w:sz w:val="20"/>
          <w:szCs w:val="20"/>
          <w:color w:val="auto"/>
        </w:rPr>
      </w:pPr>
    </w:p>
    <w:p>
      <w:pPr>
        <w:ind w:left="680" w:right="80"/>
        <w:spacing w:after="0" w:line="253" w:lineRule="auto"/>
        <w:rPr>
          <w:sz w:val="20"/>
          <w:szCs w:val="20"/>
          <w:color w:val="auto"/>
        </w:rPr>
      </w:pPr>
      <w:r>
        <w:rPr>
          <w:rFonts w:ascii="Arial" w:cs="Arial" w:eastAsia="Arial" w:hAnsi="Arial"/>
          <w:sz w:val="14"/>
          <w:szCs w:val="14"/>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requirements for audit committees, including independence, expertise, and responsibilities; (ii) responsibilities regarding</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77" w:lineRule="auto"/>
        <w:rPr>
          <w:sz w:val="20"/>
          <w:szCs w:val="20"/>
          <w:color w:val="auto"/>
        </w:rPr>
      </w:pPr>
      <w:r>
        <w:rPr>
          <w:rFonts w:ascii="Arial" w:cs="Arial" w:eastAsia="Arial" w:hAnsi="Arial"/>
          <w:sz w:val="13"/>
          <w:szCs w:val="13"/>
          <w:color w:val="auto"/>
        </w:rPr>
        <w:t>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standards for auditors and regulation of audits, including independence provisions that restrict non-audit services that accountants may provide to their audit clients; (vi) disclosure and reporting obligations for the reporting company and their directors and executive officers, including accelerated reporting of stock transactions and a 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civil and criminal penalties for fraud and other violations of the securities laws.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Community Reinvestment Act</w:t>
      </w:r>
    </w:p>
    <w:p>
      <w:pPr>
        <w:spacing w:after="0" w:line="22"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M&amp;T Bank and M&amp;T Bank, N.A. are subject to the provisions of the CRA. 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M&amp;T Bank has a CRA rating of “Outstanding” and M&amp;T Bank, N.A. has a CRA rating of “Satisfactory.” In the case of a bank holding company applying for approval to acquire a bank or bank holding company, the Federal Reserve Board will assess the record of each subsidiary bank of the applicant bank holding company in considering the application, and such records may be the basis for denying the application. The Banking Law contains provisions similar to the CRA which are applicable to New York-chartered banks. M&amp;T Bank has a CRA rating of “Outstanding” as determined by the New York State Banking Department.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USA Patriot Act</w:t>
      </w:r>
    </w:p>
    <w:p>
      <w:pPr>
        <w:spacing w:after="0" w:line="22" w:lineRule="exact"/>
        <w:rPr>
          <w:sz w:val="20"/>
          <w:szCs w:val="20"/>
          <w:color w:val="auto"/>
        </w:rPr>
      </w:pPr>
    </w:p>
    <w:p>
      <w:pPr>
        <w:ind w:left="680" w:right="60"/>
        <w:spacing w:after="0" w:line="251" w:lineRule="auto"/>
        <w:rPr>
          <w:sz w:val="20"/>
          <w:szCs w:val="20"/>
          <w:color w:val="auto"/>
        </w:rPr>
      </w:pPr>
      <w:r>
        <w:rPr>
          <w:rFonts w:ascii="Arial" w:cs="Arial" w:eastAsia="Arial" w:hAnsi="Arial"/>
          <w:sz w:val="14"/>
          <w:szCs w:val="14"/>
          <w:color w:val="auto"/>
        </w:rPr>
        <w:t>The Uniting and Strengthening America by Providing Appropriate Tools Required to Intercept and Obstruct Terrorism Act of 2001 (the “USA Patriot Act”) imposes obligations on U.S. financial institutions, including banks and broker dealer subsidiaries, to implement and maintain appropriate policies, procedures and controls which are reasonably designed to prevent, detect and report instances of money laundering and the financing of terrorism and to verify the identity of their customers. In addition, provisions of the USA Patriot Act require the federal financial institution regulatory agencies to consider the effectiveness of a financial institution’s anti-money laundering activities when reviewing bank mergers and bank holding company acquisitions. Failure of a financial institution to maintain and implement adequate programs to combat money laundering and terrorist financing could have serious legal and reputational consequences for the institution. The Registrant and its impacted subsidiaries have approved policies and procedures that are believed to be compliant with the USA Patriot Act.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Office of Foreign Assets Control Regulation</w:t>
      </w:r>
    </w:p>
    <w:p>
      <w:pPr>
        <w:spacing w:after="0" w:line="22"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65" w:lineRule="auto"/>
        <w:rPr>
          <w:sz w:val="20"/>
          <w:szCs w:val="20"/>
          <w:color w:val="auto"/>
        </w:rPr>
      </w:pPr>
      <w:r>
        <w:rPr>
          <w:rFonts w:ascii="Arial" w:cs="Arial" w:eastAsia="Arial" w:hAnsi="Arial"/>
          <w:sz w:val="14"/>
          <w:szCs w:val="14"/>
          <w:color w:val="auto"/>
        </w:rPr>
        <w:t>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Regulation of Insurers and Insurance Brokers</w:t>
      </w:r>
    </w:p>
    <w:p>
      <w:pPr>
        <w:spacing w:after="0" w:line="22"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M&amp;T’s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Governmental Policies</w:t>
      </w:r>
    </w:p>
    <w:p>
      <w:pPr>
        <w:spacing w:after="0" w:line="22"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Competition</w:t>
      </w:r>
    </w:p>
    <w:p>
      <w:pPr>
        <w:spacing w:after="0" w:line="22"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Legislative and Regulatory Initiatives</w:t>
      </w:r>
    </w:p>
    <w:p>
      <w:pPr>
        <w:spacing w:after="0" w:line="22" w:lineRule="exact"/>
        <w:rPr>
          <w:sz w:val="20"/>
          <w:szCs w:val="20"/>
          <w:color w:val="auto"/>
        </w:rPr>
      </w:pPr>
    </w:p>
    <w:p>
      <w:pPr>
        <w:ind w:left="680" w:right="40"/>
        <w:spacing w:after="0" w:line="273" w:lineRule="auto"/>
        <w:rPr>
          <w:sz w:val="20"/>
          <w:szCs w:val="20"/>
          <w:color w:val="auto"/>
        </w:rPr>
      </w:pPr>
      <w:r>
        <w:rPr>
          <w:rFonts w:ascii="Arial" w:cs="Arial" w:eastAsia="Arial" w:hAnsi="Arial"/>
          <w:sz w:val="13"/>
          <w:szCs w:val="13"/>
          <w:color w:val="auto"/>
        </w:rPr>
        <w:t>Proposals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Registrant in substantial and unpredictable ways. If enacted, such legislation could increase or decrease the cost of doing business, limit or expand permissible activities or affect the competitive balance among banks, savings associations, credit unions, and other financial institutions. M&amp;T cannot predict whether any such legislation will be enacted, and, if enacted, the effect that it, or any implementing regulations, would have on the financial condition or results of operations of the Registrant. A change in statutes, regulations or regulatory policies applicable to M&amp;T or any of its subsidiaries could have a material effect on the business of the Registrant. See the section captioned “Recent Developments” included elsewhere in this item.</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Information</w:t>
      </w:r>
    </w:p>
    <w:p>
      <w:pPr>
        <w:spacing w:after="0" w:line="22"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Governance</w:t>
      </w:r>
    </w:p>
    <w:p>
      <w:pPr>
        <w:spacing w:after="0" w:line="22"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M&amp;T’s Corporate Governance Standards and the following corporate governance documents are also available on M&amp;T’s website at the Investor Relations link: Disclosure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Statistical Disclosure Pursuant to Guide 3</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 Additional information is included in the following tables.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SELECTED CONSOLIDATED YEAR-END BALANCES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2010</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2009</w:t>
            </w: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2008</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2"/>
                <w:szCs w:val="12"/>
                <w:b w:val="1"/>
                <w:bCs w:val="1"/>
                <w:color w:val="auto"/>
              </w:rPr>
              <w:t>2007</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4"/>
        </w:trPr>
        <w:tc>
          <w:tcPr>
            <w:tcW w:w="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6"/>
        </w:trPr>
        <w:tc>
          <w:tcPr>
            <w:tcW w:w="6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101,222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133,335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10,284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76"/>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18,431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6,639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Federal funds sold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20,119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21,347</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48,038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19,458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90,000</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Trading account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523,834</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386,984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617,821</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281,244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136,752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U.S. Treasury and federal agencies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4,177,783</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4,006,968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3,909,493</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3,540,641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2,381,584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251,544</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266,748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135,585</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7"/>
              </w:rPr>
              <w:t>153,231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130,207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2,721,213</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3,506,893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3,874,129</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5,268,126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4,739,807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7,150,540</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7,780,609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7,919,207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8,961,998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7,251,598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Loans and leases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financial, leasing, etc.</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13,645,600</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13,790,737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14,563,091</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13,387,026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11,896,556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Real estate — construction</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4,332,618</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4,726,570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4,568,368</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4,190,068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3,453,981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 — mortgage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22,854,160</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21,747,533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19,224,003</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19,468,449</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17,940,083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Consumer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11,483,564</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12,041,617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11,004,275</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11,306,719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9,916,334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 and leases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52,315,942</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52,306,457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49,359,737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48,352,262</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43,206,954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Unearned discount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(325,560)</w:t>
            </w:r>
          </w:p>
        </w:tc>
        <w:tc>
          <w:tcPr>
            <w:tcW w:w="180" w:type="dxa"/>
            <w:vAlign w:val="bottom"/>
          </w:tcPr>
          <w:p>
            <w:pPr>
              <w:spacing w:after="0"/>
              <w:rPr>
                <w:sz w:val="13"/>
                <w:szCs w:val="1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3"/>
                <w:szCs w:val="13"/>
                <w:color w:val="auto"/>
              </w:rPr>
              <w:t>(369,771)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(359,274)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w w:val="89"/>
              </w:rPr>
              <w:t>(330,700)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(259,657)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and leases, net of unearned discount</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51,990,382</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51,936,686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49,000,463</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48,021,562</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42,947,297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Allowance for credit losses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(902,941)</w:t>
            </w:r>
          </w:p>
        </w:tc>
        <w:tc>
          <w:tcPr>
            <w:tcW w:w="180" w:type="dxa"/>
            <w:vAlign w:val="bottom"/>
          </w:tcPr>
          <w:p>
            <w:pPr>
              <w:spacing w:after="0"/>
              <w:rPr>
                <w:sz w:val="13"/>
                <w:szCs w:val="1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3"/>
                <w:szCs w:val="13"/>
                <w:color w:val="auto"/>
              </w:rPr>
              <w:t>(878,022)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(787,904)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w w:val="89"/>
              </w:rPr>
              <w:t>(759,439)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(649,948)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and leases, net</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51,087,441</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51,058,664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48,212,559</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47,262,123</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42,297,349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Goodwill</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3,524,625</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3,524,625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3,192,128</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3,196,433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2,908,849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Core deposit and other intangible assets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125,917</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182,418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183,496</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7"/>
              </w:rPr>
              <w:t>248,556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250,233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Real estate and other assets owned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220,049</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94,604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99,617</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40,175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12,141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68,021,263</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68,880,399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65,815,757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64,875,639</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57,064,905</w:t>
            </w:r>
          </w:p>
        </w:tc>
        <w:tc>
          <w:tcPr>
            <w:tcW w:w="800" w:type="dxa"/>
            <w:vAlign w:val="bottom"/>
          </w:tcPr>
          <w:p>
            <w:pPr>
              <w:spacing w:after="0"/>
              <w:rPr>
                <w:sz w:val="13"/>
                <w:szCs w:val="13"/>
                <w:color w:val="auto"/>
              </w:rPr>
            </w:pPr>
          </w:p>
        </w:tc>
      </w:tr>
      <w:tr>
        <w:trPr>
          <w:trHeight w:val="59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Noninterest-bearing deposits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14,557,568</w:t>
            </w:r>
          </w:p>
        </w:tc>
        <w:tc>
          <w:tcPr>
            <w:tcW w:w="180" w:type="dxa"/>
            <w:vAlign w:val="bottom"/>
          </w:tcPr>
          <w:p>
            <w:pPr>
              <w:spacing w:after="0"/>
              <w:rPr>
                <w:sz w:val="24"/>
                <w:szCs w:val="2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13,794,636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8,856,114</w:t>
            </w:r>
          </w:p>
        </w:tc>
        <w:tc>
          <w:tcPr>
            <w:tcW w:w="60" w:type="dxa"/>
            <w:vAlign w:val="bottom"/>
          </w:tcPr>
          <w:p>
            <w:pPr>
              <w:spacing w:after="0"/>
              <w:rPr>
                <w:sz w:val="24"/>
                <w:szCs w:val="2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8,131,662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7,879,977</w:t>
            </w:r>
          </w:p>
        </w:tc>
        <w:tc>
          <w:tcPr>
            <w:tcW w:w="800" w:type="dxa"/>
            <w:vAlign w:val="bottom"/>
          </w:tcPr>
          <w:p>
            <w:pPr>
              <w:spacing w:after="0"/>
              <w:rPr>
                <w:sz w:val="24"/>
                <w:szCs w:val="24"/>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NOW accounts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1,393,349</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1,396,471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1,141,308</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1,190,161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940,439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Savings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26,431,281</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23,676,798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19,488,918</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15,419,357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14,169,790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Time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5,817,170</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7,531,495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9,046,937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10,668,581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11,490,629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Deposits at Cayman Islands office</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1,605,916</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1,050,438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4,047,986</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5,856,427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5,429,668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49,805,284</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47,449,838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42,581,263</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41,266,188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39,910,503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Short-term borrowings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947,432</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2,442,582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3,009,735</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5,821,897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3,094,214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7,840,151</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10,240,016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12,075,149</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10,317,945</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6,890,741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59,663,568</w:t>
            </w:r>
          </w:p>
        </w:tc>
        <w:tc>
          <w:tcPr>
            <w:tcW w:w="180" w:type="dxa"/>
            <w:vAlign w:val="bottom"/>
          </w:tcPr>
          <w:p>
            <w:pPr>
              <w:spacing w:after="0"/>
              <w:rPr>
                <w:sz w:val="13"/>
                <w:szCs w:val="13"/>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3"/>
                <w:szCs w:val="13"/>
                <w:color w:val="auto"/>
              </w:rPr>
              <w:t>61,127,492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59,031,026</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58,390,383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50,783,810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8,357,695</w:t>
            </w:r>
          </w:p>
        </w:tc>
        <w:tc>
          <w:tcPr>
            <w:tcW w:w="180" w:type="dxa"/>
            <w:vAlign w:val="bottom"/>
            <w:shd w:val="clear" w:color="auto" w:fill="CCEEFF"/>
          </w:tcPr>
          <w:p>
            <w:pPr>
              <w:spacing w:after="0"/>
              <w:rPr>
                <w:sz w:val="13"/>
                <w:szCs w:val="13"/>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7,752,907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6,784,731</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6,485,256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6,281,095</w:t>
            </w:r>
          </w:p>
        </w:tc>
        <w:tc>
          <w:tcPr>
            <w:tcW w:w="800" w:type="dxa"/>
            <w:vAlign w:val="bottom"/>
          </w:tcPr>
          <w:p>
            <w:pPr>
              <w:spacing w:after="0"/>
              <w:rPr>
                <w:sz w:val="13"/>
                <w:szCs w:val="13"/>
                <w:color w:val="auto"/>
              </w:rPr>
            </w:pPr>
          </w:p>
        </w:tc>
      </w:tr>
      <w:tr>
        <w:trPr>
          <w:trHeight w:val="337"/>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Table 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20" w:type="dxa"/>
            <w:vAlign w:val="bottom"/>
            <w:gridSpan w:val="10"/>
          </w:tcPr>
          <w:p>
            <w:pPr>
              <w:jc w:val="right"/>
              <w:ind w:right="40"/>
              <w:spacing w:after="0"/>
              <w:rPr>
                <w:sz w:val="20"/>
                <w:szCs w:val="20"/>
                <w:color w:val="auto"/>
              </w:rPr>
            </w:pPr>
            <w:r>
              <w:rPr>
                <w:rFonts w:ascii="Arial" w:cs="Arial" w:eastAsia="Arial" w:hAnsi="Arial"/>
                <w:sz w:val="14"/>
                <w:szCs w:val="14"/>
                <w:b w:val="1"/>
                <w:bCs w:val="1"/>
                <w:color w:val="auto"/>
              </w:rPr>
              <w:t>SHAREHOLDERS, EMPLOYEES AND OFFICES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4"/>
        </w:trPr>
        <w:tc>
          <w:tcPr>
            <w:tcW w:w="68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0"/>
                <w:szCs w:val="10"/>
                <w:b w:val="1"/>
                <w:bCs w:val="1"/>
                <w:color w:val="auto"/>
              </w:rPr>
              <w:t>Number at Year-End</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7"/>
                <w:szCs w:val="17"/>
                <w:color w:val="auto"/>
              </w:rPr>
            </w:pPr>
          </w:p>
        </w:tc>
        <w:tc>
          <w:tcPr>
            <w:tcW w:w="820" w:type="dxa"/>
            <w:vAlign w:val="bottom"/>
            <w:gridSpan w:val="4"/>
          </w:tcPr>
          <w:p>
            <w:pPr>
              <w:jc w:val="right"/>
              <w:ind w:right="54"/>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9"/>
        </w:trPr>
        <w:tc>
          <w:tcPr>
            <w:tcW w:w="680" w:type="dxa"/>
            <w:vAlign w:val="bottom"/>
          </w:tcPr>
          <w:p>
            <w:pPr>
              <w:spacing w:after="0"/>
              <w:rPr>
                <w:sz w:val="2"/>
                <w:szCs w:val="2"/>
                <w:color w:val="auto"/>
              </w:rPr>
            </w:pPr>
          </w:p>
        </w:tc>
        <w:tc>
          <w:tcPr>
            <w:tcW w:w="300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Shareholders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12,773</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13,207</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11,197</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11,611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Employees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3"/>
                <w:szCs w:val="13"/>
                <w:color w:val="auto"/>
              </w:rPr>
              <w:t>13,365</w:t>
            </w:r>
          </w:p>
        </w:tc>
        <w:tc>
          <w:tcPr>
            <w:tcW w:w="6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14,226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13,620</w:t>
            </w:r>
          </w:p>
        </w:tc>
        <w:tc>
          <w:tcPr>
            <w:tcW w:w="960" w:type="dxa"/>
            <w:vAlign w:val="bottom"/>
            <w:gridSpan w:val="5"/>
          </w:tcPr>
          <w:p>
            <w:pPr>
              <w:jc w:val="right"/>
              <w:ind w:right="140"/>
              <w:spacing w:after="0"/>
              <w:rPr>
                <w:sz w:val="20"/>
                <w:szCs w:val="20"/>
                <w:color w:val="auto"/>
              </w:rPr>
            </w:pPr>
            <w:r>
              <w:rPr>
                <w:rFonts w:ascii="Arial" w:cs="Arial" w:eastAsia="Arial" w:hAnsi="Arial"/>
                <w:sz w:val="13"/>
                <w:szCs w:val="13"/>
                <w:color w:val="auto"/>
              </w:rPr>
              <w:t>13,869</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13,352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Offices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778</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832</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736</w:t>
            </w:r>
          </w:p>
        </w:tc>
        <w:tc>
          <w:tcPr>
            <w:tcW w:w="800" w:type="dxa"/>
            <w:vAlign w:val="bottom"/>
          </w:tcPr>
          <w:p>
            <w:pPr>
              <w:spacing w:after="0"/>
              <w:rPr>
                <w:sz w:val="13"/>
                <w:szCs w:val="13"/>
                <w:color w:val="auto"/>
              </w:rPr>
            </w:pPr>
          </w:p>
        </w:tc>
      </w:tr>
      <w:tr>
        <w:trPr>
          <w:trHeight w:val="29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22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CONSOLIDATED EARNINGS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5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2010</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2008</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2007</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b w:val="1"/>
                <w:bCs w:val="1"/>
                <w:color w:val="auto"/>
                <w:w w:val="99"/>
              </w:rPr>
              <w:t>(In thousands)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Loans and leases, including fees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2,394,082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2,326,748</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2,825,587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3,155,967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2,927,411</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Deposits at banks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Federal funds sold</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42</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254</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857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1,670</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Resell agreements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1,817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22,978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3,927</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Trading account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615</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534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1,469</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744</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2,446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Investment securities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ind w:left="120"/>
              <w:spacing w:after="0"/>
              <w:rPr>
                <w:sz w:val="20"/>
                <w:szCs w:val="20"/>
                <w:color w:val="auto"/>
              </w:rPr>
            </w:pPr>
            <w:r>
              <w:rPr>
                <w:rFonts w:ascii="Arial" w:cs="Arial" w:eastAsia="Arial" w:hAnsi="Arial"/>
                <w:sz w:val="12"/>
                <w:szCs w:val="12"/>
                <w:color w:val="auto"/>
              </w:rPr>
              <w:t>Fully taxable</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324,695</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389,268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438,409</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352,628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363,401</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Exempt from federal taxes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9,946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11,339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14,866</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20"/>
              <w:spacing w:after="0"/>
              <w:rPr>
                <w:sz w:val="20"/>
                <w:szCs w:val="20"/>
                <w:color w:val="auto"/>
              </w:rPr>
            </w:pPr>
            <w:r>
              <w:rPr>
                <w:rFonts w:ascii="Arial" w:cs="Arial" w:eastAsia="Arial" w:hAnsi="Arial"/>
                <w:sz w:val="12"/>
                <w:szCs w:val="12"/>
                <w:color w:val="auto"/>
              </w:rPr>
              <w:t>Total interest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2,729,795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2,725,197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3,277,591</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3,544,813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3,314,093</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expense</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NOW accounts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850</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1,122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2,894</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4,638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3,461</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Savings deposits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85,226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112,550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248,083</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250,313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201,543</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Time deposits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100,241</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206,220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330,389</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496,378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551,514</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Deposits at Cayman Islands office</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1,368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84,483</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207,990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178,348</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Short-term borrowings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3,006</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7,129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142,627</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274,079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227,850</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271,578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529,319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461,178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333,836</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20"/>
              <w:spacing w:after="0"/>
              <w:rPr>
                <w:sz w:val="20"/>
                <w:szCs w:val="20"/>
                <w:color w:val="auto"/>
              </w:rPr>
            </w:pPr>
            <w:r>
              <w:rPr>
                <w:rFonts w:ascii="Arial" w:cs="Arial" w:eastAsia="Arial" w:hAnsi="Arial"/>
                <w:sz w:val="12"/>
                <w:szCs w:val="12"/>
                <w:color w:val="auto"/>
              </w:rPr>
              <w:t>Total interest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462,269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669,449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1,337,795</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1,694,576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1,496,552</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interest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2,267,526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2,055,748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1,939,796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1,850,237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1,817,541</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Provision for credit losses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368,000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604,000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412,000</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192,000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interest income after provision for credit losses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1,899,526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1,451,748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1,527,796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7"/>
              </w:rPr>
              <w:t>1,658,237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1,737,541</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20"/>
                <w:szCs w:val="20"/>
                <w:color w:val="auto"/>
              </w:rPr>
            </w:pPr>
            <w:r>
              <w:rPr>
                <w:rFonts w:ascii="Arial" w:cs="Arial" w:eastAsia="Arial" w:hAnsi="Arial"/>
                <w:sz w:val="12"/>
                <w:szCs w:val="12"/>
                <w:b w:val="1"/>
                <w:bCs w:val="1"/>
                <w:color w:val="auto"/>
              </w:rPr>
              <w:t>Other income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Mortgage banking revenues</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184,625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207,561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156,012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111,893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143,181</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Service charges on deposit accounts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478,133</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469,195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430,532</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409,462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380,950</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Trust income</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122,613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128,568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156,149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152,636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140,781</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Brokerage services income</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49,669</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57,611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64,186</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59,533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60,295</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Trading account and foreign exchange gains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27,286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23,125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17,630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30,271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24,761</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Gain on bank investment securities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2,770</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1,165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34,471</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1,204</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2,566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Total other-than-temporary impairment (“OTTI”) losses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(115,947)</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(264,363)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(182,222)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(127,300)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Portion of OTTI losses recognized in other comprehensive income (before taxes)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29,666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126,066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Net OTTI losses recognized in earnings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(86,281)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(138,297)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(182,222)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(127,300)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Equity in earnings of Bayview Lending Group LLC</w:t>
            </w:r>
          </w:p>
        </w:tc>
        <w:tc>
          <w:tcPr>
            <w:tcW w:w="1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(25,768)</w:t>
            </w: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(25,898)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(37,453)</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8,935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 revenues from operations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355,053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325,076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299,674</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286,355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293,318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20"/>
              <w:spacing w:after="0"/>
              <w:rPr>
                <w:sz w:val="20"/>
                <w:szCs w:val="20"/>
                <w:color w:val="auto"/>
              </w:rPr>
            </w:pPr>
            <w:r>
              <w:rPr>
                <w:rFonts w:ascii="Arial" w:cs="Arial" w:eastAsia="Arial" w:hAnsi="Arial"/>
                <w:sz w:val="12"/>
                <w:szCs w:val="12"/>
                <w:color w:val="auto"/>
              </w:rPr>
              <w:t>Total other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1,108,100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1,048,106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938,979</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932,989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1,045,852</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Salaries and employee benefits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999,709</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1,001,873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957,086</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908,315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873,353</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Equipment and net occupancy</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216,064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211,391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188,845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169,050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168,776</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Printing, postage and supplies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33,847</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38,216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35,860</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35,765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33,956</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58,103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64,255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66,646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66,486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63,008</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FDIC assessments</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79,324</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96,519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6,689</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4,203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4,505</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Other costs of operations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527,790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568,309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471,870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443,870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408,153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20"/>
              <w:spacing w:after="0"/>
              <w:rPr>
                <w:sz w:val="20"/>
                <w:szCs w:val="20"/>
                <w:color w:val="auto"/>
              </w:rPr>
            </w:pPr>
            <w:r>
              <w:rPr>
                <w:rFonts w:ascii="Arial" w:cs="Arial" w:eastAsia="Arial" w:hAnsi="Arial"/>
                <w:sz w:val="12"/>
                <w:szCs w:val="12"/>
                <w:color w:val="auto"/>
              </w:rPr>
              <w:t>Total other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1,914,837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1,980,563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1,726,996</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w w:val="97"/>
              </w:rPr>
              <w:t>1,627,689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1,551,751</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1,092,789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519,291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739,779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963,537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1,231,642</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20"/>
                <w:szCs w:val="20"/>
                <w:color w:val="auto"/>
              </w:rPr>
            </w:pPr>
            <w:r>
              <w:rPr>
                <w:rFonts w:ascii="Arial" w:cs="Arial" w:eastAsia="Arial" w:hAnsi="Arial"/>
                <w:sz w:val="12"/>
                <w:szCs w:val="12"/>
                <w:color w:val="auto"/>
              </w:rPr>
              <w:t>Income taxes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356,628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139,400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183,892</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309,278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392,453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736,161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379,891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555,887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654,259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839,189</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20"/>
                <w:szCs w:val="20"/>
                <w:color w:val="auto"/>
              </w:rPr>
            </w:pPr>
            <w:r>
              <w:rPr>
                <w:rFonts w:ascii="Arial" w:cs="Arial" w:eastAsia="Arial" w:hAnsi="Arial"/>
                <w:sz w:val="12"/>
                <w:szCs w:val="12"/>
                <w:b w:val="1"/>
                <w:bCs w:val="1"/>
                <w:color w:val="auto"/>
              </w:rPr>
              <w:t>Dividends declared</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335,502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326,617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308,501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281,900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249,817</w:t>
            </w:r>
          </w:p>
        </w:tc>
        <w:tc>
          <w:tcPr>
            <w:tcW w:w="0" w:type="dxa"/>
            <w:vAlign w:val="bottom"/>
          </w:tcPr>
          <w:p>
            <w:pPr>
              <w:spacing w:after="0"/>
              <w:rPr>
                <w:sz w:val="1"/>
                <w:szCs w:val="1"/>
                <w:color w:val="auto"/>
              </w:rPr>
            </w:pPr>
          </w:p>
        </w:tc>
      </w:tr>
      <w:tr>
        <w:trPr>
          <w:trHeight w:val="149"/>
        </w:trPr>
        <w:tc>
          <w:tcPr>
            <w:tcW w:w="5200" w:type="dxa"/>
            <w:vAlign w:val="bottom"/>
          </w:tcPr>
          <w:p>
            <w:pPr>
              <w:ind w:left="120"/>
              <w:spacing w:after="0"/>
              <w:rPr>
                <w:sz w:val="20"/>
                <w:szCs w:val="20"/>
                <w:color w:val="auto"/>
              </w:rPr>
            </w:pPr>
            <w:r>
              <w:rPr>
                <w:rFonts w:ascii="Arial" w:cs="Arial" w:eastAsia="Arial" w:hAnsi="Arial"/>
                <w:sz w:val="12"/>
                <w:szCs w:val="12"/>
                <w:color w:val="auto"/>
              </w:rPr>
              <w:t>Preferred</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40,225</w:t>
            </w: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31,946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COMMON SHAREHOLDER DATA</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2010</w:t>
            </w:r>
          </w:p>
        </w:tc>
        <w:tc>
          <w:tcPr>
            <w:tcW w:w="42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2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2008</w:t>
            </w:r>
          </w:p>
        </w:tc>
        <w:tc>
          <w:tcPr>
            <w:tcW w:w="4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2007</w:t>
            </w:r>
          </w:p>
        </w:tc>
        <w:tc>
          <w:tcPr>
            <w:tcW w:w="420" w:type="dxa"/>
            <w:vAlign w:val="bottom"/>
          </w:tcPr>
          <w:p>
            <w:pPr>
              <w:spacing w:after="0"/>
              <w:rPr>
                <w:sz w:val="13"/>
                <w:szCs w:val="13"/>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r>
      <w:tr>
        <w:trPr>
          <w:trHeight w:val="32"/>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Per share</w:t>
            </w: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2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5"/>
              </w:rPr>
              <w:t>$  5.72</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0"/>
              </w:rPr>
              <w:t>$  2.90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  5.04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5"/>
              </w:rPr>
              <w:t>$  6.05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0"/>
              </w:rPr>
              <w:t>$  7.55</w:t>
            </w:r>
          </w:p>
        </w:tc>
      </w:tr>
      <w:tr>
        <w:trPr>
          <w:trHeight w:val="157"/>
        </w:trPr>
        <w:tc>
          <w:tcPr>
            <w:tcW w:w="6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5.69</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2.89</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5.01</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5.95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7.37</w:t>
            </w:r>
          </w:p>
        </w:tc>
      </w:tr>
      <w:tr>
        <w:trPr>
          <w:trHeight w:val="157"/>
        </w:trPr>
        <w:tc>
          <w:tcPr>
            <w:tcW w:w="6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declared</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2.25</w:t>
            </w:r>
          </w:p>
        </w:tc>
      </w:tr>
      <w:tr>
        <w:trPr>
          <w:trHeight w:val="157"/>
        </w:trPr>
        <w:tc>
          <w:tcPr>
            <w:tcW w:w="6240" w:type="dxa"/>
            <w:vAlign w:val="bottom"/>
          </w:tcPr>
          <w:p>
            <w:pPr>
              <w:ind w:left="140"/>
              <w:spacing w:after="0"/>
              <w:rPr>
                <w:sz w:val="20"/>
                <w:szCs w:val="20"/>
                <w:color w:val="auto"/>
              </w:rPr>
            </w:pPr>
            <w:r>
              <w:rPr>
                <w:rFonts w:ascii="Arial" w:cs="Arial" w:eastAsia="Arial" w:hAnsi="Arial"/>
                <w:sz w:val="13"/>
                <w:szCs w:val="13"/>
                <w:color w:val="auto"/>
              </w:rPr>
              <w:t>Common shareholders’ equity at year-end</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63.54</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59.31</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56.29</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58.99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56.94</w:t>
            </w:r>
          </w:p>
        </w:tc>
      </w:tr>
      <w:tr>
        <w:trPr>
          <w:trHeight w:val="157"/>
        </w:trPr>
        <w:tc>
          <w:tcPr>
            <w:tcW w:w="6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Tangible common shareholders’ equity at year-end</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33.26</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28.27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27.98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28.57</w:t>
            </w:r>
          </w:p>
        </w:tc>
      </w:tr>
      <w:tr>
        <w:trPr>
          <w:trHeight w:val="165"/>
        </w:trPr>
        <w:tc>
          <w:tcPr>
            <w:tcW w:w="6240" w:type="dxa"/>
            <w:vAlign w:val="bottom"/>
          </w:tcPr>
          <w:p>
            <w:pPr>
              <w:ind w:left="140"/>
              <w:spacing w:after="0"/>
              <w:rPr>
                <w:sz w:val="20"/>
                <w:szCs w:val="20"/>
                <w:color w:val="auto"/>
              </w:rPr>
            </w:pPr>
            <w:r>
              <w:rPr>
                <w:rFonts w:ascii="Arial" w:cs="Arial" w:eastAsia="Arial" w:hAnsi="Arial"/>
                <w:sz w:val="13"/>
                <w:szCs w:val="13"/>
                <w:color w:val="auto"/>
              </w:rPr>
              <w:t>Dividend payout ratio</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48.98%</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97.36%</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55.62%</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43.12%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29.79%</w:t>
            </w: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CHANGES IN INTEREST INCOME AND EXPENSE(a)</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1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7"/>
          </w:tcPr>
          <w:p>
            <w:pPr>
              <w:jc w:val="right"/>
              <w:ind w:right="840"/>
              <w:spacing w:after="0"/>
              <w:rPr>
                <w:sz w:val="20"/>
                <w:szCs w:val="20"/>
                <w:color w:val="auto"/>
              </w:rPr>
            </w:pPr>
            <w:r>
              <w:rPr>
                <w:rFonts w:ascii="Arial" w:cs="Arial" w:eastAsia="Arial" w:hAnsi="Arial"/>
                <w:sz w:val="12"/>
                <w:szCs w:val="12"/>
                <w:b w:val="1"/>
                <w:bCs w:val="1"/>
                <w:color w:val="auto"/>
              </w:rPr>
              <w:t>2010 Compared with 2009</w:t>
            </w:r>
          </w:p>
        </w:tc>
        <w:tc>
          <w:tcPr>
            <w:tcW w:w="140" w:type="dxa"/>
            <w:vAlign w:val="bottom"/>
          </w:tcPr>
          <w:p>
            <w:pPr>
              <w:spacing w:after="0"/>
              <w:rPr>
                <w:sz w:val="13"/>
                <w:szCs w:val="13"/>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2009 Compared with 2008</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218"/>
              <w:spacing w:after="0" w:line="131" w:lineRule="exact"/>
              <w:rPr>
                <w:sz w:val="20"/>
                <w:szCs w:val="20"/>
                <w:color w:val="auto"/>
              </w:rPr>
            </w:pPr>
            <w:r>
              <w:rPr>
                <w:rFonts w:ascii="Arial" w:cs="Arial" w:eastAsia="Arial" w:hAnsi="Arial"/>
                <w:sz w:val="12"/>
                <w:szCs w:val="12"/>
                <w:b w:val="1"/>
                <w:bCs w:val="1"/>
                <w:color w:val="auto"/>
              </w:rPr>
              <w:t>Resulting from</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right"/>
              <w:ind w:right="295"/>
              <w:spacing w:after="0" w:line="131" w:lineRule="exact"/>
              <w:rPr>
                <w:sz w:val="20"/>
                <w:szCs w:val="20"/>
                <w:color w:val="auto"/>
              </w:rPr>
            </w:pPr>
            <w:r>
              <w:rPr>
                <w:rFonts w:ascii="Arial" w:cs="Arial" w:eastAsia="Arial" w:hAnsi="Arial"/>
                <w:sz w:val="12"/>
                <w:szCs w:val="12"/>
                <w:b w:val="1"/>
                <w:bCs w:val="1"/>
                <w:color w:val="auto"/>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c>
          <w:tcPr>
            <w:tcW w:w="162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Changes in:</w:t>
            </w:r>
          </w:p>
        </w:tc>
        <w:tc>
          <w:tcPr>
            <w:tcW w:w="140" w:type="dxa"/>
            <w:vAlign w:val="bottom"/>
          </w:tcPr>
          <w:p>
            <w:pPr>
              <w:spacing w:after="0"/>
              <w:rPr>
                <w:sz w:val="13"/>
                <w:szCs w:val="13"/>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15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Changes in:</w:t>
            </w:r>
          </w:p>
        </w:tc>
        <w:tc>
          <w:tcPr>
            <w:tcW w:w="0" w:type="dxa"/>
            <w:vAlign w:val="bottom"/>
          </w:tcPr>
          <w:p>
            <w:pPr>
              <w:spacing w:after="0"/>
              <w:rPr>
                <w:sz w:val="1"/>
                <w:szCs w:val="1"/>
                <w:color w:val="auto"/>
              </w:rPr>
            </w:pPr>
          </w:p>
        </w:tc>
      </w:tr>
      <w:tr>
        <w:trPr>
          <w:trHeight w:val="137"/>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6"/>
              <w:spacing w:after="0" w:line="132" w:lineRule="exact"/>
              <w:rPr>
                <w:sz w:val="20"/>
                <w:szCs w:val="20"/>
                <w:color w:val="auto"/>
              </w:rPr>
            </w:pPr>
            <w:r>
              <w:rPr>
                <w:rFonts w:ascii="Arial" w:cs="Arial" w:eastAsia="Arial" w:hAnsi="Arial"/>
                <w:sz w:val="12"/>
                <w:szCs w:val="12"/>
                <w:b w:val="1"/>
                <w:bCs w:val="1"/>
                <w:color w:val="auto"/>
                <w:w w:val="99"/>
              </w:rPr>
              <w:t>Change</w:t>
            </w:r>
          </w:p>
        </w:tc>
        <w:tc>
          <w:tcPr>
            <w:tcW w:w="280" w:type="dxa"/>
            <w:vAlign w:val="bottom"/>
          </w:tcPr>
          <w:p>
            <w:pPr>
              <w:spacing w:after="0"/>
              <w:rPr>
                <w:sz w:val="11"/>
                <w:szCs w:val="11"/>
                <w:color w:val="auto"/>
              </w:rPr>
            </w:pPr>
          </w:p>
        </w:tc>
        <w:tc>
          <w:tcPr>
            <w:tcW w:w="5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w w:val="96"/>
              </w:rPr>
              <w:t>Volume</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Rate</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6"/>
              <w:spacing w:after="0" w:line="132" w:lineRule="exact"/>
              <w:rPr>
                <w:sz w:val="20"/>
                <w:szCs w:val="20"/>
                <w:color w:val="auto"/>
              </w:rPr>
            </w:pPr>
            <w:r>
              <w:rPr>
                <w:rFonts w:ascii="Arial" w:cs="Arial" w:eastAsia="Arial" w:hAnsi="Arial"/>
                <w:sz w:val="12"/>
                <w:szCs w:val="12"/>
                <w:b w:val="1"/>
                <w:bCs w:val="1"/>
                <w:color w:val="auto"/>
                <w:w w:val="99"/>
              </w:rPr>
              <w:t>Change</w:t>
            </w:r>
          </w:p>
        </w:tc>
        <w:tc>
          <w:tcPr>
            <w:tcW w:w="300" w:type="dxa"/>
            <w:vAlign w:val="bottom"/>
          </w:tcPr>
          <w:p>
            <w:pPr>
              <w:spacing w:after="0"/>
              <w:rPr>
                <w:sz w:val="11"/>
                <w:szCs w:val="11"/>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b w:val="1"/>
                <w:bCs w:val="1"/>
                <w:color w:val="auto"/>
              </w:rPr>
              <w:t>Volume</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88"/>
              </w:rPr>
              <w:t>(Increase (decrease) 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Loans and leases, including fees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68,687</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16,046</w:t>
            </w:r>
          </w:p>
        </w:tc>
        <w:tc>
          <w:tcPr>
            <w:tcW w:w="1000" w:type="dxa"/>
            <w:vAlign w:val="bottom"/>
            <w:gridSpan w:val="3"/>
          </w:tcPr>
          <w:p>
            <w:pPr>
              <w:jc w:val="right"/>
              <w:ind w:right="300"/>
              <w:spacing w:after="0"/>
              <w:rPr>
                <w:sz w:val="20"/>
                <w:szCs w:val="20"/>
                <w:color w:val="auto"/>
              </w:rPr>
            </w:pPr>
            <w:r>
              <w:rPr>
                <w:rFonts w:ascii="Arial" w:cs="Arial" w:eastAsia="Arial" w:hAnsi="Arial"/>
                <w:sz w:val="13"/>
                <w:szCs w:val="13"/>
                <w:color w:val="auto"/>
              </w:rPr>
              <w:t>52,641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(498,433)</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118,677</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(617,110)</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Federal funds sold and agreements to resell securities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317</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348</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(1,942)</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(729)</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(1,213)</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(906)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(1,033)</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U.S. Treasury and federal agencies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9,514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30,242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(20,728)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1,065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1,964</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2,584</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(620)</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3,900</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5,179</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(1,279)</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(73,893)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(47,671)</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(26,222)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(56,035)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(35,242)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(20,793)</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6,792</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(552,426)</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Interest-bearing deposits</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NOW accounts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(272)</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(391)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(1,772)</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220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(1,992)</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Savings deposits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(27,324)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14,209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(41,533)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(135,533)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52,405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(187,938)</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Time deposits</w:t>
            </w:r>
          </w:p>
        </w:tc>
        <w:tc>
          <w:tcPr>
            <w:tcW w:w="1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(105,979)</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(44,066)</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(61,913)</w:t>
            </w:r>
          </w:p>
        </w:tc>
        <w:tc>
          <w:tcPr>
            <w:tcW w:w="14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(124,169)</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(25,770)</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(98,399)</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Deposits at Cayman Islands office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(1,023)</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(82,092)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(31,707)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(50,385)</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Short-term borrowings</w:t>
            </w:r>
          </w:p>
        </w:tc>
        <w:tc>
          <w:tcPr>
            <w:tcW w:w="1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(4,123)</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(2,151)</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(1,972)</w:t>
            </w:r>
          </w:p>
        </w:tc>
        <w:tc>
          <w:tcPr>
            <w:tcW w:w="14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(135,498)</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(49,651)</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(85,847)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(68,459)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(56,729)</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(11,730)</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(189,282)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(22,502)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(166,780)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interest expense</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(207,180)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(668,346)</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540" w:hanging="259"/>
        <w:spacing w:after="0" w:line="276" w:lineRule="auto"/>
        <w:tabs>
          <w:tab w:leader="none" w:pos="100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3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9" w:lineRule="exact"/>
        <w:rPr>
          <w:sz w:val="20"/>
          <w:szCs w:val="20"/>
          <w:color w:val="auto"/>
        </w:rPr>
      </w:pPr>
    </w:p>
    <w:p>
      <w:pPr>
        <w:ind w:left="680" w:right="460"/>
        <w:spacing w:after="0" w:line="265" w:lineRule="auto"/>
        <w:rPr>
          <w:sz w:val="20"/>
          <w:szCs w:val="20"/>
          <w:color w:val="auto"/>
        </w:rPr>
      </w:pPr>
      <w:r>
        <w:rPr>
          <w:rFonts w:ascii="Arial" w:cs="Arial" w:eastAsia="Arial" w:hAnsi="Arial"/>
          <w:sz w:val="14"/>
          <w:szCs w:val="14"/>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as well as on the value of the Company’s financial instruments in general, and M&amp;T’s common stock, in particular.</w:t>
      </w:r>
    </w:p>
    <w:p>
      <w:pPr>
        <w:spacing w:after="0" w:line="18" w:lineRule="exact"/>
        <w:rPr>
          <w:sz w:val="20"/>
          <w:szCs w:val="20"/>
          <w:color w:val="auto"/>
        </w:rPr>
      </w:pPr>
    </w:p>
    <w:p>
      <w:pPr>
        <w:jc w:val="both"/>
        <w:ind w:left="680" w:right="60" w:firstLine="599"/>
        <w:spacing w:after="0" w:line="268" w:lineRule="auto"/>
        <w:rPr>
          <w:sz w:val="20"/>
          <w:szCs w:val="20"/>
          <w:color w:val="auto"/>
        </w:rPr>
      </w:pPr>
      <w:r>
        <w:rPr>
          <w:rFonts w:ascii="Arial" w:cs="Arial" w:eastAsia="Arial" w:hAnsi="Arial"/>
          <w:sz w:val="13"/>
          <w:szCs w:val="13"/>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w:t>
      </w:r>
    </w:p>
    <w:p>
      <w:pPr>
        <w:spacing w:after="0" w:line="1" w:lineRule="exact"/>
        <w:rPr>
          <w:sz w:val="20"/>
          <w:szCs w:val="20"/>
          <w:color w:val="auto"/>
        </w:rPr>
      </w:pPr>
    </w:p>
    <w:p>
      <w:pPr>
        <w:ind w:left="680" w:right="220"/>
        <w:spacing w:after="0" w:line="249" w:lineRule="auto"/>
        <w:rPr>
          <w:sz w:val="20"/>
          <w:szCs w:val="20"/>
          <w:color w:val="auto"/>
        </w:rPr>
      </w:pPr>
      <w:r>
        <w:rPr>
          <w:rFonts w:ascii="Arial" w:cs="Arial" w:eastAsia="Arial" w:hAnsi="Arial"/>
          <w:sz w:val="14"/>
          <w:szCs w:val="14"/>
          <w:color w:val="auto"/>
        </w:rPr>
        <w:t>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ind w:left="680" w:firstLine="599"/>
        <w:spacing w:after="0" w:line="268" w:lineRule="auto"/>
        <w:rPr>
          <w:sz w:val="20"/>
          <w:szCs w:val="20"/>
          <w:color w:val="auto"/>
        </w:rPr>
      </w:pPr>
      <w:r>
        <w:rPr>
          <w:rFonts w:ascii="Arial" w:cs="Arial" w:eastAsia="Arial" w:hAnsi="Arial"/>
          <w:sz w:val="13"/>
          <w:szCs w:val="13"/>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Cayman Islands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2"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Credit Risk — Factors that influence the Company’s credit loss experience include overall economic conditions affecting businesses and consumers, in general, and, due to the size of the Company’s real estate loan portfolio and mortgage-related investment securities portfolio, real estate valuations, in particular. Other factors that can influence the Company’s credit loss experience, in addition to general economic conditions and borrowers’ specific abilities to repay loans, include: (i) the impact of declining real estate values in the Company’s portfolio of loans to residential real estate builders and developers; (ii) the repayment performance associated with the Company’s portfolio of alternative residential mortgage loans and residential and other mortgage loans supporting mortgage-related securities;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many other loan types. Considerable concerns exist about the economic recovery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in light of continued stagnant population growth in the upstate New York and central Pennsylvania regions; and continued uncertainty about possible responses to state and local government budget deficits.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Numerous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 Company’s loan and lease portfolios to ensure compliance with established credit policy. The Company utilizes an extensive loan grading system which is applied to all commercial and commercial real estate loans. On a quarterly basis, the Company’s loan review department reviews commercial loans and commercial real estate loans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The Company maintains an allowance for credit losses that in management’s judgment is adequate to absorb losses inherent in the loan and lease portfolio. In addition, the Company regularly reviews its investment securities for declines in value below amortized cost that might be characterized as “other than temporary.” Any declines in value below amortized cost that are deemed to be “other than temporary” are charged to earnings.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Economic Risk — The U.S. economy experienced weak economic conditions during the last three years. Those conditions contributed to risk as follows:</w:t>
      </w:r>
    </w:p>
    <w:p>
      <w:pPr>
        <w:spacing w:after="0" w:line="18" w:lineRule="exact"/>
        <w:rPr>
          <w:sz w:val="20"/>
          <w:szCs w:val="20"/>
          <w:color w:val="auto"/>
        </w:rPr>
      </w:pPr>
    </w:p>
    <w:p>
      <w:pPr>
        <w:ind w:left="1280" w:right="20" w:hanging="190"/>
        <w:spacing w:after="0" w:line="249" w:lineRule="auto"/>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significant downturn in the residential real estate market that began in 2007 continued through the 2010 year-end. The impact of that downturn has resulted in depressed home prices, higher than historical levels of foreclosures and loan charge-offs, and lower market prices on investment securities backed by residential real estate. Those factors have negatively impacted M&amp;T’s results of operations and could continue to do so.</w:t>
      </w:r>
    </w:p>
    <w:p>
      <w:pPr>
        <w:ind w:left="1280" w:right="20" w:hanging="190"/>
        <w:spacing w:after="0" w:line="249" w:lineRule="auto"/>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Lower demand for the Company’s products and services and lower revenues and earnings could result from ongoing weak economic conditions. Those conditions could also result in higher loan charge-offs due to the inability of borrowers to repay loans.</w:t>
      </w:r>
    </w:p>
    <w:p>
      <w:pPr>
        <w:ind w:left="1280" w:hanging="190"/>
        <w:spacing w:after="0"/>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Lower fee income from the Company’s brokerage and trust businesses could result from significant declines in stock market prices.</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Lower earnings could result from other-than-temporary impairment charges related to the Company’s investment securities portfolio.</w:t>
      </w:r>
    </w:p>
    <w:p>
      <w:pPr>
        <w:spacing w:after="0" w:line="6" w:lineRule="exact"/>
        <w:rPr>
          <w:rFonts w:ascii="Arial" w:cs="Arial" w:eastAsia="Arial" w:hAnsi="Arial"/>
          <w:sz w:val="9"/>
          <w:szCs w:val="9"/>
          <w:color w:val="auto"/>
        </w:rPr>
      </w:pPr>
    </w:p>
    <w:p>
      <w:pPr>
        <w:ind w:left="1280" w:right="320" w:hanging="190"/>
        <w:spacing w:after="0" w:line="249" w:lineRule="auto"/>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Higher FDIC assessments could be imposed on the Company due to bank failures that have caused the FDIC Deposit Insurance Fund to fall below minimum required levels.</w:t>
      </w:r>
    </w:p>
    <w:p>
      <w:pPr>
        <w:ind w:left="1280" w:right="520" w:hanging="190"/>
        <w:spacing w:after="0" w:line="263" w:lineRule="auto"/>
        <w:tabs>
          <w:tab w:leader="none" w:pos="128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There is no assurance that the Emergency Economic Stabilization Act of 2008 or the American Recovery and Reinvestment Act of 2009 will improve the condition of the financial markets.</w:t>
      </w:r>
    </w:p>
    <w:p>
      <w:pPr>
        <w:spacing w:after="0" w:line="58" w:lineRule="exact"/>
        <w:rPr>
          <w:sz w:val="20"/>
          <w:szCs w:val="20"/>
          <w:color w:val="auto"/>
        </w:rPr>
      </w:pPr>
    </w:p>
    <w:p>
      <w:pPr>
        <w:ind w:left="680" w:right="140" w:firstLine="599"/>
        <w:spacing w:after="0" w:line="271" w:lineRule="auto"/>
        <w:rPr>
          <w:sz w:val="20"/>
          <w:szCs w:val="20"/>
          <w:color w:val="auto"/>
        </w:rPr>
      </w:pPr>
      <w:r>
        <w:rPr>
          <w:rFonts w:ascii="Arial" w:cs="Arial" w:eastAsia="Arial" w:hAnsi="Arial"/>
          <w:sz w:val="13"/>
          <w:szCs w:val="13"/>
          <w:color w:val="auto"/>
        </w:rPr>
        <w:t>Supervision and Regulation — The Company is subject to extensive state and federal laws and regulations governing the banking industry, in particular, and public companies, in general, including laws related to corporate taxation. Many of those laws and regulations are described in Part I, Item 1 “Business.” Changes in those or other laws and regulations, or the degree of the Company’s compliance with those laws and regulations as judged by any of several regulators, including tax authorities, that oversee the Company, could have a significant effect on the Company’s operations and its financial results. For example, the Dodd-Frank Act represents a comprehensive overhaul of the financial services industry within the United States and requires federal agencies to implement many new rules. It is expected that at a minimum those new rules will result in increased costs, decreased revenues and more stringent capital and liquidity requirements.</w:t>
      </w:r>
    </w:p>
    <w:p>
      <w:pPr>
        <w:spacing w:after="0" w:line="2"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ind w:left="680" w:right="40" w:firstLine="599"/>
        <w:spacing w:after="0" w:line="263" w:lineRule="auto"/>
        <w:rPr>
          <w:sz w:val="20"/>
          <w:szCs w:val="20"/>
          <w:color w:val="auto"/>
        </w:rPr>
      </w:pPr>
      <w:r>
        <w:rPr>
          <w:rFonts w:ascii="Arial" w:cs="Arial" w:eastAsia="Arial" w:hAnsi="Arial"/>
          <w:sz w:val="14"/>
          <w:szCs w:val="14"/>
          <w:color w:val="auto"/>
        </w:rPr>
        <w:t>In addition, the market price of M&amp;T common stock may fluctuate significantly in response to a number of other factors, including changes in securities analysts’ estimates of financial performance,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20"/>
        <w:spacing w:after="0" w:line="280" w:lineRule="auto"/>
        <w:rPr>
          <w:sz w:val="20"/>
          <w:szCs w:val="20"/>
          <w:color w:val="auto"/>
        </w:rPr>
      </w:pPr>
      <w:r>
        <w:rPr>
          <w:rFonts w:ascii="Arial" w:cs="Arial" w:eastAsia="Arial" w:hAnsi="Arial"/>
          <w:sz w:val="14"/>
          <w:szCs w:val="14"/>
          <w:color w:val="auto"/>
        </w:rPr>
        <w:t>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2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9" w:lineRule="exact"/>
        <w:rPr>
          <w:sz w:val="20"/>
          <w:szCs w:val="20"/>
          <w:color w:val="auto"/>
        </w:rPr>
      </w:pPr>
    </w:p>
    <w:p>
      <w:pPr>
        <w:ind w:left="680" w:right="640"/>
        <w:spacing w:after="0" w:line="253" w:lineRule="auto"/>
        <w:rPr>
          <w:sz w:val="20"/>
          <w:szCs w:val="20"/>
          <w:color w:val="auto"/>
        </w:rPr>
      </w:pPr>
      <w:r>
        <w:rPr>
          <w:rFonts w:ascii="Arial" w:cs="Arial" w:eastAsia="Arial" w:hAnsi="Arial"/>
          <w:sz w:val="14"/>
          <w:szCs w:val="14"/>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2010, the cost of this property (including improvements subsequent to the initial construction), net of accumulated depreciation, was $8.6 million.</w:t>
      </w:r>
    </w:p>
    <w:p>
      <w:pPr>
        <w:spacing w:after="0" w:line="2" w:lineRule="exact"/>
        <w:rPr>
          <w:sz w:val="20"/>
          <w:szCs w:val="20"/>
          <w:color w:val="auto"/>
        </w:rPr>
      </w:pPr>
    </w:p>
    <w:p>
      <w:pPr>
        <w:jc w:val="both"/>
        <w:ind w:left="680" w:right="140" w:firstLine="599"/>
        <w:spacing w:after="0" w:line="249" w:lineRule="auto"/>
        <w:rPr>
          <w:sz w:val="20"/>
          <w:szCs w:val="20"/>
          <w:color w:val="auto"/>
        </w:rPr>
      </w:pPr>
      <w:r>
        <w:rPr>
          <w:rFonts w:ascii="Arial" w:cs="Arial" w:eastAsia="Arial" w:hAnsi="Arial"/>
          <w:sz w:val="14"/>
          <w:szCs w:val="14"/>
          <w:color w:val="auto"/>
        </w:rPr>
        <w:t>In September 1992, M&amp;T Bank acquired an additional facility in Buffalo, New York with approximately 395,000 rentable square feet of space. Approximately 89% of this facility, known as M&amp;T Center, is occupied by M&amp;T Bank and its subsidiaries, with the remainder leased to non-affiliated tenants. At December 31, 2010, the cost of this building (including improvements subsequent to acquisition), net of accumulated depreciation, was $10.4 million.</w:t>
      </w:r>
    </w:p>
    <w:p>
      <w:pPr>
        <w:jc w:val="both"/>
        <w:ind w:left="680" w:right="220" w:firstLine="599"/>
        <w:spacing w:after="0" w:line="249" w:lineRule="auto"/>
        <w:rPr>
          <w:sz w:val="20"/>
          <w:szCs w:val="20"/>
          <w:color w:val="auto"/>
        </w:rPr>
      </w:pPr>
      <w:r>
        <w:rPr>
          <w:rFonts w:ascii="Arial" w:cs="Arial" w:eastAsia="Arial" w:hAnsi="Arial"/>
          <w:sz w:val="14"/>
          <w:szCs w:val="14"/>
          <w:color w:val="auto"/>
        </w:rPr>
        <w:t>M&amp;T Bank also owns and occupies two separate facilities in the Buffalo area which support certain back-office and operations functions of the Company. The total square footage of these facilities approximates 225,000 square feet and their combined cost (including improvements subsequent to acquisition), net of accumulated depreciation, was $20.4 million at December 31, 2010.</w:t>
      </w:r>
    </w:p>
    <w:p>
      <w:pPr>
        <w:ind w:left="680" w:right="80" w:firstLine="599"/>
        <w:spacing w:after="0" w:line="268" w:lineRule="auto"/>
        <w:rPr>
          <w:sz w:val="20"/>
          <w:szCs w:val="20"/>
          <w:color w:val="auto"/>
        </w:rPr>
      </w:pPr>
      <w:r>
        <w:rPr>
          <w:rFonts w:ascii="Arial" w:cs="Arial" w:eastAsia="Arial" w:hAnsi="Arial"/>
          <w:sz w:val="13"/>
          <w:szCs w:val="13"/>
          <w:color w:val="auto"/>
        </w:rPr>
        <w:t>M&amp;T Bank also owns a facility in Syracuse, New York with approximately 160,000 rentable square feet of space. Approximately 65% of this facility is occupied by M&amp;T Bank. At December 31, 2010, the cost of this building (including improvements subsequent to acquisition), net of accumulated depreciation, was $5.7 million.</w:t>
      </w:r>
    </w:p>
    <w:p>
      <w:pPr>
        <w:ind w:left="680" w:right="200" w:firstLine="599"/>
        <w:spacing w:after="0" w:line="249" w:lineRule="auto"/>
        <w:rPr>
          <w:sz w:val="20"/>
          <w:szCs w:val="20"/>
          <w:color w:val="auto"/>
        </w:rPr>
      </w:pPr>
      <w:r>
        <w:rPr>
          <w:rFonts w:ascii="Arial" w:cs="Arial" w:eastAsia="Arial" w:hAnsi="Arial"/>
          <w:sz w:val="14"/>
          <w:szCs w:val="14"/>
          <w:color w:val="auto"/>
        </w:rPr>
        <w:t>M&amp;T Bank also owns facilities in Harrisburg, Pennsylvania and Millsboro, Delaware with approximately 215,000 and 325,000 rentable square feet of space, respectively. M&amp;T Bank occupies approximately 35% and 85% of these respective facilities. At December 31, 2010, the cost of these buildings (including improvements subsequent to acquisition), net of accumulated depreciation, was $11.9 million and $7.2 million, respectively.</w:t>
      </w:r>
    </w:p>
    <w:p>
      <w:pPr>
        <w:ind w:left="680" w:right="60" w:firstLine="599"/>
        <w:spacing w:after="0" w:line="285" w:lineRule="auto"/>
        <w:rPr>
          <w:sz w:val="20"/>
          <w:szCs w:val="20"/>
          <w:color w:val="auto"/>
        </w:rPr>
      </w:pPr>
      <w:r>
        <w:rPr>
          <w:rFonts w:ascii="Arial" w:cs="Arial" w:eastAsia="Arial" w:hAnsi="Arial"/>
          <w:sz w:val="13"/>
          <w:szCs w:val="13"/>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739 domestic banking offices of the Registrant’s subsidiary banks at December 31, 2010, 286 are owned in fee and 453 are leased.</w:t>
      </w:r>
    </w:p>
    <w:p>
      <w:pPr>
        <w:spacing w:after="0" w:line="1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9" w:lineRule="exact"/>
        <w:rPr>
          <w:sz w:val="20"/>
          <w:szCs w:val="20"/>
          <w:color w:val="auto"/>
        </w:rPr>
      </w:pPr>
    </w:p>
    <w:p>
      <w:pPr>
        <w:ind w:left="680" w:right="200"/>
        <w:spacing w:after="0" w:line="259"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(Removed and Reserved)</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22" w:lineRule="exact"/>
        <w:rPr>
          <w:sz w:val="20"/>
          <w:szCs w:val="20"/>
          <w:color w:val="auto"/>
        </w:rPr>
      </w:pPr>
    </w:p>
    <w:p>
      <w:pPr>
        <w:ind w:left="680" w:right="40"/>
        <w:spacing w:after="0" w:line="263" w:lineRule="auto"/>
        <w:rPr>
          <w:sz w:val="20"/>
          <w:szCs w:val="20"/>
          <w:color w:val="auto"/>
        </w:rPr>
      </w:pPr>
      <w:r>
        <w:rPr>
          <w:rFonts w:ascii="Arial" w:cs="Arial" w:eastAsia="Arial" w:hAnsi="Arial"/>
          <w:sz w:val="14"/>
          <w:szCs w:val="14"/>
          <w:color w:val="auto"/>
        </w:rPr>
        <w:t>Information concerning the Registrant’s executive officers is presented below as of February 18, 2011. The year the officer was first appointed to the indicated position with the Registrant or its subsidiaries is shown parenthetically. In the case of each corporation noted below, officers’ terms run until the first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40"/>
        <w:spacing w:after="0" w:line="258" w:lineRule="auto"/>
        <w:rPr>
          <w:sz w:val="20"/>
          <w:szCs w:val="20"/>
          <w:color w:val="auto"/>
        </w:rPr>
      </w:pPr>
      <w:r>
        <w:rPr>
          <w:rFonts w:ascii="Arial" w:cs="Arial" w:eastAsia="Arial" w:hAnsi="Arial"/>
          <w:sz w:val="14"/>
          <w:szCs w:val="14"/>
          <w:color w:val="auto"/>
        </w:rPr>
        <w:t>meeting of the board of directors after such corporation’s annual meeting, which in the case of the Registrant takes place immediately following the Annual Meeting of Shareholders, and until their successors are elected and qualified.</w:t>
      </w:r>
    </w:p>
    <w:p>
      <w:pPr>
        <w:ind w:left="680" w:right="120" w:firstLine="599"/>
        <w:spacing w:after="0" w:line="268" w:lineRule="auto"/>
        <w:rPr>
          <w:sz w:val="20"/>
          <w:szCs w:val="20"/>
          <w:color w:val="auto"/>
        </w:rPr>
      </w:pPr>
      <w:r>
        <w:rPr>
          <w:rFonts w:ascii="Arial" w:cs="Arial" w:eastAsia="Arial" w:hAnsi="Arial"/>
          <w:sz w:val="13"/>
          <w:szCs w:val="13"/>
          <w:color w:val="auto"/>
        </w:rPr>
        <w:t>Robert G. Wilmers, age 76, is chief executive officer (2007), chairman of the board (2000) and a director (1982) of the Registrant. From April 1998 until July 2000, he served as president and chief executive officer of the Registrant and from July 2000 until June 2005 he served as chairman, president (1988)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Michael P. Pinto, age 55,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He is an executive vice president (1996) and a director (1998) of M&amp;T Bank, N.A. Mr. Pinto is chairman of the board and a director of MTB Investment Advisors (2006).</w:t>
      </w:r>
    </w:p>
    <w:p>
      <w:pPr>
        <w:ind w:left="680" w:right="60" w:firstLine="599"/>
        <w:spacing w:after="0" w:line="268" w:lineRule="auto"/>
        <w:rPr>
          <w:sz w:val="20"/>
          <w:szCs w:val="20"/>
          <w:color w:val="auto"/>
        </w:rPr>
      </w:pPr>
      <w:r>
        <w:rPr>
          <w:rFonts w:ascii="Arial" w:cs="Arial" w:eastAsia="Arial" w:hAnsi="Arial"/>
          <w:sz w:val="13"/>
          <w:szCs w:val="13"/>
          <w:color w:val="auto"/>
        </w:rPr>
        <w:t>Mark J. Czarnecki, age 55, is president and a director (2007) of the Registrant and president and a director (2007) of M&amp;T Bank. Previously, he was an executive vice president of the Registrant (1999) and M&amp;T Bank (1997) and was responsible for the M&amp;T Investment Group and the Company’s Retail Banking network.</w:t>
      </w:r>
    </w:p>
    <w:p>
      <w:pPr>
        <w:ind w:left="1280" w:right="280" w:hanging="598"/>
        <w:spacing w:after="0" w:line="268" w:lineRule="auto"/>
        <w:rPr>
          <w:sz w:val="20"/>
          <w:szCs w:val="20"/>
          <w:color w:val="auto"/>
        </w:rPr>
      </w:pPr>
      <w:r>
        <w:rPr>
          <w:rFonts w:ascii="Arial" w:cs="Arial" w:eastAsia="Arial" w:hAnsi="Arial"/>
          <w:sz w:val="13"/>
          <w:szCs w:val="13"/>
          <w:color w:val="auto"/>
        </w:rPr>
        <w:t>Mr. Czarnecki is a director (1999) of M&amp;T Securities and chairman of the board, president and chief executive officer (2007) and a director (2005) of M&amp;T Bank, N.A. James J. Beardi, age 64, is an executive vice president (2003) of the Registrant and M&amp;T Bank, and is responsible for managing the Company’s Corporate</w:t>
      </w:r>
    </w:p>
    <w:p>
      <w:pPr>
        <w:ind w:left="680" w:right="180"/>
        <w:spacing w:after="0" w:line="249" w:lineRule="auto"/>
        <w:rPr>
          <w:sz w:val="20"/>
          <w:szCs w:val="20"/>
          <w:color w:val="auto"/>
        </w:rPr>
      </w:pPr>
      <w:r>
        <w:rPr>
          <w:rFonts w:ascii="Arial" w:cs="Arial" w:eastAsia="Arial" w:hAnsi="Arial"/>
          <w:sz w:val="14"/>
          <w:szCs w:val="14"/>
          <w:color w:val="auto"/>
        </w:rPr>
        <w:t>Services, Central Operations, and Lending Services Groups. Previously, Mr. Beardi was in charge of the Company’s Residential Mortgage business and the General Counsel’s Office. He was president and a director of M&amp;T Mortgage Corporation (1991) until its merger into M&amp;T Bank on January 1, 2007. Mr. Beardi served as senior vice president of M&amp;T Bank from 1989 to 2003.</w:t>
      </w:r>
    </w:p>
    <w:p>
      <w:pPr>
        <w:ind w:left="680" w:right="180" w:firstLine="599"/>
        <w:spacing w:after="0" w:line="249" w:lineRule="auto"/>
        <w:rPr>
          <w:sz w:val="20"/>
          <w:szCs w:val="20"/>
          <w:color w:val="auto"/>
        </w:rPr>
      </w:pPr>
      <w:r>
        <w:rPr>
          <w:rFonts w:ascii="Arial" w:cs="Arial" w:eastAsia="Arial" w:hAnsi="Arial"/>
          <w:sz w:val="14"/>
          <w:szCs w:val="14"/>
          <w:color w:val="auto"/>
        </w:rPr>
        <w:t>Robert J. Bojdak, age 55, is an executive vice president and chief credit officer (2004) of the Registrant and M&amp;T Bank, and is responsible for managing the Company’s enterprise-wide risk including credit, operational, compliance and investment risk. From April 2002 to April 2004, Mr. Bojdak served as senior vice president and credit deputy for M&amp;T Bank. Previous to joining M&amp;T Bank in 2002, Mr. Bojdak served in several senior management positions at KeyCorp., most recently as executive vice president and regional credit executive. He is an executive vice president and a director of M&amp;T Bank, N.A. (2004).</w:t>
      </w:r>
    </w:p>
    <w:p>
      <w:pPr>
        <w:ind w:left="680" w:right="220" w:firstLine="599"/>
        <w:spacing w:after="0" w:line="249" w:lineRule="auto"/>
        <w:rPr>
          <w:sz w:val="20"/>
          <w:szCs w:val="20"/>
          <w:color w:val="auto"/>
        </w:rPr>
      </w:pPr>
      <w:r>
        <w:rPr>
          <w:rFonts w:ascii="Arial" w:cs="Arial" w:eastAsia="Arial" w:hAnsi="Arial"/>
          <w:sz w:val="14"/>
          <w:szCs w:val="14"/>
          <w:color w:val="auto"/>
        </w:rPr>
        <w:t>Stephen J. Braunscheidel, age 54,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ind w:left="680" w:right="320" w:firstLine="599"/>
        <w:spacing w:after="0" w:line="249" w:lineRule="auto"/>
        <w:rPr>
          <w:sz w:val="20"/>
          <w:szCs w:val="20"/>
          <w:color w:val="auto"/>
        </w:rPr>
      </w:pPr>
      <w:r>
        <w:rPr>
          <w:rFonts w:ascii="Arial" w:cs="Arial" w:eastAsia="Arial" w:hAnsi="Arial"/>
          <w:sz w:val="14"/>
          <w:szCs w:val="14"/>
          <w:color w:val="auto"/>
        </w:rPr>
        <w:t>Atwood Collins, III, age 64, is an executive vice president of the Registrant (1997) and M&amp;T Bank (1996), and is the president and chief operating officer of M&amp;T Bank’s Mid-Atlantic Division. Mr. Collins is a trustee of M&amp;T Real Estate (1995) and a director of M&amp;T Securities (2008).</w:t>
      </w:r>
    </w:p>
    <w:p>
      <w:pPr>
        <w:ind w:left="680" w:right="40" w:firstLine="599"/>
        <w:spacing w:after="0" w:line="249" w:lineRule="auto"/>
        <w:rPr>
          <w:sz w:val="20"/>
          <w:szCs w:val="20"/>
          <w:color w:val="auto"/>
        </w:rPr>
      </w:pPr>
      <w:r>
        <w:rPr>
          <w:rFonts w:ascii="Arial" w:cs="Arial" w:eastAsia="Arial" w:hAnsi="Arial"/>
          <w:sz w:val="14"/>
          <w:szCs w:val="14"/>
          <w:color w:val="auto"/>
        </w:rPr>
        <w:t>Richard S. Gold, age 50, is an executive vice president of the Registrant (2007) and M&amp;T Bank (2006) and is responsible for managing the Company’s Residential Mortgage and Consumer Lending Divisions. Mr. Gold served as senior vice president of M&amp;T Bank from 2000 to 2006, most recently responsible for the Retail Banking Division, including M&amp;T Securities. Mr. Gold is an executive vice president of M&amp;T Bank, N.A. (2006).</w:t>
      </w:r>
    </w:p>
    <w:p>
      <w:pPr>
        <w:ind w:left="680" w:right="460" w:firstLine="599"/>
        <w:spacing w:after="0" w:line="263" w:lineRule="auto"/>
        <w:rPr>
          <w:sz w:val="20"/>
          <w:szCs w:val="20"/>
          <w:color w:val="auto"/>
        </w:rPr>
      </w:pPr>
      <w:r>
        <w:rPr>
          <w:rFonts w:ascii="Arial" w:cs="Arial" w:eastAsia="Arial" w:hAnsi="Arial"/>
          <w:sz w:val="14"/>
          <w:szCs w:val="14"/>
          <w:color w:val="auto"/>
        </w:rPr>
        <w:t>Brian E. Hickey, age 58, is an executive vice president of the Registrant (1997) and M&amp;T Bank (1996). He is a member of the Directors Advisory Council (1994) of the Rochester Division of M&amp;T Bank. Mr. Hickey is responsible for managing all of the non-retail segments in Upstate New York and in</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Northern and Central/Western Pennsylvania regions. Mr. Hickey is also responsible for the Auto Floor Plan lending business.</w:t>
      </w:r>
    </w:p>
    <w:p>
      <w:pPr>
        <w:spacing w:after="0" w:line="18" w:lineRule="exact"/>
        <w:rPr>
          <w:sz w:val="20"/>
          <w:szCs w:val="20"/>
          <w:color w:val="auto"/>
        </w:rPr>
      </w:pPr>
    </w:p>
    <w:p>
      <w:pPr>
        <w:ind w:left="680" w:right="120" w:firstLine="599"/>
        <w:spacing w:after="0" w:line="249" w:lineRule="auto"/>
        <w:rPr>
          <w:sz w:val="20"/>
          <w:szCs w:val="20"/>
          <w:color w:val="auto"/>
        </w:rPr>
      </w:pPr>
      <w:r>
        <w:rPr>
          <w:rFonts w:ascii="Arial" w:cs="Arial" w:eastAsia="Arial" w:hAnsi="Arial"/>
          <w:sz w:val="14"/>
          <w:szCs w:val="14"/>
          <w:color w:val="auto"/>
        </w:rPr>
        <w:t>René F. Jones, age 46,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M&amp;T Bank, N.A., and he is chairman of the board, president (2009) and a trustee (2005) of M&amp;T Real Estate. He is a director of M&amp;T Insurance Agency (2007) and M&amp;T Securities (2005).</w:t>
      </w:r>
    </w:p>
    <w:p>
      <w:pPr>
        <w:ind w:left="680" w:right="140" w:firstLine="599"/>
        <w:spacing w:after="0" w:line="249" w:lineRule="auto"/>
        <w:rPr>
          <w:sz w:val="20"/>
          <w:szCs w:val="20"/>
          <w:color w:val="auto"/>
        </w:rPr>
      </w:pPr>
      <w:r>
        <w:rPr>
          <w:rFonts w:ascii="Arial" w:cs="Arial" w:eastAsia="Arial" w:hAnsi="Arial"/>
          <w:sz w:val="14"/>
          <w:szCs w:val="14"/>
          <w:color w:val="auto"/>
        </w:rPr>
        <w:t>Darren J. King, age 41, is an executive vice president of the Registrant (2010) and M&amp;T Bank (2009), and is in charge of the Retail Banking Division. Mr. King previously served as senior vice president of M&amp;T Bank, most recently responsible for the Business Banking Division, and has held a number of management positions within M&amp;T Bank since 2000. Mr. King is an executive vice president of M&amp;T Bank, N.A. (2009).</w:t>
      </w:r>
    </w:p>
    <w:p>
      <w:pPr>
        <w:ind w:left="680" w:firstLine="599"/>
        <w:spacing w:after="0" w:line="249" w:lineRule="auto"/>
        <w:rPr>
          <w:sz w:val="20"/>
          <w:szCs w:val="20"/>
          <w:color w:val="auto"/>
        </w:rPr>
      </w:pPr>
      <w:r>
        <w:rPr>
          <w:rFonts w:ascii="Arial" w:cs="Arial" w:eastAsia="Arial" w:hAnsi="Arial"/>
          <w:sz w:val="14"/>
          <w:szCs w:val="14"/>
          <w:color w:val="auto"/>
        </w:rPr>
        <w:t>Kevin J. Pearson, age 49, is an executive vice president (2002) of the Registrant and M&amp;T Bank. He is a member of the Directors Advisory Council (2006) of the New York City/Long Island Division of M&amp;T Bank. Mr. Pearson is responsible for managing all of the non-retail segments in the New York City, Philadelphia, Connecticut, New Jersey and Tarrytown markets of M&amp;T Bank, as well as the Company’s commercial real estate business, Commercial Marketing and Treasury Management. He is an executive vice president of M&amp;T Real Estate (2003), chairman of the board (2009) and a director (2003) of M&amp;T Realty Capital and an executive vice president and a director of M&amp;T Bank, N.A. (2008). Mr. Pearson served as senior vice president of M&amp;T Bank from 2000 to 2002.</w:t>
      </w:r>
    </w:p>
    <w:p>
      <w:pPr>
        <w:ind w:left="680" w:right="40" w:firstLine="599"/>
        <w:spacing w:after="0" w:line="249" w:lineRule="auto"/>
        <w:rPr>
          <w:sz w:val="20"/>
          <w:szCs w:val="20"/>
          <w:color w:val="auto"/>
        </w:rPr>
      </w:pPr>
      <w:r>
        <w:rPr>
          <w:rFonts w:ascii="Arial" w:cs="Arial" w:eastAsia="Arial" w:hAnsi="Arial"/>
          <w:sz w:val="14"/>
          <w:szCs w:val="14"/>
          <w:color w:val="auto"/>
        </w:rPr>
        <w:t>Michele D. Trolli, age 49, is an executive vice president and chief information officer of the Registrant and M&amp;T Bank (2005). She is in charge of the Company’s Technology and Global Sourcing groups. Previously, Ms. Trolli was in charge of the Technology and Banking Operations Division, the Retail Banking Division and the Corporate Services Group of M&amp;T Bank. Ms. Trolli served as senior director, global systems support, with Franklin Resources, Inc., a worldwide investment management company, from May 2000 through December 2004.</w:t>
      </w:r>
    </w:p>
    <w:p>
      <w:pPr>
        <w:ind w:left="680" w:right="220" w:firstLine="599"/>
        <w:spacing w:after="0" w:line="285" w:lineRule="auto"/>
        <w:rPr>
          <w:sz w:val="20"/>
          <w:szCs w:val="20"/>
          <w:color w:val="auto"/>
        </w:rPr>
      </w:pPr>
      <w:r>
        <w:rPr>
          <w:rFonts w:ascii="Arial" w:cs="Arial" w:eastAsia="Arial" w:hAnsi="Arial"/>
          <w:sz w:val="13"/>
          <w:szCs w:val="13"/>
          <w:color w:val="auto"/>
        </w:rPr>
        <w:t>D. Scott N. Warman, age 45, is an executive vice president (2009) and treasurer (2008) of the Registrant and M&amp;T Bank. He is responsible for managing the Company’s Treasury Division. Mr. Warman previously served as senior vice president of M&amp;T Bank and has held a number of management positions within M&amp;T Bank since 1995. He is an executive vice president and treasurer of M&amp;T Bank, N.A. (2008), a trustee of M&amp;T Real Estate (2009) and a director of M&amp;T Securities (2008).</w:t>
      </w:r>
    </w:p>
    <w:p>
      <w:pPr>
        <w:spacing w:after="0" w:line="19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Shareholder Matters and Issuer Purchases of Equity Securities.</w:t>
      </w:r>
    </w:p>
    <w:p>
      <w:pPr>
        <w:spacing w:after="0" w:line="9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shareholders at year-end, frequency and amounts of dividends on common stock and restrictions on the payment of dividends.</w:t>
      </w:r>
    </w:p>
    <w:p>
      <w:pPr>
        <w:ind w:left="1280"/>
        <w:spacing w:after="0"/>
        <w:rPr>
          <w:sz w:val="20"/>
          <w:szCs w:val="20"/>
          <w:color w:val="auto"/>
        </w:rPr>
      </w:pPr>
      <w:r>
        <w:rPr>
          <w:rFonts w:ascii="Arial" w:cs="Arial" w:eastAsia="Arial" w:hAnsi="Arial"/>
          <w:sz w:val="14"/>
          <w:szCs w:val="14"/>
          <w:color w:val="auto"/>
        </w:rPr>
        <w:t>During the fourth quarter of 2010, M&amp;T did not issue any shares of its common stock that were not registered under the Securities Act of 1933.</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2" w:lineRule="exact"/>
        <w:rPr>
          <w:sz w:val="20"/>
          <w:szCs w:val="20"/>
          <w:color w:val="auto"/>
        </w:rPr>
      </w:pPr>
    </w:p>
    <w:p>
      <w:pPr>
        <w:ind w:left="680" w:right="300"/>
        <w:spacing w:after="0" w:line="253" w:lineRule="auto"/>
        <w:rPr>
          <w:sz w:val="20"/>
          <w:szCs w:val="20"/>
          <w:color w:val="auto"/>
        </w:rPr>
      </w:pPr>
      <w:r>
        <w:rPr>
          <w:rFonts w:ascii="Arial" w:cs="Arial" w:eastAsia="Arial" w:hAnsi="Arial"/>
          <w:sz w:val="14"/>
          <w:szCs w:val="14"/>
          <w:color w:val="auto"/>
        </w:rPr>
        <w:t>The following table provides information as of December 31, 2010 with respect to shares of common stock that may be issued under M&amp;T Bank Corporation’s existing equity compensation plans. M&amp;T Bank Corporation’s existing equity compensation plans include the M&amp;T Bank Corporation 1983 Stock Option Plan, the 2001 Stock Option Plan, the 2005 Incentive Compensation Plan, which replaced the 2001 Stock Option Plan, the 2009 Equity Incentive Compensation Plan, and the M&amp;T Bank Corporation Employee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540"/>
        <w:spacing w:after="0" w:line="258" w:lineRule="auto"/>
        <w:rPr>
          <w:sz w:val="20"/>
          <w:szCs w:val="20"/>
          <w:color w:val="auto"/>
        </w:rPr>
      </w:pPr>
      <w:r>
        <w:rPr>
          <w:rFonts w:ascii="Arial" w:cs="Arial" w:eastAsia="Arial" w:hAnsi="Arial"/>
          <w:sz w:val="14"/>
          <w:szCs w:val="14"/>
          <w:color w:val="auto"/>
        </w:rPr>
        <w:t>Stock Purchase Plan, each of which has been previously approved by shareholders, and the M&amp;T Bank Corporation 2008 Directors’ Stock Plan and the M&amp;T Bank Corporation Deferred Bonus Plan, each of which did not require shareholder approval.</w:t>
      </w:r>
    </w:p>
    <w:p>
      <w:pPr>
        <w:jc w:val="both"/>
        <w:ind w:left="680" w:right="120" w:firstLine="599"/>
        <w:spacing w:after="0" w:line="285" w:lineRule="auto"/>
        <w:rPr>
          <w:sz w:val="20"/>
          <w:szCs w:val="20"/>
          <w:color w:val="auto"/>
        </w:rPr>
      </w:pPr>
      <w:r>
        <w:rPr>
          <w:rFonts w:ascii="Arial" w:cs="Arial" w:eastAsia="Arial" w:hAnsi="Arial"/>
          <w:sz w:val="13"/>
          <w:szCs w:val="13"/>
          <w:color w:val="auto"/>
        </w:rPr>
        <w:t>The table does not include information with respect to shares of common stock subject to outstanding options and rights assumed by M&amp;T Bank Corporation in connection with mergers and acquisitions of the companies that originally granted those options and rights. Footnote (1) to the table sets forth the total number of shares of common stock issuable upon the exercise of such assumed options and rights as of December 31, 2010, and their weighted-average exercise price.</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Number of Securities</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9"/>
              </w:rPr>
              <w:t>Number of</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Remaining Available</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7"/>
              </w:rPr>
              <w:t>Securities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for Future Issuance</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6"/>
              </w:rPr>
              <w:t>to be Issued Upon</w:t>
            </w:r>
          </w:p>
        </w:tc>
        <w:tc>
          <w:tcPr>
            <w:tcW w:w="12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Weighted-Average</w:t>
            </w: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0"/>
              </w:rPr>
              <w:t>Under Equity</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4"/>
              </w:rPr>
              <w:t>Exercise of</w:t>
            </w:r>
          </w:p>
        </w:tc>
        <w:tc>
          <w:tcPr>
            <w:tcW w:w="12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Exercise Price of</w:t>
            </w: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Compensation Plans</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7"/>
              </w:rPr>
              <w:t>Outstanding</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Outstanding</w:t>
            </w: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(Excluding Securities</w:t>
            </w:r>
          </w:p>
        </w:tc>
        <w:tc>
          <w:tcPr>
            <w:tcW w:w="0" w:type="dxa"/>
            <w:vAlign w:val="bottom"/>
          </w:tcPr>
          <w:p>
            <w:pPr>
              <w:spacing w:after="0"/>
              <w:rPr>
                <w:sz w:val="1"/>
                <w:szCs w:val="1"/>
                <w:color w:val="auto"/>
              </w:rPr>
            </w:pPr>
          </w:p>
        </w:tc>
      </w:tr>
      <w:tr>
        <w:trPr>
          <w:trHeight w:val="154"/>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100" w:type="dxa"/>
            <w:vAlign w:val="bottom"/>
          </w:tcPr>
          <w:p>
            <w:pPr>
              <w:spacing w:after="0"/>
              <w:rPr>
                <w:sz w:val="13"/>
                <w:szCs w:val="13"/>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8"/>
              </w:rPr>
              <w:t>Options or Rights</w:t>
            </w:r>
          </w:p>
        </w:tc>
        <w:tc>
          <w:tcPr>
            <w:tcW w:w="12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Options or Rights</w:t>
            </w:r>
          </w:p>
        </w:tc>
        <w:tc>
          <w:tcPr>
            <w:tcW w:w="2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0"/>
              </w:rPr>
              <w:t>Reflected in Column A)</w:t>
            </w:r>
          </w:p>
        </w:tc>
        <w:tc>
          <w:tcPr>
            <w:tcW w:w="0" w:type="dxa"/>
            <w:vAlign w:val="bottom"/>
          </w:tcPr>
          <w:p>
            <w:pPr>
              <w:spacing w:after="0"/>
              <w:rPr>
                <w:sz w:val="1"/>
                <w:szCs w:val="1"/>
                <w:color w:val="auto"/>
              </w:rPr>
            </w:pPr>
          </w:p>
        </w:tc>
      </w:tr>
      <w:tr>
        <w:trPr>
          <w:trHeight w:val="144"/>
        </w:trPr>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5"/>
              </w:rPr>
              <w:t>(B)</w:t>
            </w:r>
          </w:p>
        </w:tc>
        <w:tc>
          <w:tcPr>
            <w:tcW w:w="300" w:type="dxa"/>
            <w:vAlign w:val="bottom"/>
          </w:tcPr>
          <w:p>
            <w:pPr>
              <w:spacing w:after="0"/>
              <w:rPr>
                <w:sz w:val="12"/>
                <w:szCs w:val="12"/>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gridSpan w:val="2"/>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ind w:left="140"/>
              <w:spacing w:after="0"/>
              <w:rPr>
                <w:sz w:val="20"/>
                <w:szCs w:val="20"/>
                <w:color w:val="auto"/>
              </w:rPr>
            </w:pPr>
            <w:r>
              <w:rPr>
                <w:rFonts w:ascii="Arial" w:cs="Arial" w:eastAsia="Arial" w:hAnsi="Arial"/>
                <w:sz w:val="13"/>
                <w:szCs w:val="13"/>
                <w:color w:val="auto"/>
                <w:w w:val="89"/>
              </w:rPr>
              <w:t>1983</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Stock Option Plan</w:t>
            </w:r>
          </w:p>
        </w:tc>
        <w:tc>
          <w:tcPr>
            <w:tcW w:w="1500" w:type="dxa"/>
            <w:vAlign w:val="bottom"/>
            <w:gridSpan w:val="3"/>
          </w:tcPr>
          <w:p>
            <w:pPr>
              <w:jc w:val="right"/>
              <w:ind w:right="20"/>
              <w:spacing w:after="0"/>
              <w:rPr>
                <w:sz w:val="20"/>
                <w:szCs w:val="20"/>
                <w:color w:val="auto"/>
              </w:rPr>
            </w:pPr>
            <w:r>
              <w:rPr>
                <w:rFonts w:ascii="Arial" w:cs="Arial" w:eastAsia="Arial" w:hAnsi="Arial"/>
                <w:sz w:val="13"/>
                <w:szCs w:val="13"/>
                <w:color w:val="auto"/>
              </w:rPr>
              <w:t>182,374</w:t>
            </w:r>
          </w:p>
        </w:tc>
        <w:tc>
          <w:tcPr>
            <w:tcW w:w="2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65.80</w:t>
            </w:r>
          </w:p>
        </w:tc>
        <w:tc>
          <w:tcPr>
            <w:tcW w:w="226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9"/>
              </w:rPr>
              <w:t>2001</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 Plan</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4,481,002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88.43</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20" w:type="dxa"/>
            <w:vAlign w:val="bottom"/>
          </w:tcPr>
          <w:p>
            <w:pPr>
              <w:ind w:left="140"/>
              <w:spacing w:after="0"/>
              <w:rPr>
                <w:sz w:val="20"/>
                <w:szCs w:val="20"/>
                <w:color w:val="auto"/>
              </w:rPr>
            </w:pPr>
            <w:r>
              <w:rPr>
                <w:rFonts w:ascii="Arial" w:cs="Arial" w:eastAsia="Arial" w:hAnsi="Arial"/>
                <w:sz w:val="13"/>
                <w:szCs w:val="13"/>
                <w:color w:val="auto"/>
                <w:w w:val="89"/>
              </w:rPr>
              <w:t>2005</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Incentive Compensation Plan</w:t>
            </w:r>
          </w:p>
        </w:tc>
        <w:tc>
          <w:tcPr>
            <w:tcW w:w="1500" w:type="dxa"/>
            <w:vAlign w:val="bottom"/>
            <w:gridSpan w:val="3"/>
          </w:tcPr>
          <w:p>
            <w:pPr>
              <w:jc w:val="right"/>
              <w:ind w:right="20"/>
              <w:spacing w:after="0"/>
              <w:rPr>
                <w:sz w:val="20"/>
                <w:szCs w:val="20"/>
                <w:color w:val="auto"/>
              </w:rPr>
            </w:pPr>
            <w:r>
              <w:rPr>
                <w:rFonts w:ascii="Arial" w:cs="Arial" w:eastAsia="Arial" w:hAnsi="Arial"/>
                <w:sz w:val="13"/>
                <w:szCs w:val="13"/>
                <w:color w:val="auto"/>
              </w:rPr>
              <w:t>5,562,417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103.50</w:t>
            </w:r>
          </w:p>
        </w:tc>
        <w:tc>
          <w:tcPr>
            <w:tcW w:w="2260" w:type="dxa"/>
            <w:vAlign w:val="bottom"/>
            <w:gridSpan w:val="2"/>
          </w:tcPr>
          <w:p>
            <w:pPr>
              <w:jc w:val="right"/>
              <w:ind w:right="460"/>
              <w:spacing w:after="0"/>
              <w:rPr>
                <w:sz w:val="20"/>
                <w:szCs w:val="20"/>
                <w:color w:val="auto"/>
              </w:rPr>
            </w:pPr>
            <w:r>
              <w:rPr>
                <w:rFonts w:ascii="Arial" w:cs="Arial" w:eastAsia="Arial" w:hAnsi="Arial"/>
                <w:sz w:val="13"/>
                <w:szCs w:val="13"/>
                <w:color w:val="auto"/>
              </w:rPr>
              <w:t>2,629,326</w:t>
            </w:r>
          </w:p>
        </w:tc>
        <w:tc>
          <w:tcPr>
            <w:tcW w:w="0" w:type="dxa"/>
            <w:vAlign w:val="bottom"/>
          </w:tcPr>
          <w:p>
            <w:pPr>
              <w:spacing w:after="0"/>
              <w:rPr>
                <w:sz w:val="1"/>
                <w:szCs w:val="1"/>
                <w:color w:val="auto"/>
              </w:rPr>
            </w:pPr>
          </w:p>
        </w:tc>
      </w:tr>
      <w:tr>
        <w:trPr>
          <w:trHeight w:val="157"/>
        </w:trPr>
        <w:tc>
          <w:tcPr>
            <w:tcW w:w="4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9"/>
              </w:rPr>
              <w:t>2009</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Incentive Compensation Plan</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61,711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40.82</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3,330,502</w:t>
            </w:r>
          </w:p>
        </w:tc>
        <w:tc>
          <w:tcPr>
            <w:tcW w:w="0" w:type="dxa"/>
            <w:vAlign w:val="bottom"/>
          </w:tcPr>
          <w:p>
            <w:pPr>
              <w:spacing w:after="0"/>
              <w:rPr>
                <w:sz w:val="1"/>
                <w:szCs w:val="1"/>
                <w:color w:val="auto"/>
              </w:rPr>
            </w:pPr>
          </w:p>
        </w:tc>
      </w:tr>
      <w:tr>
        <w:trPr>
          <w:trHeight w:val="157"/>
        </w:trPr>
        <w:tc>
          <w:tcPr>
            <w:tcW w:w="4360" w:type="dxa"/>
            <w:vAlign w:val="bottom"/>
            <w:gridSpan w:val="3"/>
          </w:tcPr>
          <w:p>
            <w:pPr>
              <w:ind w:left="140"/>
              <w:spacing w:after="0"/>
              <w:rPr>
                <w:sz w:val="20"/>
                <w:szCs w:val="20"/>
                <w:color w:val="auto"/>
              </w:rPr>
            </w:pPr>
            <w:r>
              <w:rPr>
                <w:rFonts w:ascii="Arial" w:cs="Arial" w:eastAsia="Arial" w:hAnsi="Arial"/>
                <w:sz w:val="13"/>
                <w:szCs w:val="13"/>
                <w:color w:val="auto"/>
              </w:rPr>
              <w:t>Employee Stock Purchase Plan</w:t>
            </w:r>
          </w:p>
        </w:tc>
        <w:tc>
          <w:tcPr>
            <w:tcW w:w="1500" w:type="dxa"/>
            <w:vAlign w:val="bottom"/>
            <w:gridSpan w:val="3"/>
          </w:tcPr>
          <w:p>
            <w:pPr>
              <w:jc w:val="right"/>
              <w:ind w:right="20"/>
              <w:spacing w:after="0"/>
              <w:rPr>
                <w:sz w:val="20"/>
                <w:szCs w:val="20"/>
                <w:color w:val="auto"/>
              </w:rPr>
            </w:pPr>
            <w:r>
              <w:rPr>
                <w:rFonts w:ascii="Arial" w:cs="Arial" w:eastAsia="Arial" w:hAnsi="Arial"/>
                <w:sz w:val="13"/>
                <w:szCs w:val="13"/>
                <w:color w:val="auto"/>
              </w:rPr>
              <w:t>126,450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78.74</w:t>
            </w:r>
          </w:p>
        </w:tc>
        <w:tc>
          <w:tcPr>
            <w:tcW w:w="2260" w:type="dxa"/>
            <w:vAlign w:val="bottom"/>
            <w:gridSpan w:val="2"/>
          </w:tcPr>
          <w:p>
            <w:pPr>
              <w:jc w:val="right"/>
              <w:ind w:right="460"/>
              <w:spacing w:after="0"/>
              <w:rPr>
                <w:sz w:val="20"/>
                <w:szCs w:val="20"/>
                <w:color w:val="auto"/>
              </w:rPr>
            </w:pPr>
            <w:r>
              <w:rPr>
                <w:rFonts w:ascii="Arial" w:cs="Arial" w:eastAsia="Arial" w:hAnsi="Arial"/>
                <w:sz w:val="13"/>
                <w:szCs w:val="13"/>
                <w:color w:val="auto"/>
              </w:rPr>
              <w:t>304,664</w:t>
            </w:r>
          </w:p>
        </w:tc>
        <w:tc>
          <w:tcPr>
            <w:tcW w:w="0" w:type="dxa"/>
            <w:vAlign w:val="bottom"/>
          </w:tcPr>
          <w:p>
            <w:pPr>
              <w:spacing w:after="0"/>
              <w:rPr>
                <w:sz w:val="1"/>
                <w:szCs w:val="1"/>
                <w:color w:val="auto"/>
              </w:rPr>
            </w:pPr>
          </w:p>
        </w:tc>
      </w:tr>
      <w:tr>
        <w:trPr>
          <w:trHeight w:val="157"/>
        </w:trPr>
        <w:tc>
          <w:tcPr>
            <w:tcW w:w="43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0" w:type="dxa"/>
            <w:vAlign w:val="bottom"/>
          </w:tcPr>
          <w:p>
            <w:pPr>
              <w:ind w:left="140"/>
              <w:spacing w:after="0"/>
              <w:rPr>
                <w:sz w:val="20"/>
                <w:szCs w:val="20"/>
                <w:color w:val="auto"/>
              </w:rPr>
            </w:pPr>
            <w:r>
              <w:rPr>
                <w:rFonts w:ascii="Arial" w:cs="Arial" w:eastAsia="Arial" w:hAnsi="Arial"/>
                <w:sz w:val="13"/>
                <w:szCs w:val="13"/>
                <w:color w:val="auto"/>
                <w:w w:val="89"/>
              </w:rPr>
              <w:t>2008</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Directors’ Stock Plan</w:t>
            </w:r>
          </w:p>
        </w:tc>
        <w:tc>
          <w:tcPr>
            <w:tcW w:w="1500" w:type="dxa"/>
            <w:vAlign w:val="bottom"/>
            <w:gridSpan w:val="3"/>
          </w:tcPr>
          <w:p>
            <w:pPr>
              <w:jc w:val="right"/>
              <w:ind w:right="20"/>
              <w:spacing w:after="0"/>
              <w:rPr>
                <w:sz w:val="20"/>
                <w:szCs w:val="20"/>
                <w:color w:val="auto"/>
              </w:rPr>
            </w:pPr>
            <w:r>
              <w:rPr>
                <w:rFonts w:ascii="Arial" w:cs="Arial" w:eastAsia="Arial" w:hAnsi="Arial"/>
                <w:sz w:val="13"/>
                <w:szCs w:val="13"/>
                <w:color w:val="auto"/>
              </w:rPr>
              <w:t>3,131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87.05</w:t>
            </w:r>
          </w:p>
        </w:tc>
        <w:tc>
          <w:tcPr>
            <w:tcW w:w="2260" w:type="dxa"/>
            <w:vAlign w:val="bottom"/>
            <w:gridSpan w:val="2"/>
          </w:tcPr>
          <w:p>
            <w:pPr>
              <w:jc w:val="right"/>
              <w:ind w:right="460"/>
              <w:spacing w:after="0"/>
              <w:rPr>
                <w:sz w:val="20"/>
                <w:szCs w:val="20"/>
                <w:color w:val="auto"/>
              </w:rPr>
            </w:pPr>
            <w:r>
              <w:rPr>
                <w:rFonts w:ascii="Arial" w:cs="Arial" w:eastAsia="Arial" w:hAnsi="Arial"/>
                <w:sz w:val="13"/>
                <w:szCs w:val="13"/>
                <w:color w:val="auto"/>
              </w:rPr>
              <w:t>148,534</w:t>
            </w:r>
          </w:p>
        </w:tc>
        <w:tc>
          <w:tcPr>
            <w:tcW w:w="0" w:type="dxa"/>
            <w:vAlign w:val="bottom"/>
          </w:tcPr>
          <w:p>
            <w:pPr>
              <w:spacing w:after="0"/>
              <w:rPr>
                <w:sz w:val="1"/>
                <w:szCs w:val="1"/>
                <w:color w:val="auto"/>
              </w:rPr>
            </w:pPr>
          </w:p>
        </w:tc>
      </w:tr>
      <w:tr>
        <w:trPr>
          <w:trHeight w:val="157"/>
        </w:trPr>
        <w:tc>
          <w:tcPr>
            <w:tcW w:w="43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Bonus Plan</w:t>
            </w:r>
          </w:p>
        </w:tc>
        <w:tc>
          <w:tcPr>
            <w:tcW w:w="10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51,439</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61.12</w:t>
            </w:r>
          </w:p>
        </w:tc>
        <w:tc>
          <w:tcPr>
            <w:tcW w:w="22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10,468,524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95.51</w:t>
            </w:r>
          </w:p>
        </w:tc>
        <w:tc>
          <w:tcPr>
            <w:tcW w:w="2260" w:type="dxa"/>
            <w:vAlign w:val="bottom"/>
            <w:gridSpan w:val="2"/>
          </w:tcPr>
          <w:p>
            <w:pPr>
              <w:jc w:val="right"/>
              <w:ind w:right="460"/>
              <w:spacing w:after="0"/>
              <w:rPr>
                <w:sz w:val="20"/>
                <w:szCs w:val="20"/>
                <w:color w:val="auto"/>
              </w:rPr>
            </w:pPr>
            <w:r>
              <w:rPr>
                <w:rFonts w:ascii="Arial" w:cs="Arial" w:eastAsia="Arial" w:hAnsi="Arial"/>
                <w:sz w:val="13"/>
                <w:szCs w:val="13"/>
                <w:color w:val="auto"/>
              </w:rPr>
              <w:t>6,413,026</w:t>
            </w:r>
          </w:p>
        </w:tc>
        <w:tc>
          <w:tcPr>
            <w:tcW w:w="0" w:type="dxa"/>
            <w:vAlign w:val="bottom"/>
          </w:tcPr>
          <w:p>
            <w:pPr>
              <w:spacing w:after="0"/>
              <w:rPr>
                <w:sz w:val="1"/>
                <w:szCs w:val="1"/>
                <w:color w:val="auto"/>
              </w:rPr>
            </w:pPr>
          </w:p>
        </w:tc>
      </w:tr>
      <w:tr>
        <w:trPr>
          <w:trHeight w:val="108"/>
        </w:trPr>
        <w:tc>
          <w:tcPr>
            <w:tcW w:w="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00" w:hanging="259"/>
        <w:spacing w:after="0" w:line="371" w:lineRule="auto"/>
        <w:tabs>
          <w:tab w:leader="none" w:pos="1000" w:val="left"/>
        </w:tabs>
        <w:numPr>
          <w:ilvl w:val="0"/>
          <w:numId w:val="12"/>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As of December 31, 2010, a total of </w:t>
      </w:r>
      <w:r>
        <w:rPr>
          <w:rFonts w:ascii="Arial" w:cs="Arial" w:eastAsia="Arial" w:hAnsi="Arial"/>
          <w:sz w:val="11"/>
          <w:szCs w:val="11"/>
          <w:color w:val="auto"/>
        </w:rPr>
        <w:t>310,817</w:t>
      </w:r>
      <w:r>
        <w:rPr>
          <w:rFonts w:ascii="Arial" w:cs="Arial" w:eastAsia="Arial" w:hAnsi="Arial"/>
          <w:sz w:val="11"/>
          <w:szCs w:val="11"/>
          <w:i w:val="1"/>
          <w:iCs w:val="1"/>
          <w:color w:val="auto"/>
        </w:rPr>
        <w:t xml:space="preserve"> shares of M&amp;T Bank Corporation common stock were issuable upon exercise of outstanding options or rights assumed by M&amp;T Bank Corporation in connection with merger and acquisition transactions. The weighted-average exercise price of those outstanding options or rights is $142.80 per common share.</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Equity compensation plans adopted without the approval of shareholders are described below:</w:t>
      </w:r>
    </w:p>
    <w:p>
      <w:pPr>
        <w:spacing w:after="0" w:line="18"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b w:val="1"/>
          <w:bCs w:val="1"/>
          <w:u w:val="single" w:color="auto"/>
          <w:color w:val="auto"/>
        </w:rPr>
        <w:t>2008 Directors’ Stock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plan for non-employee members of the Board of Directors of M&amp;T Bank Corporation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members 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ind w:left="680" w:right="40" w:firstLine="599"/>
        <w:spacing w:after="0" w:line="252" w:lineRule="auto"/>
        <w:rPr>
          <w:sz w:val="20"/>
          <w:szCs w:val="20"/>
          <w:color w:val="auto"/>
        </w:rPr>
      </w:pPr>
      <w:r>
        <w:rPr>
          <w:rFonts w:ascii="Arial" w:cs="Arial" w:eastAsia="Arial" w:hAnsi="Arial"/>
          <w:sz w:val="14"/>
          <w:szCs w:val="14"/>
          <w:b w:val="1"/>
          <w:bCs w:val="1"/>
          <w:u w:val="single" w:color="auto"/>
          <w:color w:val="auto"/>
        </w:rPr>
        <w:t>Deferred Bonus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deferred bonus plan which was frozen effective January 1, 2010 and did not allow any deferrals after</w:t>
      </w:r>
      <w:r>
        <w:rPr>
          <w:rFonts w:ascii="Arial" w:cs="Arial" w:eastAsia="Arial" w:hAnsi="Arial"/>
          <w:sz w:val="14"/>
          <w:szCs w:val="14"/>
          <w:b w:val="1"/>
          <w:bCs w:val="1"/>
          <w:color w:val="auto"/>
        </w:rPr>
        <w:t xml:space="preserve"> </w:t>
      </w:r>
      <w:r>
        <w:rPr>
          <w:rFonts w:ascii="Arial" w:cs="Arial" w:eastAsia="Arial" w:hAnsi="Arial"/>
          <w:sz w:val="14"/>
          <w:szCs w:val="14"/>
          <w:color w:val="auto"/>
        </w:rPr>
        <w:t>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Performance Graph</w:t>
      </w:r>
    </w:p>
    <w:p>
      <w:pPr>
        <w:spacing w:after="0" w:line="22" w:lineRule="exact"/>
        <w:rPr>
          <w:sz w:val="20"/>
          <w:szCs w:val="20"/>
          <w:color w:val="auto"/>
        </w:rPr>
      </w:pPr>
    </w:p>
    <w:p>
      <w:pPr>
        <w:ind w:left="680" w:right="60"/>
        <w:spacing w:after="0" w:line="285" w:lineRule="auto"/>
        <w:rPr>
          <w:sz w:val="20"/>
          <w:szCs w:val="20"/>
          <w:color w:val="auto"/>
        </w:rPr>
      </w:pPr>
      <w:r>
        <w:rPr>
          <w:rFonts w:ascii="Arial" w:cs="Arial" w:eastAsia="Arial" w:hAnsi="Arial"/>
          <w:sz w:val="13"/>
          <w:szCs w:val="13"/>
          <w:color w:val="auto"/>
        </w:rPr>
        <w:t>The following graph contains a comparison of the cumulative shareholder return on M&amp;T common stock against the cumulative total returns of the KBW Bank Index, compiled by Keefe, Bruyette &amp; Woods Inc., and the S&amp;P 500 Index, compiled by Standard &amp; Poor’s Corporation, for the five-year period beginning on December 31, 2005 and ending on December 31, 2010. The KBW Bank Index is a market capitalization index consisting of 24 leading national money-center banks and regional institutions.</w:t>
      </w:r>
    </w:p>
    <w:p>
      <w:pPr>
        <w:spacing w:after="0" w:line="198"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145415</wp:posOffset>
            </wp:positionV>
            <wp:extent cx="3070860" cy="1560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7086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Shareholder Value at Year End*</w:t>
      </w:r>
    </w:p>
    <w:p>
      <w:pPr>
        <w:spacing w:after="0" w:line="97" w:lineRule="exact"/>
        <w:rPr>
          <w:sz w:val="20"/>
          <w:szCs w:val="20"/>
          <w:color w:val="auto"/>
        </w:rPr>
      </w:pPr>
    </w:p>
    <w:tbl>
      <w:tblPr>
        <w:tblLayout w:type="fixed"/>
        <w:tblInd w:w="690" w:type="dxa"/>
        <w:tblCellMar>
          <w:top w:w="0" w:type="dxa"/>
          <w:left w:w="0" w:type="dxa"/>
          <w:bottom w:w="0" w:type="dxa"/>
          <w:right w:w="0" w:type="dxa"/>
        </w:tblCellMar>
      </w:tblPr>
      <w:tr>
        <w:trPr>
          <w:trHeight w:val="157"/>
        </w:trPr>
        <w:tc>
          <w:tcPr>
            <w:tcW w:w="1300" w:type="dxa"/>
            <w:vAlign w:val="bottom"/>
            <w:tcBorders>
              <w:top w:val="single" w:sz="8" w:color="auto"/>
              <w:left w:val="single" w:sz="8" w:color="auto"/>
              <w:bottom w:val="single" w:sz="8" w:color="auto"/>
            </w:tcBorders>
          </w:tcPr>
          <w:p>
            <w:pPr>
              <w:spacing w:after="0"/>
              <w:rPr>
                <w:sz w:val="13"/>
                <w:szCs w:val="13"/>
                <w:color w:val="auto"/>
              </w:rPr>
            </w:pPr>
          </w:p>
        </w:tc>
        <w:tc>
          <w:tcPr>
            <w:tcW w:w="3420" w:type="dxa"/>
            <w:vAlign w:val="bottom"/>
            <w:tcBorders>
              <w:top w:val="single" w:sz="8" w:color="auto"/>
              <w:bottom w:val="single" w:sz="8" w:color="auto"/>
              <w:right w:val="single" w:sz="8" w:color="auto"/>
            </w:tcBorders>
          </w:tcPr>
          <w:p>
            <w:pPr>
              <w:spacing w:after="0"/>
              <w:rPr>
                <w:sz w:val="13"/>
                <w:szCs w:val="13"/>
                <w:color w:val="auto"/>
              </w:rPr>
            </w:pPr>
          </w:p>
        </w:tc>
        <w:tc>
          <w:tcPr>
            <w:tcW w:w="920" w:type="dxa"/>
            <w:vAlign w:val="bottom"/>
            <w:tcBorders>
              <w:top w:val="single" w:sz="8" w:color="auto"/>
              <w:bottom w:val="single" w:sz="8" w:color="auto"/>
              <w:right w:val="single" w:sz="8" w:color="auto"/>
            </w:tcBorders>
          </w:tcPr>
          <w:p>
            <w:pPr>
              <w:jc w:val="right"/>
              <w:ind w:right="336"/>
              <w:spacing w:after="0"/>
              <w:rPr>
                <w:sz w:val="20"/>
                <w:szCs w:val="20"/>
                <w:color w:val="auto"/>
              </w:rPr>
            </w:pPr>
            <w:r>
              <w:rPr>
                <w:rFonts w:ascii="Arial" w:cs="Arial" w:eastAsia="Arial" w:hAnsi="Arial"/>
                <w:sz w:val="12"/>
                <w:szCs w:val="12"/>
                <w:b w:val="1"/>
                <w:bCs w:val="1"/>
                <w:color w:val="auto"/>
              </w:rPr>
              <w:t>2005</w:t>
            </w:r>
          </w:p>
        </w:tc>
        <w:tc>
          <w:tcPr>
            <w:tcW w:w="920" w:type="dxa"/>
            <w:vAlign w:val="bottom"/>
            <w:tcBorders>
              <w:top w:val="single" w:sz="8" w:color="auto"/>
              <w:bottom w:val="single" w:sz="8" w:color="auto"/>
              <w:right w:val="single" w:sz="8" w:color="auto"/>
            </w:tcBorders>
          </w:tcPr>
          <w:p>
            <w:pPr>
              <w:jc w:val="right"/>
              <w:ind w:right="336"/>
              <w:spacing w:after="0"/>
              <w:rPr>
                <w:sz w:val="20"/>
                <w:szCs w:val="20"/>
                <w:color w:val="auto"/>
              </w:rPr>
            </w:pPr>
            <w:r>
              <w:rPr>
                <w:rFonts w:ascii="Arial" w:cs="Arial" w:eastAsia="Arial" w:hAnsi="Arial"/>
                <w:sz w:val="12"/>
                <w:szCs w:val="12"/>
                <w:b w:val="1"/>
                <w:bCs w:val="1"/>
                <w:color w:val="auto"/>
              </w:rPr>
              <w:t>2006</w:t>
            </w:r>
          </w:p>
        </w:tc>
        <w:tc>
          <w:tcPr>
            <w:tcW w:w="88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2"/>
                <w:szCs w:val="12"/>
                <w:b w:val="1"/>
                <w:bCs w:val="1"/>
                <w:color w:val="auto"/>
              </w:rPr>
              <w:t>2007</w:t>
            </w:r>
          </w:p>
        </w:tc>
        <w:tc>
          <w:tcPr>
            <w:tcW w:w="88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2"/>
                <w:szCs w:val="12"/>
                <w:b w:val="1"/>
                <w:bCs w:val="1"/>
                <w:color w:val="auto"/>
              </w:rPr>
              <w:t>2008</w:t>
            </w:r>
          </w:p>
        </w:tc>
        <w:tc>
          <w:tcPr>
            <w:tcW w:w="88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2"/>
                <w:szCs w:val="12"/>
                <w:b w:val="1"/>
                <w:bCs w:val="1"/>
                <w:color w:val="auto"/>
              </w:rPr>
              <w:t>2009</w:t>
            </w:r>
          </w:p>
        </w:tc>
        <w:tc>
          <w:tcPr>
            <w:tcW w:w="800" w:type="dxa"/>
            <w:vAlign w:val="bottom"/>
            <w:tcBorders>
              <w:top w:val="single" w:sz="8" w:color="auto"/>
              <w:bottom w:val="single" w:sz="8" w:color="auto"/>
              <w:right w:val="single" w:sz="8" w:color="auto"/>
            </w:tcBorders>
          </w:tcPr>
          <w:p>
            <w:pPr>
              <w:jc w:val="right"/>
              <w:ind w:right="236"/>
              <w:spacing w:after="0"/>
              <w:rPr>
                <w:sz w:val="20"/>
                <w:szCs w:val="20"/>
                <w:color w:val="auto"/>
              </w:rPr>
            </w:pPr>
            <w:r>
              <w:rPr>
                <w:rFonts w:ascii="Arial" w:cs="Arial" w:eastAsia="Arial" w:hAnsi="Arial"/>
                <w:sz w:val="12"/>
                <w:szCs w:val="12"/>
                <w:b w:val="1"/>
                <w:bCs w:val="1"/>
                <w:color w:val="auto"/>
              </w:rPr>
              <w:t>2010</w:t>
            </w:r>
          </w:p>
        </w:tc>
      </w:tr>
      <w:tr>
        <w:trPr>
          <w:trHeight w:val="147"/>
        </w:trPr>
        <w:tc>
          <w:tcPr>
            <w:tcW w:w="4720" w:type="dxa"/>
            <w:vAlign w:val="bottom"/>
            <w:tcBorders>
              <w:left w:val="single" w:sz="8" w:color="auto"/>
              <w:bottom w:val="single" w:sz="8" w:color="auto"/>
              <w:right w:val="single" w:sz="8" w:color="auto"/>
            </w:tcBorders>
            <w:gridSpan w:val="2"/>
          </w:tcPr>
          <w:p>
            <w:pPr>
              <w:ind w:left="40"/>
              <w:spacing w:after="0" w:line="148" w:lineRule="exact"/>
              <w:rPr>
                <w:sz w:val="20"/>
                <w:szCs w:val="20"/>
                <w:color w:val="auto"/>
              </w:rPr>
            </w:pPr>
            <w:r>
              <w:rPr>
                <w:rFonts w:ascii="Arial" w:cs="Arial" w:eastAsia="Arial" w:hAnsi="Arial"/>
                <w:sz w:val="13"/>
                <w:szCs w:val="13"/>
                <w:color w:val="auto"/>
              </w:rPr>
              <w:t>M&amp;T Bank Corporation</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100</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114</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78</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57</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70</w:t>
            </w:r>
          </w:p>
        </w:tc>
        <w:tc>
          <w:tcPr>
            <w:tcW w:w="800" w:type="dxa"/>
            <w:vAlign w:val="bottom"/>
            <w:tcBorders>
              <w:bottom w:val="single" w:sz="8" w:color="auto"/>
              <w:right w:val="single" w:sz="8" w:color="auto"/>
            </w:tcBorders>
          </w:tcPr>
          <w:p>
            <w:pPr>
              <w:jc w:val="right"/>
              <w:ind w:right="56"/>
              <w:spacing w:after="0" w:line="148" w:lineRule="exact"/>
              <w:rPr>
                <w:sz w:val="20"/>
                <w:szCs w:val="20"/>
                <w:color w:val="auto"/>
              </w:rPr>
            </w:pPr>
            <w:r>
              <w:rPr>
                <w:rFonts w:ascii="Arial" w:cs="Arial" w:eastAsia="Arial" w:hAnsi="Arial"/>
                <w:sz w:val="13"/>
                <w:szCs w:val="13"/>
                <w:color w:val="auto"/>
              </w:rPr>
              <w:t>95</w:t>
            </w:r>
          </w:p>
        </w:tc>
      </w:tr>
      <w:tr>
        <w:trPr>
          <w:trHeight w:val="147"/>
        </w:trPr>
        <w:tc>
          <w:tcPr>
            <w:tcW w:w="4720" w:type="dxa"/>
            <w:vAlign w:val="bottom"/>
            <w:tcBorders>
              <w:left w:val="single" w:sz="8" w:color="auto"/>
              <w:bottom w:val="single" w:sz="8" w:color="auto"/>
              <w:right w:val="single" w:sz="8" w:color="auto"/>
            </w:tcBorders>
            <w:gridSpan w:val="2"/>
          </w:tcPr>
          <w:p>
            <w:pPr>
              <w:ind w:left="100"/>
              <w:spacing w:after="0" w:line="148" w:lineRule="exact"/>
              <w:rPr>
                <w:sz w:val="20"/>
                <w:szCs w:val="20"/>
                <w:color w:val="auto"/>
              </w:rPr>
            </w:pPr>
            <w:r>
              <w:rPr>
                <w:rFonts w:ascii="Arial" w:cs="Arial" w:eastAsia="Arial" w:hAnsi="Arial"/>
                <w:sz w:val="13"/>
                <w:szCs w:val="13"/>
                <w:color w:val="auto"/>
              </w:rPr>
              <w:t>KBW Bank Index</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100</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120</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93</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49</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52</w:t>
            </w:r>
          </w:p>
        </w:tc>
        <w:tc>
          <w:tcPr>
            <w:tcW w:w="800" w:type="dxa"/>
            <w:vAlign w:val="bottom"/>
            <w:tcBorders>
              <w:bottom w:val="single" w:sz="8" w:color="auto"/>
              <w:right w:val="single" w:sz="8" w:color="auto"/>
            </w:tcBorders>
          </w:tcPr>
          <w:p>
            <w:pPr>
              <w:jc w:val="right"/>
              <w:ind w:right="56"/>
              <w:spacing w:after="0" w:line="148" w:lineRule="exact"/>
              <w:rPr>
                <w:sz w:val="20"/>
                <w:szCs w:val="20"/>
                <w:color w:val="auto"/>
              </w:rPr>
            </w:pPr>
            <w:r>
              <w:rPr>
                <w:rFonts w:ascii="Arial" w:cs="Arial" w:eastAsia="Arial" w:hAnsi="Arial"/>
                <w:sz w:val="13"/>
                <w:szCs w:val="13"/>
                <w:color w:val="auto"/>
              </w:rPr>
              <w:t>59</w:t>
            </w:r>
          </w:p>
        </w:tc>
      </w:tr>
      <w:tr>
        <w:trPr>
          <w:trHeight w:val="147"/>
        </w:trPr>
        <w:tc>
          <w:tcPr>
            <w:tcW w:w="4720" w:type="dxa"/>
            <w:vAlign w:val="bottom"/>
            <w:tcBorders>
              <w:left w:val="single" w:sz="8" w:color="auto"/>
              <w:bottom w:val="single" w:sz="8" w:color="auto"/>
              <w:right w:val="single" w:sz="8" w:color="auto"/>
            </w:tcBorders>
            <w:gridSpan w:val="2"/>
          </w:tcPr>
          <w:p>
            <w:pPr>
              <w:ind w:left="100"/>
              <w:spacing w:after="0" w:line="148" w:lineRule="exact"/>
              <w:rPr>
                <w:sz w:val="20"/>
                <w:szCs w:val="20"/>
                <w:color w:val="auto"/>
              </w:rPr>
            </w:pPr>
            <w:r>
              <w:rPr>
                <w:rFonts w:ascii="Arial" w:cs="Arial" w:eastAsia="Arial" w:hAnsi="Arial"/>
                <w:sz w:val="13"/>
                <w:szCs w:val="13"/>
                <w:color w:val="auto"/>
              </w:rPr>
              <w:t>S&amp;P 500 Index</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100</w:t>
            </w:r>
          </w:p>
        </w:tc>
        <w:tc>
          <w:tcPr>
            <w:tcW w:w="920" w:type="dxa"/>
            <w:vAlign w:val="bottom"/>
            <w:tcBorders>
              <w:bottom w:val="single" w:sz="8" w:color="auto"/>
              <w:right w:val="single" w:sz="8" w:color="auto"/>
            </w:tcBorders>
          </w:tcPr>
          <w:p>
            <w:pPr>
              <w:jc w:val="right"/>
              <w:ind w:right="156"/>
              <w:spacing w:after="0" w:line="148" w:lineRule="exact"/>
              <w:rPr>
                <w:sz w:val="20"/>
                <w:szCs w:val="20"/>
                <w:color w:val="auto"/>
              </w:rPr>
            </w:pPr>
            <w:r>
              <w:rPr>
                <w:rFonts w:ascii="Arial" w:cs="Arial" w:eastAsia="Arial" w:hAnsi="Arial"/>
                <w:sz w:val="13"/>
                <w:szCs w:val="13"/>
                <w:color w:val="auto"/>
              </w:rPr>
              <w:t>116</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122</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77</w:t>
            </w:r>
          </w:p>
        </w:tc>
        <w:tc>
          <w:tcPr>
            <w:tcW w:w="880" w:type="dxa"/>
            <w:vAlign w:val="bottom"/>
            <w:tcBorders>
              <w:bottom w:val="single" w:sz="8" w:color="auto"/>
              <w:right w:val="single" w:sz="8" w:color="auto"/>
            </w:tcBorders>
          </w:tcPr>
          <w:p>
            <w:pPr>
              <w:jc w:val="right"/>
              <w:ind w:right="136"/>
              <w:spacing w:after="0" w:line="148" w:lineRule="exact"/>
              <w:rPr>
                <w:sz w:val="20"/>
                <w:szCs w:val="20"/>
                <w:color w:val="auto"/>
              </w:rPr>
            </w:pPr>
            <w:r>
              <w:rPr>
                <w:rFonts w:ascii="Arial" w:cs="Arial" w:eastAsia="Arial" w:hAnsi="Arial"/>
                <w:sz w:val="13"/>
                <w:szCs w:val="13"/>
                <w:color w:val="auto"/>
              </w:rPr>
              <w:t>97</w:t>
            </w:r>
          </w:p>
        </w:tc>
        <w:tc>
          <w:tcPr>
            <w:tcW w:w="800" w:type="dxa"/>
            <w:vAlign w:val="bottom"/>
            <w:tcBorders>
              <w:bottom w:val="single" w:sz="8" w:color="auto"/>
              <w:right w:val="single" w:sz="8" w:color="auto"/>
            </w:tcBorders>
          </w:tcPr>
          <w:p>
            <w:pPr>
              <w:jc w:val="right"/>
              <w:ind w:right="56"/>
              <w:spacing w:after="0" w:line="148" w:lineRule="exact"/>
              <w:rPr>
                <w:sz w:val="20"/>
                <w:szCs w:val="20"/>
                <w:color w:val="auto"/>
              </w:rPr>
            </w:pPr>
            <w:r>
              <w:rPr>
                <w:rFonts w:ascii="Arial" w:cs="Arial" w:eastAsia="Arial" w:hAnsi="Arial"/>
                <w:sz w:val="13"/>
                <w:szCs w:val="13"/>
                <w:color w:val="auto"/>
              </w:rPr>
              <w:t>112</w:t>
            </w:r>
          </w:p>
        </w:tc>
      </w:tr>
      <w:tr>
        <w:trPr>
          <w:trHeight w:val="98"/>
        </w:trPr>
        <w:tc>
          <w:tcPr>
            <w:tcW w:w="130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40" w:lineRule="exact"/>
        <w:rPr>
          <w:sz w:val="20"/>
          <w:szCs w:val="20"/>
          <w:color w:val="auto"/>
        </w:rPr>
      </w:pPr>
    </w:p>
    <w:p>
      <w:pPr>
        <w:ind w:left="900" w:hanging="213"/>
        <w:spacing w:after="0"/>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Assumes a $100 investment on December 31, 2005 and reinvestment of all dividends.</w:t>
      </w:r>
    </w:p>
    <w:p>
      <w:pPr>
        <w:spacing w:after="0" w:line="92" w:lineRule="exact"/>
        <w:rPr>
          <w:sz w:val="20"/>
          <w:szCs w:val="20"/>
          <w:color w:val="auto"/>
        </w:rPr>
      </w:pPr>
    </w:p>
    <w:p>
      <w:pPr>
        <w:jc w:val="both"/>
        <w:ind w:left="680" w:right="120" w:firstLine="599"/>
        <w:spacing w:after="0" w:line="265" w:lineRule="auto"/>
        <w:rPr>
          <w:sz w:val="20"/>
          <w:szCs w:val="20"/>
          <w:color w:val="auto"/>
        </w:rPr>
      </w:pPr>
      <w:r>
        <w:rPr>
          <w:rFonts w:ascii="Arial" w:cs="Arial" w:eastAsia="Arial" w:hAnsi="Arial"/>
          <w:sz w:val="14"/>
          <w:szCs w:val="14"/>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2" w:lineRule="exact"/>
        <w:rPr>
          <w:sz w:val="20"/>
          <w:szCs w:val="20"/>
          <w:color w:val="auto"/>
        </w:rPr>
      </w:pPr>
    </w:p>
    <w:p>
      <w:pPr>
        <w:jc w:val="both"/>
        <w:ind w:left="680" w:right="140"/>
        <w:spacing w:after="0" w:line="263" w:lineRule="auto"/>
        <w:rPr>
          <w:sz w:val="20"/>
          <w:szCs w:val="20"/>
          <w:color w:val="auto"/>
        </w:rPr>
      </w:pPr>
      <w:r>
        <w:rPr>
          <w:rFonts w:ascii="Arial" w:cs="Arial" w:eastAsia="Arial" w:hAnsi="Arial"/>
          <w:sz w:val="14"/>
          <w:szCs w:val="14"/>
          <w:color w:val="auto"/>
        </w:rPr>
        <w:t>In February 2007, M&amp;T announced that it had been authorized by its Board of Directors to purchase up to 5,000,000 shares of its common stock. M&amp;T did not repurchase any shares pursuant to such plan during 2010.</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2010 M&amp;T purchased shares of its common stock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4"/>
              </w:rPr>
              <w:t>(c)Total</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(d)Maximum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rPr>
              <w:t>Number (or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Number</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Approximate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of Shares</w:t>
            </w: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Dollar Value)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8"/>
              </w:rPr>
              <w:t>(or Units)</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of Shares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(a)Total</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Purchased</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(or Units)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0"/>
                <w:szCs w:val="10"/>
                <w:b w:val="1"/>
                <w:bCs w:val="1"/>
                <w:color w:val="auto"/>
                <w:w w:val="91"/>
              </w:rPr>
              <w:t>(b)Average</w:t>
            </w: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as Part of</w:t>
            </w: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that may yet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Number</w:t>
            </w:r>
          </w:p>
        </w:tc>
        <w:tc>
          <w:tcPr>
            <w:tcW w:w="980" w:type="dxa"/>
            <w:vAlign w:val="bottom"/>
            <w:gridSpan w:val="3"/>
            <w:vMerge w:val="continue"/>
          </w:tcPr>
          <w:p>
            <w:pPr>
              <w:spacing w:after="0"/>
              <w:rPr>
                <w:sz w:val="9"/>
                <w:szCs w:val="9"/>
                <w:color w:val="auto"/>
              </w:rPr>
            </w:pP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8"/>
              </w:rPr>
              <w:t>Publicly</w:t>
            </w: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be Purchased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of Shares</w:t>
            </w:r>
          </w:p>
        </w:tc>
        <w:tc>
          <w:tcPr>
            <w:tcW w:w="80" w:type="dxa"/>
            <w:vAlign w:val="bottom"/>
          </w:tcPr>
          <w:p>
            <w:pPr>
              <w:spacing w:after="0"/>
              <w:rPr>
                <w:sz w:val="9"/>
                <w:szCs w:val="9"/>
                <w:color w:val="auto"/>
              </w:rPr>
            </w:pPr>
          </w:p>
        </w:tc>
        <w:tc>
          <w:tcPr>
            <w:tcW w:w="90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5"/>
              </w:rPr>
              <w:t>Price Paid</w:t>
            </w: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0"/>
              </w:rPr>
              <w:t>Announced</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8"/>
              </w:rPr>
              <w:t>Under the</w:t>
            </w:r>
          </w:p>
        </w:tc>
        <w:tc>
          <w:tcPr>
            <w:tcW w:w="0" w:type="dxa"/>
            <w:vAlign w:val="bottom"/>
          </w:tcPr>
          <w:p>
            <w:pPr>
              <w:spacing w:after="0"/>
              <w:rPr>
                <w:sz w:val="1"/>
                <w:szCs w:val="1"/>
                <w:color w:val="auto"/>
              </w:rPr>
            </w:pPr>
          </w:p>
        </w:tc>
      </w:tr>
      <w:tr>
        <w:trPr>
          <w:trHeight w:val="108"/>
        </w:trPr>
        <w:tc>
          <w:tcPr>
            <w:tcW w:w="5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20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8"/>
              </w:rPr>
              <w:t>(or Units)</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per Share</w:t>
            </w: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Plans or</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6"/>
              </w:rPr>
              <w:t>Plans or</w:t>
            </w:r>
          </w:p>
        </w:tc>
        <w:tc>
          <w:tcPr>
            <w:tcW w:w="0" w:type="dxa"/>
            <w:vAlign w:val="bottom"/>
          </w:tcPr>
          <w:p>
            <w:pPr>
              <w:spacing w:after="0"/>
              <w:rPr>
                <w:sz w:val="1"/>
                <w:szCs w:val="1"/>
                <w:color w:val="auto"/>
              </w:rPr>
            </w:pPr>
          </w:p>
        </w:tc>
      </w:tr>
      <w:tr>
        <w:trPr>
          <w:trHeight w:val="125"/>
        </w:trPr>
        <w:tc>
          <w:tcPr>
            <w:tcW w:w="5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Purchased(1)</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(or Unit)</w:t>
            </w:r>
          </w:p>
        </w:tc>
        <w:tc>
          <w:tcPr>
            <w:tcW w:w="10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Programs</w:t>
            </w: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Programs(2)</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4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October 31, 2010</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November 1 - November 30, 2010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142,934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81.15</w:t>
            </w: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December 31, 2010</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80,933</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83.48</w:t>
            </w:r>
          </w:p>
        </w:tc>
        <w:tc>
          <w:tcPr>
            <w:tcW w:w="3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2,181,500</w:t>
            </w:r>
          </w:p>
        </w:tc>
        <w:tc>
          <w:tcPr>
            <w:tcW w:w="0" w:type="dxa"/>
            <w:vAlign w:val="bottom"/>
          </w:tcPr>
          <w:p>
            <w:pPr>
              <w:spacing w:after="0"/>
              <w:rPr>
                <w:sz w:val="1"/>
                <w:szCs w:val="1"/>
                <w:color w:val="auto"/>
              </w:rPr>
            </w:pPr>
          </w:p>
        </w:tc>
      </w:tr>
      <w:tr>
        <w:trPr>
          <w:trHeight w:val="166"/>
        </w:trPr>
        <w:tc>
          <w:tcPr>
            <w:tcW w:w="56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223,867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81.</w:t>
            </w:r>
            <w:r>
              <w:rPr>
                <w:rFonts w:ascii="Arial" w:cs="Arial" w:eastAsia="Arial" w:hAnsi="Arial"/>
                <w:sz w:val="13"/>
                <w:szCs w:val="13"/>
                <w:u w:val="single" w:color="auto"/>
                <w:color w:val="auto"/>
              </w:rPr>
              <w:t>99</w:t>
            </w:r>
          </w:p>
        </w:tc>
        <w:tc>
          <w:tcPr>
            <w:tcW w:w="10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80" w:hanging="259"/>
        <w:spacing w:after="0" w:line="276" w:lineRule="auto"/>
        <w:tabs>
          <w:tab w:leader="none" w:pos="100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as is permitted under M&amp;T’s stock option plans.</w:t>
      </w:r>
    </w:p>
    <w:p>
      <w:pPr>
        <w:spacing w:after="0" w:line="10" w:lineRule="exact"/>
        <w:rPr>
          <w:rFonts w:ascii="Arial" w:cs="Arial" w:eastAsia="Arial" w:hAnsi="Arial"/>
          <w:sz w:val="13"/>
          <w:szCs w:val="13"/>
          <w:i w:val="1"/>
          <w:iCs w:val="1"/>
          <w:color w:val="auto"/>
        </w:rPr>
      </w:pPr>
    </w:p>
    <w:p>
      <w:pPr>
        <w:ind w:left="1000" w:right="460" w:hanging="259"/>
        <w:spacing w:after="0" w:line="276" w:lineRule="auto"/>
        <w:tabs>
          <w:tab w:leader="none" w:pos="100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On February 22, 2007, M&amp;T announced a program to purchase up to 5,000,000 shares of its common stock. No shares were purchased under such program during the periods indicated.</w:t>
      </w:r>
    </w:p>
    <w:p>
      <w:pPr>
        <w:spacing w:after="0" w:line="13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Profile and Significant Developments</w:t>
      </w:r>
    </w:p>
    <w:p>
      <w:pPr>
        <w:spacing w:after="0" w:line="22" w:lineRule="exact"/>
        <w:rPr>
          <w:sz w:val="20"/>
          <w:szCs w:val="20"/>
          <w:color w:val="auto"/>
        </w:rPr>
      </w:pPr>
    </w:p>
    <w:p>
      <w:pPr>
        <w:jc w:val="both"/>
        <w:ind w:left="680" w:right="300"/>
        <w:spacing w:after="0" w:line="249" w:lineRule="auto"/>
        <w:rPr>
          <w:sz w:val="20"/>
          <w:szCs w:val="20"/>
          <w:color w:val="auto"/>
        </w:rPr>
      </w:pPr>
      <w:r>
        <w:rPr>
          <w:rFonts w:ascii="Arial" w:cs="Arial" w:eastAsia="Arial" w:hAnsi="Arial"/>
          <w:sz w:val="14"/>
          <w:szCs w:val="14"/>
          <w:color w:val="auto"/>
        </w:rPr>
        <w:t>M&amp;T Bank Corporation (“M&amp;T”) is a bank holding company headquartered in Buffalo, New York with consolidated assets of $68.0 billion at December 31, 2010. The consolidated financial information presented herein reflects M&amp;T and all of its subsidiaries, which are referred to collectively as “the Company.” M&amp;T’s wholly owned bank subsidiaries are M&amp;T Bank and M&amp;T Bank, National Association (“M&amp;T Bank, N.A.”).</w:t>
      </w:r>
    </w:p>
    <w:p>
      <w:pPr>
        <w:ind w:left="680" w:firstLine="599"/>
        <w:spacing w:after="0" w:line="268" w:lineRule="auto"/>
        <w:rPr>
          <w:sz w:val="20"/>
          <w:szCs w:val="20"/>
          <w:color w:val="auto"/>
        </w:rPr>
      </w:pPr>
      <w:r>
        <w:rPr>
          <w:rFonts w:ascii="Arial" w:cs="Arial" w:eastAsia="Arial" w:hAnsi="Arial"/>
          <w:sz w:val="13"/>
          <w:szCs w:val="13"/>
          <w:color w:val="auto"/>
        </w:rPr>
        <w:t>M&amp;T Bank, with total assets of $67.1 billion at December 31, 2010, is a New York-chartered commercial bank with 738 domestic banking offices in New York State, Pennsylvania, Maryland, Delaware, New Jersey,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and Washington, D.C., and on small and medium size businesses based in those areas, although loans are originated through lending offices in other states and in Ontario, Canada. Certain lending activities are also conducted in other states through various subsidiaries. M&amp;T Bank’s subsidiaries include: M&amp;T Real Estate Trust, a commercial mortgage lender; M&amp;T Realty Capital Corporation, a multifamily commercial mortgage lender; M&amp;T Securities, Inc., which provides brokerage, investment advisory and insurance services; MTB Investment Advisors, Inc., which serves as investment advisor to the MTB Group of Funds, a family of proprietary mutual funds, and other funds and institutional clients; and M&amp;T Insurance Agency, Inc., an insurance agency.</w:t>
      </w:r>
    </w:p>
    <w:p>
      <w:pPr>
        <w:spacing w:after="0" w:line="1" w:lineRule="exact"/>
        <w:rPr>
          <w:sz w:val="20"/>
          <w:szCs w:val="20"/>
          <w:color w:val="auto"/>
        </w:rPr>
      </w:pPr>
    </w:p>
    <w:p>
      <w:pPr>
        <w:ind w:left="680" w:right="400" w:firstLine="599"/>
        <w:spacing w:after="0" w:line="249" w:lineRule="auto"/>
        <w:rPr>
          <w:sz w:val="20"/>
          <w:szCs w:val="20"/>
          <w:color w:val="auto"/>
        </w:rPr>
      </w:pPr>
      <w:r>
        <w:rPr>
          <w:rFonts w:ascii="Arial" w:cs="Arial" w:eastAsia="Arial" w:hAnsi="Arial"/>
          <w:sz w:val="14"/>
          <w:szCs w:val="14"/>
          <w:color w:val="auto"/>
        </w:rPr>
        <w:t>M&amp;T Bank, N.A., with total assets of $797 million at December 31, 2010, is a national bank with an office in Oakfield, New York. M&amp;T Bank, N.A. offers selected deposit and loan products on a nationwide basis, largely through telephone, Internet and direct mail marketing techniques.</w:t>
      </w:r>
    </w:p>
    <w:p>
      <w:pPr>
        <w:jc w:val="both"/>
        <w:ind w:left="680" w:right="80" w:firstLine="599"/>
        <w:spacing w:after="0" w:line="256" w:lineRule="auto"/>
        <w:rPr>
          <w:sz w:val="20"/>
          <w:szCs w:val="20"/>
          <w:color w:val="auto"/>
        </w:rPr>
      </w:pPr>
      <w:r>
        <w:rPr>
          <w:rFonts w:ascii="Arial" w:cs="Arial" w:eastAsia="Arial" w:hAnsi="Arial"/>
          <w:sz w:val="14"/>
          <w:szCs w:val="14"/>
          <w:color w:val="auto"/>
        </w:rPr>
        <w:t>On November 5, 2010, M&amp;T Bank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73" w:lineRule="auto"/>
        <w:rPr>
          <w:sz w:val="20"/>
          <w:szCs w:val="20"/>
          <w:color w:val="auto"/>
        </w:rPr>
      </w:pPr>
      <w:r>
        <w:rPr>
          <w:rFonts w:ascii="Arial" w:cs="Arial" w:eastAsia="Arial" w:hAnsi="Arial"/>
          <w:sz w:val="13"/>
          <w:szCs w:val="13"/>
          <w:color w:val="auto"/>
        </w:rPr>
        <w:t>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generally accepted accounting principles (“GAAP”), M&amp;T Bank recorded an after-tax gain on the transaction of $17 million ($28 million before taxes).</w:t>
      </w:r>
    </w:p>
    <w:p>
      <w:pPr>
        <w:ind w:left="680" w:right="480" w:firstLine="599"/>
        <w:spacing w:after="0" w:line="268" w:lineRule="auto"/>
        <w:rPr>
          <w:sz w:val="20"/>
          <w:szCs w:val="20"/>
          <w:color w:val="auto"/>
        </w:rPr>
      </w:pPr>
      <w:r>
        <w:rPr>
          <w:rFonts w:ascii="Arial" w:cs="Arial" w:eastAsia="Arial" w:hAnsi="Arial"/>
          <w:sz w:val="13"/>
          <w:szCs w:val="13"/>
          <w:color w:val="auto"/>
        </w:rPr>
        <w:t>On November 1, 2010, M&amp;T entered into a definitive agreement with Wilmington Trust Corporation (“Wilmington Trust”), headquartered in Wilmington, Delaware, under which Wilmington Trust will be acquired by M&amp;T. Pursuant to the terms of the agreement, Wilmington Trust common shareholders will receive</w:t>
      </w:r>
    </w:p>
    <w:p>
      <w:pPr>
        <w:jc w:val="both"/>
        <w:ind w:left="680"/>
        <w:spacing w:after="0" w:line="249" w:lineRule="auto"/>
        <w:rPr>
          <w:sz w:val="20"/>
          <w:szCs w:val="20"/>
          <w:color w:val="auto"/>
        </w:rPr>
      </w:pPr>
      <w:r>
        <w:rPr>
          <w:rFonts w:ascii="Arial" w:cs="Arial" w:eastAsia="Arial" w:hAnsi="Arial"/>
          <w:sz w:val="14"/>
          <w:szCs w:val="14"/>
          <w:color w:val="auto"/>
        </w:rPr>
        <w:t>.051372 shares of M&amp;T common stock in exchange for each share of Wilmington Trust common stock in a stock-for-stock transaction valued at $351 million (with the price based on M&amp;T’s closing price of $74.75 per share as of October 29, 2010), plus the assumption of $330 million in preferred stock issued by Wilmington Trust as part of the Troubled Asset Relief Program — Capital Purchase Program of the U.S. Department of Treasury (“U.S. Treasury”).</w:t>
      </w:r>
    </w:p>
    <w:p>
      <w:pPr>
        <w:ind w:left="1280"/>
        <w:spacing w:after="0"/>
        <w:rPr>
          <w:sz w:val="20"/>
          <w:szCs w:val="20"/>
          <w:color w:val="auto"/>
        </w:rPr>
      </w:pPr>
      <w:r>
        <w:rPr>
          <w:rFonts w:ascii="Arial" w:cs="Arial" w:eastAsia="Arial" w:hAnsi="Arial"/>
          <w:sz w:val="14"/>
          <w:szCs w:val="14"/>
          <w:color w:val="auto"/>
        </w:rPr>
        <w:t>At December 31, 2010, Wilmington Trust had approximately $10.9 billion of assets, including $7.5 billion of loans, $10.1 billion of liabilities, including</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$9.0 billion of deposits, and $60.1 billion of combined assets under management, including $43.6 billion managed by Wilmington Trust and $16.5 billion managed by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affiliates. The merger is subject to a number of conditions, including the approval of various state and Federal regulators and Wilmington Trust’s common shareholders,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is expected to be completed by mid-year 2011.</w:t>
      </w:r>
    </w:p>
    <w:p>
      <w:pPr>
        <w:spacing w:after="0" w:line="6"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Net acquisition and integration-related gains and expenses (included herein as merger-related expenses) associated with the K Bank acquisition transaction and with the pending Wilmington Trust acquisition incurred during 2010 totaled to a net gain of $27 million ($16 million after tax-effect, or $.14 of diluted earnings per common share). Reflected in that amount are the $28 million gain ($17 million after tax-effect, or $.14 of diluted earnings per common share) on the K Bank transaction and $771 thousand ($469 thousand after tax-effect) of expenses associated with the K Bank and Wilmington Trust transactions. The gain reflects the amount of financial support and indemnification against loan losses that M&amp;T Bank obtained from the FDIC.</w:t>
      </w:r>
    </w:p>
    <w:p>
      <w:pPr>
        <w:ind w:left="680" w:right="80" w:firstLine="599"/>
        <w:spacing w:after="0" w:line="268" w:lineRule="auto"/>
        <w:rPr>
          <w:sz w:val="20"/>
          <w:szCs w:val="20"/>
          <w:color w:val="auto"/>
        </w:rPr>
      </w:pPr>
      <w:r>
        <w:rPr>
          <w:rFonts w:ascii="Arial" w:cs="Arial" w:eastAsia="Arial" w:hAnsi="Arial"/>
          <w:sz w:val="13"/>
          <w:szCs w:val="13"/>
          <w:color w:val="auto"/>
        </w:rPr>
        <w:t>The condition of the domestic and global economy over the last three years has significantly impacted the financial services industry as a whole, and specifically, the financial results of the Company. In particular, rising unemployment and significantly depressed residential real estate valuations have led to elevated levels of loan charge-offs experienced by financial institutions throughout that time period, resulting in reduced capital levels. Although most economists believe that the recession in the United States ended sometime in the latter half of 2009, the recovery of the economy since then has been very slow. While the Company experienced lower levels of loan charge-offs during 2010 as compared with 2009, such charge-offs continued to be at higher than historical levels. In addition, many financial institutions have continued to experience unrealized losses related to 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Allied Irish Banks (“AIB”) received 26,700,000 shares of M&amp;T common stock on April 1, 2003 as a result of M&amp;T’s acquisition of a subsidiary of AIB on that date. Those shares of common stock owned by AIB represented 22.4% of the issued and outstanding shares of M&amp;T common stock on September 30, 2010. In an effort to raise its capital position to meet new Irish government-mandated capital requirements, AIB completed the sale of the 26,700,000 shares on November 4, 2010. As a result, the provisions of the Agreement and Plan of Reorganization between M&amp;T and AIB related to AIB’s rights as a substantial shareholder in the corporate governance of M&amp;T became inoperative as of that date.</w:t>
      </w:r>
    </w:p>
    <w:p>
      <w:pPr>
        <w:ind w:left="680" w:right="20" w:firstLine="599"/>
        <w:spacing w:after="0" w:line="285" w:lineRule="auto"/>
        <w:rPr>
          <w:sz w:val="20"/>
          <w:szCs w:val="20"/>
          <w:color w:val="auto"/>
        </w:rPr>
      </w:pPr>
      <w:r>
        <w:rPr>
          <w:rFonts w:ascii="Arial" w:cs="Arial" w:eastAsia="Arial" w:hAnsi="Arial"/>
          <w:sz w:val="13"/>
          <w:szCs w:val="13"/>
          <w:color w:val="auto"/>
        </w:rPr>
        <w:t>The Financial Accounting Standards Board (“FASB”) amended GAAP in June 2009 relating to: (1) the consolidation of variable interest entities to eliminate the quantitative approach previously required for determining the primary beneficiary of a variable interest entity and (2) accounting for transfers of financial assets to eliminate the exceptions for qualifying special-purpose entities from the consolidation guidance and the exception that permitted sale accounting for certain mortgage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3" w:lineRule="auto"/>
        <w:rPr>
          <w:sz w:val="20"/>
          <w:szCs w:val="20"/>
          <w:color w:val="auto"/>
        </w:rPr>
      </w:pPr>
      <w:r>
        <w:rPr>
          <w:rFonts w:ascii="Arial" w:cs="Arial" w:eastAsia="Arial" w:hAnsi="Arial"/>
          <w:sz w:val="13"/>
          <w:szCs w:val="13"/>
          <w:color w:val="auto"/>
        </w:rPr>
        <w:t>securitizations when a transferor has not surrendered control over the transferred assets. The amended guidance became effective as of January 1, 2010. The recognition and measurement provisions of the amended guidance were applied to transfers that occurred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w:t>
      </w:r>
    </w:p>
    <w:p>
      <w:pPr>
        <w:ind w:left="680" w:right="100" w:firstLine="599"/>
        <w:spacing w:after="0" w:line="249" w:lineRule="auto"/>
        <w:rPr>
          <w:sz w:val="20"/>
          <w:szCs w:val="20"/>
          <w:color w:val="auto"/>
        </w:rPr>
      </w:pPr>
      <w:r>
        <w:rPr>
          <w:rFonts w:ascii="Arial" w:cs="Arial" w:eastAsia="Arial" w:hAnsi="Arial"/>
          <w:sz w:val="14"/>
          <w:szCs w:val="14"/>
          <w:color w:val="auto"/>
        </w:rPr>
        <w:t>In accordance with the new accounting requirements, effective January 1, 2010 the Company included in its consolidated financial statements one-to-four family residential mortgage loans that were included in non-recourse securitization transactions using qualified special-purpose trusts. The effect of that consolidation as of January 1, 2010 was to increase residential real estate loans by $424 million, decrease the amortized cost of available-for-sale investment securities by $360 million (fair value of $355 million as of January 1, 2010), and increase borrowings by $65 million. Information concerning those loans is included in note 19 of Notes to Financial Statements.</w:t>
      </w:r>
    </w:p>
    <w:p>
      <w:pPr>
        <w:ind w:left="680" w:right="120" w:firstLine="599"/>
        <w:spacing w:after="0" w:line="249" w:lineRule="auto"/>
        <w:rPr>
          <w:sz w:val="20"/>
          <w:szCs w:val="20"/>
          <w:color w:val="auto"/>
        </w:rPr>
      </w:pPr>
      <w:r>
        <w:rPr>
          <w:rFonts w:ascii="Arial" w:cs="Arial" w:eastAsia="Arial" w:hAnsi="Arial"/>
          <w:sz w:val="14"/>
          <w:szCs w:val="14"/>
          <w:color w:val="auto"/>
        </w:rPr>
        <w:t>On August 28, 2009, M&amp;T Bank entered into a purchase and assumption agreement with the FDIC to assume all of the deposits and acquire certain assets of Bradford Bank (“Bradford”), based in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in the transaction totaled approximately $469 million, including $302 million of loans, and liabilities assumed aggregated $440 million, including $361 million of deposits. In accordance with GAAP, M&amp;T Bank recorded an after-tax gain on the transaction of $18 million ($29 million before taxes).</w:t>
      </w:r>
    </w:p>
    <w:p>
      <w:pPr>
        <w:ind w:left="680" w:right="20" w:firstLine="599"/>
        <w:spacing w:after="0" w:line="268" w:lineRule="auto"/>
        <w:rPr>
          <w:sz w:val="20"/>
          <w:szCs w:val="20"/>
          <w:color w:val="auto"/>
        </w:rPr>
      </w:pPr>
      <w:r>
        <w:rPr>
          <w:rFonts w:ascii="Arial" w:cs="Arial" w:eastAsia="Arial" w:hAnsi="Arial"/>
          <w:sz w:val="13"/>
          <w:szCs w:val="13"/>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approximately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shareholders’ equity. The Series B Preferred Stock has a preference value of $27 million, pays non-cumulative dividends at a rate of 10%, and is convertible into 433,148 shares of M&amp;T common stock. The Series C Preferred Stock has a preference value of</w:t>
      </w:r>
    </w:p>
    <w:p>
      <w:pPr>
        <w:spacing w:after="0" w:line="2" w:lineRule="exact"/>
        <w:rPr>
          <w:sz w:val="20"/>
          <w:szCs w:val="20"/>
          <w:color w:val="auto"/>
        </w:rPr>
      </w:pPr>
    </w:p>
    <w:p>
      <w:pPr>
        <w:ind w:left="680" w:right="440"/>
        <w:spacing w:after="0" w:line="249" w:lineRule="auto"/>
        <w:rPr>
          <w:sz w:val="20"/>
          <w:szCs w:val="20"/>
          <w:color w:val="auto"/>
        </w:rPr>
      </w:pPr>
      <w:r>
        <w:rPr>
          <w:rFonts w:ascii="Arial" w:cs="Arial" w:eastAsia="Arial" w:hAnsi="Arial"/>
          <w:sz w:val="14"/>
          <w:szCs w:val="14"/>
          <w:color w:val="auto"/>
        </w:rPr>
        <w:t>$152 million, pays cumulative dividends at a rate of 5% through November 2013 and 9% thereafter, and is held by the U.S. Treasury under the Troubled Asset Relief Program — Capital Purchase Program.</w:t>
      </w:r>
    </w:p>
    <w:p>
      <w:pPr>
        <w:ind w:left="680" w:firstLine="599"/>
        <w:spacing w:after="0" w:line="251" w:lineRule="auto"/>
        <w:rPr>
          <w:sz w:val="20"/>
          <w:szCs w:val="20"/>
          <w:color w:val="auto"/>
        </w:rPr>
      </w:pPr>
      <w:r>
        <w:rPr>
          <w:rFonts w:ascii="Arial" w:cs="Arial" w:eastAsia="Arial" w:hAnsi="Arial"/>
          <w:sz w:val="14"/>
          <w:szCs w:val="14"/>
          <w:color w:val="auto"/>
        </w:rPr>
        <w:t>The Provident transaction was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shareholders’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right="300" w:hanging="598"/>
        <w:spacing w:after="0" w:line="277" w:lineRule="auto"/>
        <w:rPr>
          <w:sz w:val="20"/>
          <w:szCs w:val="20"/>
          <w:color w:val="auto"/>
        </w:rPr>
      </w:pPr>
      <w:r>
        <w:rPr>
          <w:rFonts w:ascii="Arial" w:cs="Arial" w:eastAsia="Arial" w:hAnsi="Arial"/>
          <w:sz w:val="13"/>
          <w:szCs w:val="13"/>
          <w:color w:val="auto"/>
        </w:rPr>
        <w:t>the Company’s presence in the Mid-Atlantic area, gave the Company the second largest deposit share in Maryland, and tripled the Company’s presence in Virginia. Application of the acquisition method requires that acquired loans be recorded at fair value and prohibits the carry-over of the acquired entity’s allowance for</w:t>
      </w:r>
    </w:p>
    <w:p>
      <w:pPr>
        <w:spacing w:after="0" w:line="1" w:lineRule="exact"/>
        <w:rPr>
          <w:sz w:val="20"/>
          <w:szCs w:val="20"/>
          <w:color w:val="auto"/>
        </w:rPr>
      </w:pPr>
    </w:p>
    <w:p>
      <w:pPr>
        <w:ind w:left="680" w:right="80"/>
        <w:spacing w:after="0" w:line="268" w:lineRule="auto"/>
        <w:rPr>
          <w:sz w:val="20"/>
          <w:szCs w:val="20"/>
          <w:color w:val="auto"/>
        </w:rPr>
      </w:pPr>
      <w:r>
        <w:rPr>
          <w:rFonts w:ascii="Arial" w:cs="Arial" w:eastAsia="Arial" w:hAnsi="Arial"/>
          <w:sz w:val="13"/>
          <w:szCs w:val="13"/>
          <w:color w:val="auto"/>
        </w:rPr>
        <w:t>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ind w:left="680" w:right="20" w:firstLine="599"/>
        <w:spacing w:after="0" w:line="268" w:lineRule="auto"/>
        <w:rPr>
          <w:sz w:val="20"/>
          <w:szCs w:val="20"/>
          <w:color w:val="auto"/>
        </w:rPr>
      </w:pPr>
      <w:r>
        <w:rPr>
          <w:rFonts w:ascii="Arial" w:cs="Arial" w:eastAsia="Arial" w:hAnsi="Arial"/>
          <w:sz w:val="13"/>
          <w:szCs w:val="13"/>
          <w:color w:val="auto"/>
        </w:rPr>
        <w:t>Net merger-related expenses associated with the Bradford and Provident acquisition transactions incurred during 2009 totaled $60 million ($36 million after tax effect, or $.31 of diluted earnings per common share). Reflected in that amount are the $29 million ($18 million after tax effect, or $.15 of diluted earnings per common share) gain on the Bradford transaction and $89 million ($54 million after tax effect, or $.46 of diluted earnings per common share) of expenses associated with the Provident and Bradford transactions. The gain reflects the amount of financial support and indemnification against loan losses that M&amp;T Bank obtained from the FDIC. The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customers of Bradford and Provident; severance for former employees of Provident; incentive compensation costs; travel costs; and printing, supplies and other costs of commencing operations in new markets and offices.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 the third quarter of 2008, the Federal Reserve, the U.S. Treasury and the FDIC initiated measures to stabilize the financial markets and to provide liquidity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institutions. The Emergency Economic Stabilization Act of 2008 (“EESA”) was signed into law on October 3, 2008 and authorized the U.S. Treasury to provide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funds to be used to restore liquidity and stability to the U.S. financial system pursuant to the Troubled Asset Relief Program (“TARP”). Under the authority of EESA,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U.S. Treasury instituted a voluntary capital purchase program under TARP to encourage U.S. financial institutions to build capital to increase the flow of financing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businesses and consumers and to support the U.S. economy. Under the program, the U.S. Treasury purchased senior preferred shares of financial institutions which pay</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cumulative dividends at a rate of 5% per year for five years and thereafter at a rate of 9% per year. The terms of the senior preferred shares, as amended by the American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Recovery and Reinvestment Act of 2009 (“ARRA”), provide that the shares may be redeemed, in whole or in part, at par value plus accrued and unpaid dividends upon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approval of the U.S. Treasury and the participating financial institution’s primary banking regulator. The senior preferred shares are non-voting and qualify as Tier 1 capital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regulatory reporting purposes. In connection with purchasing senior preferred shares, the U.S. Treasury also received warrants to purchase the common stock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participating financial institutions having a market price of 15% of the amount of senior preferred shares on the date of investment with an exercise price equal to the market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 of the participating institution’s common stock at the time of approval, calculated on a 20-trading day trailing average. The warrants have a term of ten years and are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immediately exercisable, in whole or in part. For a period of three years, the consent of the U.S. Treasury will be required for participating institutions to increase their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stock dividend or repurchase their common stock, other than in connection with benefit plans consistent with past practice. Participation in the capital purchase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program also includes certain restrictions on executive compensation that were modified by ARRA and further defined by the U.S. Treasury in its Interim Final Rule 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TARP Standards for Compensation and Corporate Governance. The minimum subscription amount available to a participating institution was one percent of total risk-</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weighted assets. The maximum suggested subscription amount was three percent of risk-weighted assets. On December 23, 2008, M&amp;T issued to the U.S. Treasury</w:t>
      </w:r>
    </w:p>
    <w:p>
      <w:pPr>
        <w:spacing w:after="0" w:line="18" w:lineRule="exact"/>
        <w:rPr>
          <w:sz w:val="20"/>
          <w:szCs w:val="20"/>
          <w:color w:val="auto"/>
        </w:rPr>
      </w:pPr>
    </w:p>
    <w:p>
      <w:pPr>
        <w:ind w:left="680" w:right="200"/>
        <w:spacing w:after="0" w:line="279" w:lineRule="auto"/>
        <w:rPr>
          <w:sz w:val="20"/>
          <w:szCs w:val="20"/>
          <w:color w:val="auto"/>
        </w:rPr>
      </w:pPr>
      <w:r>
        <w:rPr>
          <w:rFonts w:ascii="Arial" w:cs="Arial" w:eastAsia="Arial" w:hAnsi="Arial"/>
          <w:sz w:val="13"/>
          <w:szCs w:val="13"/>
          <w:color w:val="auto"/>
        </w:rPr>
        <w:t>$600 million of Series A Preferred Stock and warrants to purchase 1,218,522 shares of M&amp;T common stock at $73.86 per share. M&amp;T elected to participate in the capital purchase program at an amount equal to approximately 1% of its risk-weighted assets at the time. As already noted, Provident also participated in the capital purchase program. Preferred stock resulting from that participation was converted into $152 million of M&amp;T Series C Preferred Stock and warrants to purchase 407,542 shares of M&amp;T common stock at $55.76 per share. In total, M&amp;T has $752 million of preferred stock outstanding related to the capital purchase program.</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Additional information regarding preferred stock of M&amp;T is included in note 10 of Notes to Financial Statements.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Legislative Developments</w:t>
      </w:r>
    </w:p>
    <w:p>
      <w:pPr>
        <w:spacing w:after="0" w:line="22" w:lineRule="exact"/>
        <w:rPr>
          <w:sz w:val="20"/>
          <w:szCs w:val="20"/>
          <w:color w:val="auto"/>
        </w:rPr>
      </w:pPr>
    </w:p>
    <w:p>
      <w:pPr>
        <w:ind w:left="680" w:right="80"/>
        <w:spacing w:after="0" w:line="249" w:lineRule="auto"/>
        <w:rPr>
          <w:sz w:val="20"/>
          <w:szCs w:val="20"/>
          <w:color w:val="auto"/>
        </w:rPr>
      </w:pPr>
      <w:r>
        <w:rPr>
          <w:rFonts w:ascii="Arial" w:cs="Arial" w:eastAsia="Arial" w:hAnsi="Arial"/>
          <w:sz w:val="14"/>
          <w:szCs w:val="14"/>
          <w:color w:val="auto"/>
        </w:rPr>
        <w:t>The Dodd-Frank Wall Street Reform and Consumer Protection Act (“Dodd-Frank Act”) was signed into law on July 21, 2010. This new law has and will continue to significantly change the current bank regulatory structure and affect the lending, deposit, investment, trading and operating activities of financial institutions and their holding companies, and will fundamentally change the system of regulatory oversight of the Company, including through the creation of the Financial Stability Oversight Council. The Dodd-Frank Act requires various federal agencies to adopt a broad range of new implementing rules and regulations, and to prepare numerous studies and reports for Congress. The federal agencies are given significant discretion in drafting the implementing rules and regulations, and, as a result, many of the details and much of the impact of the Dodd-Frank Act is not yet known. The Dodd-Frank Act, however, could have a material adverse impact either on the financial services industry as a whole, or on M&amp;T’s business, results of operations, financial condition and liquidity.</w:t>
      </w:r>
    </w:p>
    <w:p>
      <w:pPr>
        <w:ind w:left="680" w:right="20" w:firstLine="599"/>
        <w:spacing w:after="0" w:line="249" w:lineRule="auto"/>
        <w:rPr>
          <w:sz w:val="20"/>
          <w:szCs w:val="20"/>
          <w:color w:val="auto"/>
        </w:rPr>
      </w:pPr>
      <w:r>
        <w:rPr>
          <w:rFonts w:ascii="Arial" w:cs="Arial" w:eastAsia="Arial" w:hAnsi="Arial"/>
          <w:sz w:val="14"/>
          <w:szCs w:val="14"/>
          <w:color w:val="auto"/>
        </w:rPr>
        <w:t>The Dodd-Frank Act broadens the base for FDIC insurance assessments. Assessments will now be based on the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 bearing transaction accounts have unlimited deposit insurance through December 31, 2013.</w:t>
      </w:r>
    </w:p>
    <w:p>
      <w:pPr>
        <w:ind w:left="680" w:right="120" w:firstLine="599"/>
        <w:spacing w:after="0" w:line="249" w:lineRule="auto"/>
        <w:rPr>
          <w:sz w:val="20"/>
          <w:szCs w:val="20"/>
          <w:color w:val="auto"/>
        </w:rPr>
      </w:pPr>
      <w:r>
        <w:rPr>
          <w:rFonts w:ascii="Arial" w:cs="Arial" w:eastAsia="Arial" w:hAnsi="Arial"/>
          <w:sz w:val="14"/>
          <w:szCs w:val="14"/>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ind w:left="680" w:right="280" w:firstLine="599"/>
        <w:spacing w:after="0" w:line="249" w:lineRule="auto"/>
        <w:rPr>
          <w:sz w:val="20"/>
          <w:szCs w:val="20"/>
          <w:color w:val="auto"/>
        </w:rPr>
      </w:pPr>
      <w:r>
        <w:rPr>
          <w:rFonts w:ascii="Arial" w:cs="Arial" w:eastAsia="Arial" w:hAnsi="Arial"/>
          <w:sz w:val="14"/>
          <w:szCs w:val="14"/>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ind w:left="1280"/>
        <w:spacing w:after="0"/>
        <w:rPr>
          <w:sz w:val="20"/>
          <w:szCs w:val="20"/>
          <w:color w:val="auto"/>
        </w:rPr>
      </w:pPr>
      <w:r>
        <w:rPr>
          <w:rFonts w:ascii="Arial" w:cs="Arial" w:eastAsia="Arial" w:hAnsi="Arial"/>
          <w:sz w:val="14"/>
          <w:szCs w:val="14"/>
          <w:color w:val="auto"/>
        </w:rPr>
        <w:t>In addition, the Dodd-Frank Act, among other things:</w:t>
      </w:r>
    </w:p>
    <w:p>
      <w:pPr>
        <w:spacing w:after="0" w:line="6" w:lineRule="exact"/>
        <w:rPr>
          <w:sz w:val="20"/>
          <w:szCs w:val="20"/>
          <w:color w:val="auto"/>
        </w:rPr>
      </w:pPr>
    </w:p>
    <w:p>
      <w:pPr>
        <w:ind w:left="1280" w:right="44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Weakens the federal preemption rules that have been applicable for national banks and gives state attorneys general the ability to enforce federal consumer protection laws;</w:t>
      </w:r>
    </w:p>
    <w:p>
      <w:pPr>
        <w:ind w:left="1280" w:right="14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Amends the Electronic Fund Transfer Act (“EFTA”) which has resulted in, among other things, the Federal Reserve Board issuing rules aimed at limiting debit-card interchange fees;</w:t>
      </w:r>
    </w:p>
    <w:p>
      <w:pPr>
        <w:jc w:val="both"/>
        <w:ind w:left="1280" w:right="12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ind w:left="1280" w:right="28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Provides for an increase in the FDIC assessment for depository institutions with assets of $10 billion or more and increases the minimum reserve ratio for the deposit insurance fund from 1.15% to 1.35%;</w:t>
      </w:r>
    </w:p>
    <w:p>
      <w:pPr>
        <w:ind w:left="1280" w:right="28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ind w:left="1280" w:right="120" w:hanging="190"/>
        <w:spacing w:after="0" w:line="249"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Repeals the federal prohibitions on the payment of interest on demand deposits, thereby permitting depository institutions to pay interest on business transaction and other accounts;</w:t>
      </w:r>
    </w:p>
    <w:p>
      <w:pPr>
        <w:ind w:left="1280" w:hanging="190"/>
        <w:spacing w:after="0" w:line="263" w:lineRule="auto"/>
        <w:tabs>
          <w:tab w:leader="none" w:pos="1280" w:val="left"/>
        </w:tabs>
        <w:numPr>
          <w:ilvl w:val="0"/>
          <w:numId w:val="15"/>
        </w:numPr>
        <w:rPr>
          <w:rFonts w:ascii="Arial" w:cs="Arial" w:eastAsia="Arial" w:hAnsi="Arial"/>
          <w:sz w:val="9"/>
          <w:szCs w:val="9"/>
          <w:color w:val="auto"/>
        </w:rPr>
      </w:pPr>
      <w:r>
        <w:rPr>
          <w:rFonts w:ascii="Arial" w:cs="Arial" w:eastAsia="Arial" w:hAnsi="Arial"/>
          <w:sz w:val="14"/>
          <w:szCs w:val="14"/>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more loans subject to provisions for higher cost loans, new disclosures, and certain other revisions; and</w:t>
      </w:r>
    </w:p>
    <w:p>
      <w:pPr>
        <w:spacing w:after="0" w:line="18" w:lineRule="exact"/>
        <w:rPr>
          <w:sz w:val="20"/>
          <w:szCs w:val="20"/>
          <w:color w:val="auto"/>
        </w:rPr>
      </w:pPr>
    </w:p>
    <w:p>
      <w:pPr>
        <w:ind w:left="1280" w:right="20" w:hanging="190"/>
        <w:spacing w:after="0" w:line="249" w:lineRule="auto"/>
        <w:tabs>
          <w:tab w:leader="none" w:pos="1280" w:val="left"/>
        </w:tabs>
        <w:numPr>
          <w:ilvl w:val="0"/>
          <w:numId w:val="16"/>
        </w:numPr>
        <w:rPr>
          <w:rFonts w:ascii="Arial" w:cs="Arial" w:eastAsia="Arial" w:hAnsi="Arial"/>
          <w:sz w:val="9"/>
          <w:szCs w:val="9"/>
          <w:color w:val="auto"/>
        </w:rPr>
      </w:pPr>
      <w:r>
        <w:rPr>
          <w:rFonts w:ascii="Arial" w:cs="Arial" w:eastAsia="Arial" w:hAnsi="Arial"/>
          <w:sz w:val="14"/>
          <w:szCs w:val="14"/>
          <w:color w:val="auto"/>
        </w:rPr>
        <w:t>Creates the Financial Stability Oversight Council, which will recommend to the Federal Reserve Board increasingly strict rules for capital, leverage, liquidity, risk management and other requirements as companies grow in size and complexity.</w:t>
      </w:r>
    </w:p>
    <w:p>
      <w:pPr>
        <w:ind w:left="1280"/>
        <w:spacing w:after="0"/>
        <w:rPr>
          <w:rFonts w:ascii="Arial" w:cs="Arial" w:eastAsia="Arial" w:hAnsi="Arial"/>
          <w:sz w:val="9"/>
          <w:szCs w:val="9"/>
          <w:color w:val="auto"/>
        </w:rPr>
      </w:pPr>
      <w:r>
        <w:rPr>
          <w:rFonts w:ascii="Arial" w:cs="Arial" w:eastAsia="Arial" w:hAnsi="Arial"/>
          <w:sz w:val="13"/>
          <w:szCs w:val="13"/>
          <w:color w:val="auto"/>
        </w:rPr>
        <w:t>The environment in which banking organizations will operate after the financial crisis, including legislative and regulatory changes affecting capital, liquidity,</w:t>
      </w:r>
    </w:p>
    <w:p>
      <w:pPr>
        <w:spacing w:after="0" w:line="18" w:lineRule="exact"/>
        <w:rPr>
          <w:sz w:val="20"/>
          <w:szCs w:val="20"/>
          <w:color w:val="auto"/>
        </w:rPr>
      </w:pPr>
    </w:p>
    <w:p>
      <w:pPr>
        <w:ind w:left="680" w:right="60"/>
        <w:spacing w:after="0" w:line="273" w:lineRule="auto"/>
        <w:rPr>
          <w:sz w:val="20"/>
          <w:szCs w:val="20"/>
          <w:color w:val="auto"/>
        </w:rPr>
      </w:pPr>
      <w:r>
        <w:rPr>
          <w:rFonts w:ascii="Arial" w:cs="Arial" w:eastAsia="Arial" w:hAnsi="Arial"/>
          <w:sz w:val="13"/>
          <w:szCs w:val="13"/>
          <w:color w:val="auto"/>
        </w:rPr>
        <w:t>supervision, permissible activities, corporate governance and compensation, changes in fiscal policy and steps to eliminate government support for banking organizations, may have long-term effects on the business model and profitability of banking organizations, the full extent of which cannot now be foreseen. Many aspects of the Dodd-Frank Act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 The impact of new rules relating to overdraft fee practices is included herein under the heading “Other Income.”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Critical Accounting Estimates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ind w:left="1280" w:right="120" w:hanging="190"/>
        <w:spacing w:after="0" w:line="249" w:lineRule="auto"/>
        <w:tabs>
          <w:tab w:leader="none" w:pos="1280" w:val="left"/>
        </w:tabs>
        <w:numPr>
          <w:ilvl w:val="0"/>
          <w:numId w:val="17"/>
        </w:numPr>
        <w:rPr>
          <w:rFonts w:ascii="Arial" w:cs="Arial" w:eastAsia="Arial" w:hAnsi="Arial"/>
          <w:sz w:val="9"/>
          <w:szCs w:val="9"/>
          <w:color w:val="auto"/>
        </w:rPr>
      </w:pPr>
      <w:r>
        <w:rPr>
          <w:rFonts w:ascii="Arial" w:cs="Arial" w:eastAsia="Arial" w:hAnsi="Arial"/>
          <w:sz w:val="14"/>
          <w:szCs w:val="14"/>
          <w:color w:val="auto"/>
        </w:rPr>
        <w:t>Allowance for credit losses — The allowance for credit losses represents the amount which, in management’s judgment, will be adequate to absorb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Changes in the circumstances considered when determining management’s estimates and assumptions could result in changes in those estimates and assumptions, which may result in adjustment of the allowance. A detailed discussion of facts and circumstances considered by management in assessing the adequacy of the allowance for credit losses is included herein under the heading “Provision for Credit Losses.”</w:t>
      </w:r>
    </w:p>
    <w:p>
      <w:pPr>
        <w:ind w:left="1280" w:right="80" w:hanging="190"/>
        <w:spacing w:after="0" w:line="251" w:lineRule="auto"/>
        <w:tabs>
          <w:tab w:leader="none" w:pos="1280" w:val="left"/>
        </w:tabs>
        <w:numPr>
          <w:ilvl w:val="0"/>
          <w:numId w:val="17"/>
        </w:numPr>
        <w:rPr>
          <w:rFonts w:ascii="Arial" w:cs="Arial" w:eastAsia="Arial" w:hAnsi="Arial"/>
          <w:sz w:val="9"/>
          <w:szCs w:val="9"/>
          <w:color w:val="auto"/>
        </w:rPr>
      </w:pPr>
      <w:r>
        <w:rPr>
          <w:rFonts w:ascii="Arial" w:cs="Arial" w:eastAsia="Arial" w:hAnsi="Arial"/>
          <w:sz w:val="14"/>
          <w:szCs w:val="14"/>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privately issued mortgage-backed securities, deposits, borrowings, goodwill, core deposit and other intangible assets, and other assets and liabilities obtained or assumed in business combinations; capitalized servicing assets; pension and other postretirement benefit obligations; value ascribed to stock-based compensation; estimated residual values of property associated with leases; and certain derivative and other financial instruments. These valuations require the use of various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line="271" w:lineRule="auto"/>
        <w:rPr>
          <w:sz w:val="20"/>
          <w:szCs w:val="20"/>
          <w:color w:val="auto"/>
        </w:rPr>
      </w:pPr>
      <w:r>
        <w:rPr>
          <w:rFonts w:ascii="Arial" w:cs="Arial" w:eastAsia="Arial" w:hAnsi="Arial"/>
          <w:sz w:val="13"/>
          <w:szCs w:val="13"/>
          <w:color w:val="auto"/>
        </w:rPr>
        <w:t>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11, 12, 18, 19 and 20 of Notes to Financial Statements.</w:t>
      </w:r>
    </w:p>
    <w:p>
      <w:pPr>
        <w:ind w:left="1280" w:hanging="190"/>
        <w:spacing w:after="0" w:line="271" w:lineRule="auto"/>
        <w:tabs>
          <w:tab w:leader="none" w:pos="1280" w:val="left"/>
        </w:tabs>
        <w:numPr>
          <w:ilvl w:val="0"/>
          <w:numId w:val="18"/>
        </w:numPr>
        <w:rPr>
          <w:rFonts w:ascii="Arial" w:cs="Arial" w:eastAsia="Arial" w:hAnsi="Arial"/>
          <w:sz w:val="9"/>
          <w:szCs w:val="9"/>
          <w:color w:val="auto"/>
        </w:rPr>
      </w:pPr>
      <w:r>
        <w:rPr>
          <w:rFonts w:ascii="Arial" w:cs="Arial" w:eastAsia="Arial" w:hAnsi="Arial"/>
          <w:sz w:val="13"/>
          <w:szCs w:val="13"/>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and the degree to which the Company can influence those outcomes. Information relating to the Company’s involvement in such entities and the accounting treatment afforded each such involvement is included in note 19 of Notes to Financial Statements.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22"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The Company recorded net income during 2010 of $736 million or $5.69 of diluted earnings per common share, up 94% and 97%, respectively, from $380 million or $2.89 of diluted earnings per common share in 2009. Basic earnings per common share rose 97% to $5.72 in 2010 from $2.90 in 2009. Net income in 2008 aggregated</w:t>
      </w:r>
    </w:p>
    <w:p>
      <w:pPr>
        <w:ind w:left="680" w:right="60"/>
        <w:spacing w:after="0" w:line="268" w:lineRule="auto"/>
        <w:rPr>
          <w:sz w:val="20"/>
          <w:szCs w:val="20"/>
          <w:color w:val="auto"/>
        </w:rPr>
      </w:pPr>
      <w:r>
        <w:rPr>
          <w:rFonts w:ascii="Arial" w:cs="Arial" w:eastAsia="Arial" w:hAnsi="Arial"/>
          <w:sz w:val="13"/>
          <w:szCs w:val="13"/>
          <w:color w:val="auto"/>
        </w:rPr>
        <w:t>$556 million, while diluted and basic earnings per common share were $5.01 and $5.04, respectively. The after-tax impact of net merger-related gains and expenses associated with the acquisition transactions previously described totaled to a net gain of $16 million ($27 million pre-tax) or $.14 of basic and diluted earnings per common share in 2010, and net expenses of $36 million ($60 million pre-tax) or $.31 of basic and diluted earnings per common share in 2009. Similar expenses of $2 million</w:t>
      </w:r>
    </w:p>
    <w:p>
      <w:pPr>
        <w:ind w:left="680" w:right="20"/>
        <w:spacing w:after="0" w:line="249" w:lineRule="auto"/>
        <w:rPr>
          <w:sz w:val="20"/>
          <w:szCs w:val="20"/>
          <w:color w:val="auto"/>
        </w:rPr>
      </w:pPr>
      <w:r>
        <w:rPr>
          <w:rFonts w:ascii="Arial" w:cs="Arial" w:eastAsia="Arial" w:hAnsi="Arial"/>
          <w:sz w:val="14"/>
          <w:szCs w:val="14"/>
          <w:color w:val="auto"/>
        </w:rPr>
        <w:t>($4 million pre-tax) or $.02 of basic and diluted earnings per common share were incurred in 2008 related to acquisition transactions completed in 2007. Net income expressed as a rate of return on average assets in 2010 was 1.08%, compared with .56% in 2009 and .85% in 2008. The return on average common shareholders’ equity was 9.30% in 2010, 5.07% in 2009 and 8.64% in 2008.</w:t>
      </w:r>
    </w:p>
    <w:p>
      <w:pPr>
        <w:ind w:left="680" w:right="100" w:firstLine="599"/>
        <w:spacing w:after="0" w:line="249" w:lineRule="auto"/>
        <w:rPr>
          <w:sz w:val="20"/>
          <w:szCs w:val="20"/>
          <w:color w:val="auto"/>
        </w:rPr>
      </w:pPr>
      <w:r>
        <w:rPr>
          <w:rFonts w:ascii="Arial" w:cs="Arial" w:eastAsia="Arial" w:hAnsi="Arial"/>
          <w:sz w:val="14"/>
          <w:szCs w:val="14"/>
          <w:color w:val="auto"/>
        </w:rPr>
        <w:t>The Company’s improved financial performance in 2010 as compared with 2009 was largely driven by higher net interest income and lower credit costs. The higher net interest income was the result of a 35 basis point (hundredths of one percent) widening of the net interest margin, or taxable-equivalent net interest income divided by average earning assets. That widening reflects a 38 basis point reduction of rates paid on interest-bearing liabilities, including a 40 basis point reduction in rates paid on interest-bearing deposits. Reflecting the wider net interest margin, taxable-equivalent net interest income increased $214 million, or 10%, to $2.29 billion in 2010 from $2.08 billion in 2009.</w:t>
      </w:r>
    </w:p>
    <w:p>
      <w:pPr>
        <w:ind w:left="680" w:right="200" w:firstLine="599"/>
        <w:spacing w:after="0" w:line="256" w:lineRule="auto"/>
        <w:rPr>
          <w:sz w:val="20"/>
          <w:szCs w:val="20"/>
          <w:color w:val="auto"/>
        </w:rPr>
      </w:pPr>
      <w:r>
        <w:rPr>
          <w:rFonts w:ascii="Arial" w:cs="Arial" w:eastAsia="Arial" w:hAnsi="Arial"/>
          <w:sz w:val="14"/>
          <w:szCs w:val="14"/>
          <w:color w:val="auto"/>
        </w:rPr>
        <w:t>While the provision for credit losses during 2010 was elevated when compared to historical levels, it declined 39% to $368 million from $604 million in 2009. Net charge-offs dropped 33% to $346 million in 2010 from $514 million in 2009. As a percentage of average loans outstanding, net charge-offs were .67% in 2010 and 1.01% in 2009. The lower level of net charge-offs in 2010 was led by a decrease 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320"/>
        <w:spacing w:after="0" w:line="253" w:lineRule="auto"/>
        <w:rPr>
          <w:sz w:val="20"/>
          <w:szCs w:val="20"/>
          <w:color w:val="auto"/>
        </w:rPr>
      </w:pPr>
      <w:r>
        <w:rPr>
          <w:rFonts w:ascii="Arial" w:cs="Arial" w:eastAsia="Arial" w:hAnsi="Arial"/>
          <w:sz w:val="14"/>
          <w:szCs w:val="14"/>
          <w:color w:val="auto"/>
        </w:rPr>
        <w:t>commercial loan charge-offs, which declined to $65 million from $172 million in 2009. Another significant factor in the higher net income in 2010 was a decrease in other-than-temporary impairment charges on investment securities to $86 million ($53 million after tax-effect) from $138 million ($84 million after tax-effect) in 2009. Those impairment charges were largely related to certain privately issued collateralized mortgage obligations (“CMOs”) backed by residential real estate loans and collateralized debt obligations (“CDOs”) backed by trust preferred securities issued by other financial institutions.</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Several noteworthy items were reflected in the Company’s financial results in 2009. The provision for credit losses and net loan charge-offs during 2009 were at higher than historical levels, due largely to the recessionary state of the U.S. economy and its impact on consumers and businesses, and the continuation of a distressed residential real estate market. The provision for credit losses in 2009 was $604 million, up from $412 million in 2008. Net charge-offs during 2009 aggregated $514 million, compared with $383 million in 2008. As a percentage of average loans outstanding, net charge-offs were 1.01% and .78% in 2009 and 2008, respectively. Charge-offs in all major loan categories rose from 2008 to 2009. The most dramatic increase in net charge-offs was related to commercial loans, which rose to $172 million in 2009 from $94 million in 2008. That increase was largely driven by a small number of significant commercial loan charge-offs. In addition, net charge-offs of residential real estate loans rose to $92 million in 2009 from $63 million in 2008, reflecting turbulence in the residential real estate market place that resulted in deteriorating real estate values and increased delinquencies. The Company also incurred elevated costs in 2009 related to the workout process for modifying residential mortgage loans of creditworthy borrowers and to the foreclosure process for borrowers unable to make payments on their loans.</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During 2009, $84 million of after-tax other-than-temporary impairment charges ($138 million before taxes) were recorded on certain available-for-sale investment securities, reducing basic and diluted earnings per common share by $.73. The Company also experienced substantially higher costs related to deposit assessments by the FDIC. Such costs rose to $97 million in 2009 from $7 million in 2008 and reflected higher assessment rates, expirations of available credits and a $33 million second quarter 2009 special assessment levied by the FDIC on insured financial institutions to rebuild the Deposit Insurance Fund. That special assessment reduced net income and diluted earnings per common share by $20 million and $.17, respectively.</w:t>
      </w:r>
    </w:p>
    <w:p>
      <w:pPr>
        <w:ind w:left="680" w:right="160" w:firstLine="599"/>
        <w:spacing w:after="0" w:line="249" w:lineRule="auto"/>
        <w:rPr>
          <w:sz w:val="20"/>
          <w:szCs w:val="20"/>
          <w:color w:val="auto"/>
        </w:rPr>
      </w:pPr>
      <w:r>
        <w:rPr>
          <w:rFonts w:ascii="Arial" w:cs="Arial" w:eastAsia="Arial" w:hAnsi="Arial"/>
          <w:sz w:val="14"/>
          <w:szCs w:val="14"/>
          <w:color w:val="auto"/>
        </w:rPr>
        <w:t>The Company’s financial results for 2008 were also affected by several notable factors. Largely the result of the state of the U.S. economy and the distressed residential real estate marketplace, the Company’s provision for credit losses in 2008 was $412 million, significantly higher than $192 million in 2007. Net charge-offs of loans in 2008 rose to $383 million from $114 million in 2007. Net loan charge-offs as a percentage of average loans outstanding were .78% and .26% in 2008 and 2007, respectively. While charge-offs were up in all major categories of loans, the most significant contributors to the sharp rise were loan charge-offs related to residential real estate markets; charge-offs of loans to builders and developers of residential real estate jumped from $4 million in 2007 to $100 million in 2008, and residential real estate loan charge-offs grew to $63 million in 2008 from $19 million in 2007. Not only did the condition of the residential real estate markets negatively impact the Company’s financial results in 2008 through a higher provision for credit losses, but significantly higher costs were incurred related to the workout process for modifying residential mortgage loans and to the foreclosure process.</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During the third quarter of 2008, a $153 million (pre-tax) other-than-temporary impairment charge was recorded related to preferred stock issuances of the Federal National Mortgage Association (“Fannie Mae”) and the Federal Home Loan Mortgage Corporation (“Freddie Mac”). The write-down was taken on preferred stock with a basis of $162 million following the U.S. Government’s placement of Fannie Mae and Freddie Mac under conservatorship on September 7, 2008. The Company recognized additional other-than-temporary impairment charges during 2008 totaling $29 million (pre-tax) related to certain CDOs and CMOs. In total, other-than-temporary impairment charges on investment securities aggregated $182 million ($111 million after tax effect) during 2008, thereby lowering diluted earnings per common share by $1.00.</w:t>
      </w:r>
    </w:p>
    <w:p>
      <w:pPr>
        <w:ind w:left="680" w:right="280" w:firstLine="599"/>
        <w:spacing w:after="0" w:line="263" w:lineRule="auto"/>
        <w:rPr>
          <w:sz w:val="20"/>
          <w:szCs w:val="20"/>
          <w:color w:val="auto"/>
        </w:rPr>
      </w:pPr>
      <w:r>
        <w:rPr>
          <w:rFonts w:ascii="Arial" w:cs="Arial" w:eastAsia="Arial" w:hAnsi="Arial"/>
          <w:sz w:val="14"/>
          <w:szCs w:val="14"/>
          <w:color w:val="auto"/>
        </w:rPr>
        <w:t>Also reflected in the Company’s 2008 results was $29 million of after-tax income, or $.26 of diluted earnings per common share, resulting from M&amp;T Bank’s status as a member bank of Visa. During the last quarter of 2007, Visa completed a reorganization in contemplation of its initial public offering</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(“IPO”) in 2008. As part of that reorganization M&amp;T Bank and other member banks of Visa received shares of Class B common stock of Visa. M&amp;T Bank was allocated 1,967,028 Class B common shares of Visa based on its proportionate ownership of Visa. Of those shares, 760,455 were mandatorily redeemed in March 2008 for an after-tax gain of $20 million ($33 million pre-tax), which was recorded as “gain on bank investment securities” in the consolidated statement of income, adding $.18 to diluted earnings per common share. In accordance with GAAP, the Company has not recognized any value for its remaining common stock ownership interest in Visa. During the first quarter of 2008, Visa completed its IPO of common stock and, as part of the transaction, funded an escrow account with $3 billion from the proceeds of the IPO to cover potential settlements arising out of certain litigation against Visa. As a result, during the first three months of 2008, the Company reversed approximately $15 million of a liability accrued during the fourth quarter of 2007 related to such litigation, adding $9 million to net income ($.08 per diluted common share). That liability had been accrued in 2007 because M&amp;T Bank and other member banks of Visa are obligated under various agreements to share in losses stemming from certain litigation against Visa. Visa subsequently announced that it had further funded the escrow account to provide for the settlement of the litigation. Those subsequent fundings did not result in a material impact to the Company’s consolidated financial position or results of operations as of or for the years ended December 31, 2010, 2009 and 2008.</w:t>
      </w:r>
    </w:p>
    <w:p>
      <w:pPr>
        <w:spacing w:after="0" w:line="1"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The Company resolved certain tax issues during the third quarter of 2008 related to its activities in various jurisdictions during the years 1999-2007. As a result, the Company paid $40 million to settle those issues, but was able to reduce previously accrued income tax expense in 2008 by $40 million, thereby adding $.36 to that year’s diluted earnings per common share.</w:t>
      </w:r>
    </w:p>
    <w:p>
      <w:pPr>
        <w:ind w:left="680" w:right="180" w:firstLine="599"/>
        <w:spacing w:after="0" w:line="249" w:lineRule="auto"/>
        <w:rPr>
          <w:sz w:val="20"/>
          <w:szCs w:val="20"/>
          <w:color w:val="auto"/>
        </w:rPr>
      </w:pPr>
      <w:r>
        <w:rPr>
          <w:rFonts w:ascii="Arial" w:cs="Arial" w:eastAsia="Arial" w:hAnsi="Arial"/>
          <w:sz w:val="14"/>
          <w:szCs w:val="14"/>
          <w:color w:val="auto"/>
        </w:rPr>
        <w:t>As previously noted, net interest income recorded on a taxable-equivalent basis rose 10% to $2.29 billion in 2010 from $2.08 billion in 2009, reflecting a wider net interest margin. Average earning assets during 2010 were $59.7 billion, little changed from $59.6 billion in 2009.</w:t>
      </w:r>
    </w:p>
    <w:p>
      <w:pPr>
        <w:ind w:left="680" w:right="40" w:firstLine="599"/>
        <w:spacing w:after="0" w:line="249" w:lineRule="auto"/>
        <w:rPr>
          <w:sz w:val="20"/>
          <w:szCs w:val="20"/>
          <w:color w:val="auto"/>
        </w:rPr>
      </w:pPr>
      <w:r>
        <w:rPr>
          <w:rFonts w:ascii="Arial" w:cs="Arial" w:eastAsia="Arial" w:hAnsi="Arial"/>
          <w:sz w:val="14"/>
          <w:szCs w:val="14"/>
          <w:color w:val="auto"/>
        </w:rPr>
        <w:t>Taxable-equivalent net interest income in 2009 was 6% higher than $1.96 billion in 2008. Contributing to the improvement were growth in average earning assets and a widening of the Company’s net interest margin. Average earning assets rose 3% to $59.6 billion in 2009 from $58.0 billion in 2008, largely due to the $5.5 billion of earning assets obtained in the Provident and Bradford transactions. The net interest margin widened 11 basis points to 3.49% in 2009 from 3.38% in 2008, largely due to lower interest rates paid on deposits and borrowings.</w:t>
      </w:r>
    </w:p>
    <w:p>
      <w:pPr>
        <w:ind w:left="680" w:firstLine="599"/>
        <w:spacing w:after="0" w:line="249" w:lineRule="auto"/>
        <w:rPr>
          <w:sz w:val="20"/>
          <w:szCs w:val="20"/>
          <w:color w:val="auto"/>
        </w:rPr>
      </w:pPr>
      <w:r>
        <w:rPr>
          <w:rFonts w:ascii="Arial" w:cs="Arial" w:eastAsia="Arial" w:hAnsi="Arial"/>
          <w:sz w:val="14"/>
          <w:szCs w:val="14"/>
          <w:color w:val="auto"/>
        </w:rPr>
        <w:t>As previously noted, the provision for credit losses of $368 million in 2010 was down 39% from $604 million in 2009. Net charge-offs totaled $346 million in 2010, down from $514 million in 2009. The provision for credit losses and net charge-offs in 2009 were up significantly from $412 million and $383 million, respectively, in 2008. Deteriorating economic conditions impacting the quality of outstanding loans to businesses and consumers, and depressed residential real estate valuations and their impact on the Company’s portfolios of residential mortgage loans and loans to residential real estate builders and developers, were the most significant factors contributing to the higher levels of the provision and net charge-offs in 2009 as compared with the preceding year. Net charge-offs as a percentage of average loans and leases outstanding were .78% in 2008. The provision in each year represents the result of management’s analysis of the composition of the loan and lease portfolio and other factors, including concern regarding uncertainty about economic conditions, both nationally and in many of the markets served by the Company, and the impact of such conditions and prospects on the abilities of borrowers to repay loans.</w:t>
      </w:r>
    </w:p>
    <w:p>
      <w:pPr>
        <w:spacing w:after="0" w:line="1" w:lineRule="exact"/>
        <w:rPr>
          <w:sz w:val="20"/>
          <w:szCs w:val="20"/>
          <w:color w:val="auto"/>
        </w:rPr>
      </w:pPr>
    </w:p>
    <w:p>
      <w:pPr>
        <w:ind w:left="680" w:right="140" w:firstLine="599"/>
        <w:spacing w:after="0" w:line="249" w:lineRule="auto"/>
        <w:rPr>
          <w:sz w:val="20"/>
          <w:szCs w:val="20"/>
          <w:color w:val="auto"/>
        </w:rPr>
      </w:pPr>
      <w:r>
        <w:rPr>
          <w:rFonts w:ascii="Arial" w:cs="Arial" w:eastAsia="Arial" w:hAnsi="Arial"/>
          <w:sz w:val="14"/>
          <w:szCs w:val="14"/>
          <w:color w:val="auto"/>
        </w:rPr>
        <w:t>Noninterest income rose 6% to $1.11 billion in 2010 from $1.05 billion in 2009. Gains and losses on bank investment securities (consisting predominantly of other-than-temporary impairment charges) totaled to net losses of $84 million in 2010 and $137 million in 2009. Excluding gains and losses from bank investment securities, the $28 million gain recorded on the K Bank transaction in 2010 and the $29 million gain recorded on the Bradford transaction in 2009, noninterest income was $1.16 billion in each of 2010 and 2009. Declines in revenues related to residential mortgage banking, brokerage services and the Company’s trust business were offset by higher service charges on deposit accounts, credit-related fees and other revenues from operations.</w:t>
      </w:r>
    </w:p>
    <w:p>
      <w:pPr>
        <w:ind w:left="680" w:right="100" w:firstLine="599"/>
        <w:spacing w:after="0" w:line="263" w:lineRule="auto"/>
        <w:rPr>
          <w:sz w:val="20"/>
          <w:szCs w:val="20"/>
          <w:color w:val="auto"/>
        </w:rPr>
      </w:pPr>
      <w:r>
        <w:rPr>
          <w:rFonts w:ascii="Arial" w:cs="Arial" w:eastAsia="Arial" w:hAnsi="Arial"/>
          <w:sz w:val="14"/>
          <w:szCs w:val="14"/>
          <w:color w:val="auto"/>
        </w:rPr>
        <w:t>Noninterest income in 2009 was up 12% from $939 million in 2008. Gains and losses on bank investment securities (including other-than-temporary impairment losses) totaled to net losses of</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60"/>
        <w:spacing w:after="0" w:line="252" w:lineRule="auto"/>
        <w:rPr>
          <w:sz w:val="20"/>
          <w:szCs w:val="20"/>
          <w:color w:val="auto"/>
        </w:rPr>
      </w:pPr>
      <w:r>
        <w:rPr>
          <w:rFonts w:ascii="Arial" w:cs="Arial" w:eastAsia="Arial" w:hAnsi="Arial"/>
          <w:sz w:val="14"/>
          <w:szCs w:val="14"/>
          <w:color w:val="auto"/>
        </w:rPr>
        <w:t>$148 million in 2008. Those losses in 2008 were due to other-than-temporary impairment charges related to certain of the Company’s privately issued CMOs, CDOs and preferred stock holdings of Fannie Mae and Freddie Mac. The investment securities losses in 2008 are net of the $33 million gain from the sale of shares of Visa. Excluding gains and losses from bank investment securities and the $29 million gain recorded on the Bradford transaction, noninterest income of $1.16 billion in 2009 was 6% higher than $1.09 billion in 2008. Contributing to that improvement were higher mortgage banking revenues and service charges on acquisition-related deposit accounts, partially offset by declines in trust and brokerage services income.</w:t>
      </w:r>
    </w:p>
    <w:p>
      <w:pPr>
        <w:spacing w:after="0" w:line="2" w:lineRule="exact"/>
        <w:rPr>
          <w:sz w:val="20"/>
          <w:szCs w:val="20"/>
          <w:color w:val="auto"/>
        </w:rPr>
      </w:pPr>
    </w:p>
    <w:p>
      <w:pPr>
        <w:ind w:left="680" w:right="160" w:firstLine="599"/>
        <w:spacing w:after="0" w:line="268" w:lineRule="auto"/>
        <w:rPr>
          <w:sz w:val="20"/>
          <w:szCs w:val="20"/>
          <w:color w:val="auto"/>
        </w:rPr>
      </w:pPr>
      <w:r>
        <w:rPr>
          <w:rFonts w:ascii="Arial" w:cs="Arial" w:eastAsia="Arial" w:hAnsi="Arial"/>
          <w:sz w:val="13"/>
          <w:szCs w:val="13"/>
          <w:color w:val="auto"/>
        </w:rPr>
        <w:t>Noninterest expense in 2010 totaled $1.91 billion, down 3% from $1.98 billion in 2009. During 2008, noninterest expense aggregated $1.73 billion. Included in such amounts are expenses considered by M&amp;T to be “nonoperating” in nature, consisting of amortization of core deposit and other intangible assets of $58 million,</w:t>
      </w:r>
    </w:p>
    <w:p>
      <w:pPr>
        <w:ind w:left="680" w:right="40"/>
        <w:spacing w:after="0" w:line="249" w:lineRule="auto"/>
        <w:rPr>
          <w:sz w:val="20"/>
          <w:szCs w:val="20"/>
          <w:color w:val="auto"/>
        </w:rPr>
      </w:pPr>
      <w:r>
        <w:rPr>
          <w:rFonts w:ascii="Arial" w:cs="Arial" w:eastAsia="Arial" w:hAnsi="Arial"/>
          <w:sz w:val="14"/>
          <w:szCs w:val="14"/>
          <w:color w:val="auto"/>
        </w:rPr>
        <w:t>$64 million and $67 million in 2010, 2009 and 2008, respectively, and merger-related expenses of $771,000 in 2010, $89 million in 2009 and $4 million in 2008. Exclusive of those nonoperating expenses, noninterest operating expenses aggregated $1.86 billion in 2010, $1.83 billion in 2009 and $1.66 billion in 2008. The increase in such expenses from 2009 to 2010 was largely attributable to higher costs for professional services and advertising in 2010, and a $22 million reduction of the allowance for impairment of capitalized residential mortgage servicing rights in 2009. For the year ended December 31, 2010, there was no change to that impairment allowance. Partially offsetting those factors were declines in expenses in 2010 related to foreclosed properties and FDIC assessments. The most significant factors for the higher level of noninterest operating expenses in 2009 as compared with 2008 were the higher FDIC assessments, costs associated with the acquired operations of Provident and Bradford, and higher foreclosure-related expenses. Partially offsetting those increases was a partial reversal of the valuation allowance for capitalized residential mortgage servicing rights of $22 million in 2009, compared with an addition to the valuation allowance of $16 million in 2008. Included in operating expenses in 2010 were $15 million of tax-deductible contributions made to The M&amp;T Charitable Foundation, a tax-exempt private charitable foundation. Similar contributions of $12 million and $6 million were made in 2009 and 2008, respectively.</w:t>
      </w:r>
    </w:p>
    <w:p>
      <w:pPr>
        <w:spacing w:after="0" w:line="1" w:lineRule="exact"/>
        <w:rPr>
          <w:sz w:val="20"/>
          <w:szCs w:val="20"/>
          <w:color w:val="auto"/>
        </w:rPr>
      </w:pPr>
    </w:p>
    <w:p>
      <w:pPr>
        <w:ind w:left="680" w:right="80" w:firstLine="599"/>
        <w:spacing w:after="0" w:line="256" w:lineRule="auto"/>
        <w:rPr>
          <w:sz w:val="20"/>
          <w:szCs w:val="20"/>
          <w:color w:val="auto"/>
        </w:rPr>
      </w:pPr>
      <w:r>
        <w:rPr>
          <w:rFonts w:ascii="Arial" w:cs="Arial" w:eastAsia="Arial" w:hAnsi="Arial"/>
          <w:sz w:val="14"/>
          <w:szCs w:val="14"/>
          <w:color w:val="auto"/>
        </w:rPr>
        <w:t>The efficiency ratio expresses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and gains on merger transactions), was 53.7% in 2010, compared with 56.5% in 2009 and 54.4% in 2008.</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EARNINGS SUMMARY</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w w:val="91"/>
              </w:rPr>
              <w:t>Increase (Decrease)(a)</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Compound</w:t>
            </w:r>
          </w:p>
        </w:tc>
        <w:tc>
          <w:tcPr>
            <w:tcW w:w="0" w:type="dxa"/>
            <w:vAlign w:val="bottom"/>
          </w:tcPr>
          <w:p>
            <w:pPr>
              <w:spacing w:after="0"/>
              <w:rPr>
                <w:sz w:val="1"/>
                <w:szCs w:val="1"/>
                <w:color w:val="auto"/>
              </w:rPr>
            </w:pPr>
          </w:p>
        </w:tc>
      </w:tr>
      <w:tr>
        <w:trPr>
          <w:trHeight w:val="115"/>
        </w:trPr>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5"/>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Growth Rate</w:t>
            </w: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300" w:type="dxa"/>
            <w:vAlign w:val="bottom"/>
            <w:gridSpan w:val="8"/>
          </w:tcPr>
          <w:p>
            <w:pPr>
              <w:ind w:left="140"/>
              <w:spacing w:after="0" w:line="98" w:lineRule="exact"/>
              <w:rPr>
                <w:sz w:val="20"/>
                <w:szCs w:val="20"/>
                <w:color w:val="auto"/>
              </w:rPr>
            </w:pPr>
            <w:r>
              <w:rPr>
                <w:rFonts w:ascii="Arial" w:cs="Arial" w:eastAsia="Arial" w:hAnsi="Arial"/>
                <w:sz w:val="10"/>
                <w:szCs w:val="10"/>
                <w:b w:val="1"/>
                <w:bCs w:val="1"/>
                <w:color w:val="auto"/>
              </w:rPr>
              <w:t>2009 to 2010</w:t>
            </w:r>
          </w:p>
        </w:tc>
        <w:tc>
          <w:tcPr>
            <w:tcW w:w="1000" w:type="dxa"/>
            <w:vAlign w:val="bottom"/>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2008 to 2009</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120"/>
              <w:spacing w:after="0" w:line="98" w:lineRule="exact"/>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98"/>
        </w:trPr>
        <w:tc>
          <w:tcPr>
            <w:tcW w:w="860" w:type="dxa"/>
            <w:vAlign w:val="bottom"/>
            <w:tcBorders>
              <w:top w:val="single" w:sz="8" w:color="auto"/>
            </w:tcBorders>
            <w:gridSpan w:val="5"/>
          </w:tcPr>
          <w:p>
            <w:pPr>
              <w:ind w:left="2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Borders>
              <w:top w:val="single" w:sz="8" w:color="auto"/>
            </w:tcBorders>
            <w:gridSpan w:val="2"/>
          </w:tcPr>
          <w:p>
            <w:pPr>
              <w:jc w:val="right"/>
              <w:ind w:right="8"/>
              <w:spacing w:after="0" w:line="98" w:lineRule="exact"/>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b w:val="1"/>
                <w:bCs w:val="1"/>
                <w:color w:val="auto"/>
                <w:w w:val="95"/>
              </w:rPr>
              <w:t>Amount</w:t>
            </w:r>
          </w:p>
        </w:tc>
        <w:tc>
          <w:tcPr>
            <w:tcW w:w="4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ind w:right="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ind w:right="88"/>
              <w:spacing w:after="0" w:line="98" w:lineRule="exact"/>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8"/>
                <w:szCs w:val="8"/>
                <w:color w:val="auto"/>
              </w:rPr>
            </w:pPr>
          </w:p>
        </w:tc>
        <w:tc>
          <w:tcPr>
            <w:tcW w:w="420" w:type="dxa"/>
            <w:vAlign w:val="bottom"/>
          </w:tcPr>
          <w:p>
            <w:pPr>
              <w:jc w:val="right"/>
              <w:ind w:right="48"/>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400" w:type="dxa"/>
            <w:vAlign w:val="bottom"/>
          </w:tcPr>
          <w:p>
            <w:pPr>
              <w:jc w:val="right"/>
              <w:ind w:right="48"/>
              <w:spacing w:after="0" w:line="98"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8"/>
                <w:szCs w:val="8"/>
                <w:color w:val="auto"/>
              </w:rPr>
            </w:pPr>
          </w:p>
        </w:tc>
        <w:tc>
          <w:tcPr>
            <w:tcW w:w="420" w:type="dxa"/>
            <w:vAlign w:val="bottom"/>
          </w:tcPr>
          <w:p>
            <w:pPr>
              <w:jc w:val="right"/>
              <w:ind w:right="48"/>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400" w:type="dxa"/>
            <w:vAlign w:val="bottom"/>
          </w:tcPr>
          <w:p>
            <w:pPr>
              <w:jc w:val="right"/>
              <w:ind w:right="48"/>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8"/>
                <w:szCs w:val="8"/>
                <w:color w:val="auto"/>
              </w:rPr>
            </w:pPr>
          </w:p>
        </w:tc>
        <w:tc>
          <w:tcPr>
            <w:tcW w:w="900" w:type="dxa"/>
            <w:vAlign w:val="bottom"/>
            <w:gridSpan w:val="2"/>
          </w:tcPr>
          <w:p>
            <w:pPr>
              <w:jc w:val="center"/>
              <w:ind w:right="140"/>
              <w:spacing w:after="0" w:line="98" w:lineRule="exact"/>
              <w:rPr>
                <w:sz w:val="20"/>
                <w:szCs w:val="20"/>
                <w:color w:val="auto"/>
              </w:rPr>
            </w:pPr>
            <w:r>
              <w:rPr>
                <w:rFonts w:ascii="Arial" w:cs="Arial" w:eastAsia="Arial" w:hAnsi="Arial"/>
                <w:sz w:val="10"/>
                <w:szCs w:val="10"/>
                <w:b w:val="1"/>
                <w:bCs w:val="1"/>
                <w:color w:val="auto"/>
                <w:w w:val="94"/>
              </w:rPr>
              <w:t>2005 to 2010</w:t>
            </w:r>
          </w:p>
        </w:tc>
        <w:tc>
          <w:tcPr>
            <w:tcW w:w="0" w:type="dxa"/>
            <w:vAlign w:val="bottom"/>
          </w:tcPr>
          <w:p>
            <w:pPr>
              <w:spacing w:after="0"/>
              <w:rPr>
                <w:sz w:val="1"/>
                <w:szCs w:val="1"/>
                <w:color w:val="auto"/>
              </w:rPr>
            </w:pPr>
          </w:p>
        </w:tc>
      </w:tr>
      <w:tr>
        <w:trPr>
          <w:trHeight w:val="29"/>
        </w:trPr>
        <w:tc>
          <w:tcPr>
            <w:tcW w:w="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6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6.8</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(552.4)</w:t>
            </w:r>
          </w:p>
        </w:tc>
        <w:tc>
          <w:tcPr>
            <w:tcW w:w="3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w:t>
            </w:r>
          </w:p>
        </w:tc>
        <w:tc>
          <w:tcPr>
            <w:tcW w:w="32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Interest income(b)</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2,753.8</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2,747.0</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3,299.5</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3,565.6</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3,333.8</w:t>
            </w:r>
          </w:p>
        </w:tc>
        <w:tc>
          <w:tcPr>
            <w:tcW w:w="9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66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(207.1)</w:t>
            </w:r>
          </w:p>
        </w:tc>
        <w:tc>
          <w:tcPr>
            <w:tcW w:w="4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(31)</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(668.3)</w:t>
            </w:r>
          </w:p>
        </w:tc>
        <w:tc>
          <w:tcPr>
            <w:tcW w:w="3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(50)</w:t>
            </w:r>
          </w:p>
        </w:tc>
        <w:tc>
          <w:tcPr>
            <w:tcW w:w="3240" w:type="dxa"/>
            <w:vAlign w:val="bottom"/>
          </w:tcPr>
          <w:p>
            <w:pPr>
              <w:ind w:left="80"/>
              <w:spacing w:after="0" w:line="108" w:lineRule="exact"/>
              <w:rPr>
                <w:sz w:val="20"/>
                <w:szCs w:val="20"/>
                <w:color w:val="auto"/>
              </w:rPr>
            </w:pPr>
            <w:r>
              <w:rPr>
                <w:rFonts w:ascii="Arial" w:cs="Arial" w:eastAsia="Arial" w:hAnsi="Arial"/>
                <w:sz w:val="10"/>
                <w:szCs w:val="10"/>
                <w:color w:val="auto"/>
              </w:rPr>
              <w:t>Interest expense</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462.3</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669.4</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1,337.8</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1,694.6</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1,496.6</w:t>
            </w:r>
          </w:p>
        </w:tc>
        <w:tc>
          <w:tcPr>
            <w:tcW w:w="9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213.9</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w:t>
            </w: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115.9</w:t>
            </w:r>
          </w:p>
        </w:tc>
        <w:tc>
          <w:tcPr>
            <w:tcW w:w="3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w:t>
            </w:r>
          </w:p>
        </w:tc>
        <w:tc>
          <w:tcPr>
            <w:tcW w:w="32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Net interest income(b)</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2,291.5</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2,077.6</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1,961.7</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1,871.0</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1,837.2</w:t>
            </w:r>
          </w:p>
        </w:tc>
        <w:tc>
          <w:tcPr>
            <w:tcW w:w="9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66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(236.0)</w:t>
            </w:r>
          </w:p>
        </w:tc>
        <w:tc>
          <w:tcPr>
            <w:tcW w:w="4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(39)</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192.0</w:t>
            </w:r>
          </w:p>
        </w:tc>
        <w:tc>
          <w:tcPr>
            <w:tcW w:w="3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47</w:t>
            </w:r>
          </w:p>
        </w:tc>
        <w:tc>
          <w:tcPr>
            <w:tcW w:w="3240" w:type="dxa"/>
            <w:vAlign w:val="bottom"/>
          </w:tcPr>
          <w:p>
            <w:pPr>
              <w:ind w:left="80"/>
              <w:spacing w:after="0" w:line="108" w:lineRule="exact"/>
              <w:rPr>
                <w:sz w:val="20"/>
                <w:szCs w:val="20"/>
                <w:color w:val="auto"/>
              </w:rPr>
            </w:pPr>
            <w:r>
              <w:rPr>
                <w:rFonts w:ascii="Arial" w:cs="Arial" w:eastAsia="Arial" w:hAnsi="Arial"/>
                <w:sz w:val="10"/>
                <w:szCs w:val="10"/>
                <w:color w:val="auto"/>
              </w:rPr>
              <w:t>Less: provision for credit losses</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368.0</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604.0</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412.0</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192.0</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80.0</w:t>
            </w:r>
          </w:p>
        </w:tc>
        <w:tc>
          <w:tcPr>
            <w:tcW w:w="9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53.6</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10.7</w:t>
            </w:r>
          </w:p>
        </w:tc>
        <w:tc>
          <w:tcPr>
            <w:tcW w:w="3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32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Gain (loss) on bank investment securities(c)</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(83.5)</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(137.1)</w:t>
            </w:r>
          </w:p>
        </w:tc>
        <w:tc>
          <w:tcPr>
            <w:tcW w:w="5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(147.8)</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(126.1)</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w:t>
            </w:r>
          </w:p>
        </w:tc>
        <w:tc>
          <w:tcPr>
            <w:tcW w:w="9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6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6.4</w:t>
            </w:r>
          </w:p>
        </w:tc>
        <w:tc>
          <w:tcPr>
            <w:tcW w:w="20" w:type="dxa"/>
            <w:vAlign w:val="bottom"/>
          </w:tcPr>
          <w:p>
            <w:pPr>
              <w:spacing w:after="0"/>
              <w:rPr>
                <w:sz w:val="9"/>
                <w:szCs w:val="9"/>
                <w:color w:val="auto"/>
              </w:rPr>
            </w:pPr>
          </w:p>
        </w:tc>
        <w:tc>
          <w:tcPr>
            <w:tcW w:w="44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1</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98.5</w:t>
            </w:r>
          </w:p>
        </w:tc>
        <w:tc>
          <w:tcPr>
            <w:tcW w:w="3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w:t>
            </w:r>
          </w:p>
        </w:tc>
        <w:tc>
          <w:tcPr>
            <w:tcW w:w="3240" w:type="dxa"/>
            <w:vAlign w:val="bottom"/>
          </w:tcPr>
          <w:p>
            <w:pPr>
              <w:ind w:left="80"/>
              <w:spacing w:after="0" w:line="108" w:lineRule="exact"/>
              <w:rPr>
                <w:sz w:val="20"/>
                <w:szCs w:val="20"/>
                <w:color w:val="auto"/>
              </w:rPr>
            </w:pPr>
            <w:r>
              <w:rPr>
                <w:rFonts w:ascii="Arial" w:cs="Arial" w:eastAsia="Arial" w:hAnsi="Arial"/>
                <w:sz w:val="10"/>
                <w:szCs w:val="10"/>
                <w:color w:val="auto"/>
              </w:rPr>
              <w:t>Other income</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1,191.6</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1,185.2</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1,086.7</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1,059.1</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1,043.2</w:t>
            </w:r>
          </w:p>
        </w:tc>
        <w:tc>
          <w:tcPr>
            <w:tcW w:w="9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Less: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660" w:type="dxa"/>
            <w:vAlign w:val="bottom"/>
            <w:gridSpan w:val="4"/>
          </w:tcPr>
          <w:p>
            <w:pPr>
              <w:jc w:val="right"/>
              <w:spacing w:after="0" w:line="108"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9"/>
                <w:szCs w:val="9"/>
                <w:color w:val="auto"/>
              </w:rPr>
            </w:pPr>
          </w:p>
        </w:tc>
        <w:tc>
          <w:tcPr>
            <w:tcW w:w="500" w:type="dxa"/>
            <w:vAlign w:val="bottom"/>
            <w:gridSpan w:val="3"/>
          </w:tcPr>
          <w:p>
            <w:pPr>
              <w:jc w:val="right"/>
              <w:ind w:right="260"/>
              <w:spacing w:after="0" w:line="108"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44.8</w:t>
            </w:r>
          </w:p>
        </w:tc>
        <w:tc>
          <w:tcPr>
            <w:tcW w:w="3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w:t>
            </w:r>
          </w:p>
        </w:tc>
        <w:tc>
          <w:tcPr>
            <w:tcW w:w="3240" w:type="dxa"/>
            <w:vAlign w:val="bottom"/>
          </w:tcPr>
          <w:p>
            <w:pPr>
              <w:ind w:left="140"/>
              <w:spacing w:after="0" w:line="108" w:lineRule="exact"/>
              <w:rPr>
                <w:sz w:val="20"/>
                <w:szCs w:val="20"/>
                <w:color w:val="auto"/>
              </w:rPr>
            </w:pPr>
            <w:r>
              <w:rPr>
                <w:rFonts w:ascii="Arial" w:cs="Arial" w:eastAsia="Arial" w:hAnsi="Arial"/>
                <w:sz w:val="10"/>
                <w:szCs w:val="10"/>
                <w:color w:val="auto"/>
              </w:rPr>
              <w:t>Salaries and employee benefits</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999.7</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1,001.9</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957.1</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908.3</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873.3</w:t>
            </w:r>
          </w:p>
        </w:tc>
        <w:tc>
          <w:tcPr>
            <w:tcW w:w="9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660" w:type="dxa"/>
            <w:vAlign w:val="bottom"/>
            <w:gridSpan w:val="4"/>
            <w:shd w:val="clear" w:color="auto" w:fill="CCEEFF"/>
          </w:tcPr>
          <w:p>
            <w:pPr>
              <w:jc w:val="right"/>
              <w:spacing w:after="0" w:line="108" w:lineRule="exact"/>
              <w:rPr>
                <w:sz w:val="20"/>
                <w:szCs w:val="20"/>
                <w:color w:val="auto"/>
              </w:rPr>
            </w:pPr>
            <w:r>
              <w:rPr>
                <w:rFonts w:ascii="Arial" w:cs="Arial" w:eastAsia="Arial" w:hAnsi="Arial"/>
                <w:sz w:val="10"/>
                <w:szCs w:val="10"/>
                <w:color w:val="auto"/>
              </w:rPr>
              <w:t>(63.6)</w:t>
            </w:r>
          </w:p>
        </w:tc>
        <w:tc>
          <w:tcPr>
            <w:tcW w:w="4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w:t>
            </w: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208.8</w:t>
            </w:r>
          </w:p>
        </w:tc>
        <w:tc>
          <w:tcPr>
            <w:tcW w:w="3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w:t>
            </w:r>
          </w:p>
        </w:tc>
        <w:tc>
          <w:tcPr>
            <w:tcW w:w="32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Other expense</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915.1</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978.7</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769.9</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719.3</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678.4</w:t>
            </w:r>
          </w:p>
        </w:tc>
        <w:tc>
          <w:tcPr>
            <w:tcW w:w="9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40" w:type="dxa"/>
            <w:vAlign w:val="bottom"/>
            <w:vMerge w:val="restart"/>
          </w:tcPr>
          <w:p>
            <w:pPr>
              <w:ind w:left="80"/>
              <w:spacing w:after="0"/>
              <w:rPr>
                <w:sz w:val="20"/>
                <w:szCs w:val="20"/>
                <w:color w:val="auto"/>
              </w:rPr>
            </w:pPr>
            <w:r>
              <w:rPr>
                <w:rFonts w:ascii="Arial" w:cs="Arial" w:eastAsia="Arial" w:hAnsi="Arial"/>
                <w:sz w:val="10"/>
                <w:szCs w:val="10"/>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(1)</w:t>
            </w:r>
          </w:p>
        </w:tc>
        <w:tc>
          <w:tcPr>
            <w:tcW w:w="0" w:type="dxa"/>
            <w:vAlign w:val="bottom"/>
          </w:tcPr>
          <w:p>
            <w:pPr>
              <w:spacing w:after="0" w:line="20" w:lineRule="exact"/>
              <w:rPr>
                <w:sz w:val="1"/>
                <w:szCs w:val="1"/>
                <w:color w:val="auto"/>
              </w:rPr>
            </w:pPr>
          </w:p>
        </w:tc>
      </w:tr>
      <w:tr>
        <w:trPr>
          <w:trHeight w:val="108"/>
        </w:trPr>
        <w:tc>
          <w:tcPr>
            <w:tcW w:w="200" w:type="dxa"/>
            <w:vAlign w:val="bottom"/>
          </w:tcPr>
          <w:p>
            <w:pPr>
              <w:spacing w:after="0"/>
              <w:rPr>
                <w:sz w:val="9"/>
                <w:szCs w:val="9"/>
                <w:color w:val="auto"/>
              </w:rPr>
            </w:pP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575.7</w:t>
            </w: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106</w:t>
            </w:r>
          </w:p>
        </w:tc>
        <w:tc>
          <w:tcPr>
            <w:tcW w:w="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(220.5)</w:t>
            </w: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(29)</w:t>
            </w:r>
          </w:p>
        </w:tc>
        <w:tc>
          <w:tcPr>
            <w:tcW w:w="1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1,116.8</w:t>
            </w:r>
          </w:p>
        </w:tc>
        <w:tc>
          <w:tcPr>
            <w:tcW w:w="160" w:type="dxa"/>
            <w:vAlign w:val="bottom"/>
            <w:vMerge w:val="continue"/>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541.1</w:t>
            </w:r>
          </w:p>
        </w:tc>
        <w:tc>
          <w:tcPr>
            <w:tcW w:w="180" w:type="dxa"/>
            <w:vAlign w:val="bottom"/>
            <w:vMerge w:val="continue"/>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761.6</w:t>
            </w:r>
          </w:p>
        </w:tc>
        <w:tc>
          <w:tcPr>
            <w:tcW w:w="180" w:type="dxa"/>
            <w:vAlign w:val="bottom"/>
            <w:vMerge w:val="continue"/>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984.4</w:t>
            </w:r>
          </w:p>
        </w:tc>
        <w:tc>
          <w:tcPr>
            <w:tcW w:w="180" w:type="dxa"/>
            <w:vAlign w:val="bottom"/>
            <w:vMerge w:val="continue"/>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1,251.3</w:t>
            </w:r>
          </w:p>
        </w:tc>
        <w:tc>
          <w:tcPr>
            <w:tcW w:w="1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40" w:type="dxa"/>
            <w:vAlign w:val="bottom"/>
            <w:shd w:val="clear" w:color="auto" w:fill="CCEEFF"/>
          </w:tcPr>
          <w:p>
            <w:pPr>
              <w:ind w:left="80"/>
              <w:spacing w:after="0" w:line="108" w:lineRule="exact"/>
              <w:rPr>
                <w:sz w:val="20"/>
                <w:szCs w:val="20"/>
                <w:color w:val="auto"/>
              </w:rPr>
            </w:pPr>
            <w:r>
              <w:rPr>
                <w:rFonts w:ascii="Arial" w:cs="Arial" w:eastAsia="Arial" w:hAnsi="Arial"/>
                <w:sz w:val="10"/>
                <w:szCs w:val="10"/>
                <w:color w:val="auto"/>
              </w:rPr>
              <w:t>Less: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6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2.2</w:t>
            </w:r>
          </w:p>
        </w:tc>
        <w:tc>
          <w:tcPr>
            <w:tcW w:w="20" w:type="dxa"/>
            <w:vAlign w:val="bottom"/>
          </w:tcPr>
          <w:p>
            <w:pPr>
              <w:spacing w:after="0"/>
              <w:rPr>
                <w:sz w:val="9"/>
                <w:szCs w:val="9"/>
                <w:color w:val="auto"/>
              </w:rPr>
            </w:pPr>
          </w:p>
        </w:tc>
        <w:tc>
          <w:tcPr>
            <w:tcW w:w="44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10</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3240" w:type="dxa"/>
            <w:vAlign w:val="bottom"/>
          </w:tcPr>
          <w:p>
            <w:pPr>
              <w:ind w:left="120"/>
              <w:spacing w:after="0" w:line="108" w:lineRule="exact"/>
              <w:rPr>
                <w:sz w:val="20"/>
                <w:szCs w:val="20"/>
                <w:color w:val="auto"/>
              </w:rPr>
            </w:pPr>
            <w:r>
              <w:rPr>
                <w:rFonts w:ascii="Arial" w:cs="Arial" w:eastAsia="Arial" w:hAnsi="Arial"/>
                <w:sz w:val="10"/>
                <w:szCs w:val="10"/>
                <w:color w:val="auto"/>
              </w:rPr>
              <w:t>Taxable-equivalent adjustment(b)</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24.0</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21.8</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21.8</w:t>
            </w: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20.8</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19.7</w:t>
            </w:r>
          </w:p>
        </w:tc>
        <w:tc>
          <w:tcPr>
            <w:tcW w:w="9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8"/>
        </w:trPr>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217.2</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156</w:t>
            </w: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(44.5)</w:t>
            </w:r>
          </w:p>
        </w:tc>
        <w:tc>
          <w:tcPr>
            <w:tcW w:w="3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w:t>
            </w:r>
          </w:p>
        </w:tc>
        <w:tc>
          <w:tcPr>
            <w:tcW w:w="32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Income taxes</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356.6</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139.4</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183.9</w:t>
            </w:r>
          </w:p>
        </w:tc>
        <w:tc>
          <w:tcPr>
            <w:tcW w:w="6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309.3</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392.4</w:t>
            </w:r>
          </w:p>
        </w:tc>
        <w:tc>
          <w:tcPr>
            <w:tcW w:w="9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40" w:type="dxa"/>
            <w:vAlign w:val="bottom"/>
            <w:vMerge w:val="restart"/>
          </w:tcPr>
          <w:p>
            <w:pPr>
              <w:ind w:left="80"/>
              <w:spacing w:after="0"/>
              <w:rPr>
                <w:sz w:val="20"/>
                <w:szCs w:val="20"/>
                <w:color w:val="auto"/>
              </w:rPr>
            </w:pPr>
            <w:r>
              <w:rPr>
                <w:rFonts w:ascii="Arial" w:cs="Arial" w:eastAsia="Arial" w:hAnsi="Arial"/>
                <w:sz w:val="10"/>
                <w:szCs w:val="10"/>
                <w:color w:val="auto"/>
              </w:rPr>
              <w:t>Net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line="20" w:lineRule="exact"/>
              <w:rPr>
                <w:sz w:val="1"/>
                <w:szCs w:val="1"/>
                <w:color w:val="auto"/>
              </w:rPr>
            </w:pPr>
          </w:p>
        </w:tc>
      </w:tr>
      <w:tr>
        <w:trPr>
          <w:trHeight w:val="117"/>
        </w:trPr>
        <w:tc>
          <w:tcPr>
            <w:tcW w:w="20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356.3</w:t>
            </w: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94</w:t>
            </w:r>
          </w:p>
        </w:tc>
        <w:tc>
          <w:tcPr>
            <w:tcW w:w="6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(176.0)</w:t>
            </w: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(32)</w:t>
            </w:r>
          </w:p>
        </w:tc>
        <w:tc>
          <w:tcPr>
            <w:tcW w:w="100" w:type="dxa"/>
            <w:vAlign w:val="bottom"/>
            <w:vMerge w:val="continue"/>
          </w:tcPr>
          <w:p>
            <w:pPr>
              <w:spacing w:after="0"/>
              <w:rPr>
                <w:sz w:val="10"/>
                <w:szCs w:val="10"/>
                <w:color w:val="auto"/>
              </w:rPr>
            </w:pPr>
          </w:p>
        </w:tc>
        <w:tc>
          <w:tcPr>
            <w:tcW w:w="3240" w:type="dxa"/>
            <w:vAlign w:val="bottom"/>
            <w:vMerge w:val="continue"/>
          </w:tcPr>
          <w:p>
            <w:pPr>
              <w:spacing w:after="0"/>
              <w:rPr>
                <w:sz w:val="10"/>
                <w:szCs w:val="10"/>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736.2</w:t>
            </w:r>
          </w:p>
        </w:tc>
        <w:tc>
          <w:tcPr>
            <w:tcW w:w="160" w:type="dxa"/>
            <w:vAlign w:val="bottom"/>
            <w:vMerge w:val="continue"/>
          </w:tcPr>
          <w:p>
            <w:pPr>
              <w:spacing w:after="0"/>
              <w:rPr>
                <w:sz w:val="10"/>
                <w:szCs w:val="10"/>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379.9</w:t>
            </w:r>
          </w:p>
        </w:tc>
        <w:tc>
          <w:tcPr>
            <w:tcW w:w="180" w:type="dxa"/>
            <w:vAlign w:val="bottom"/>
            <w:vMerge w:val="continue"/>
          </w:tcPr>
          <w:p>
            <w:pPr>
              <w:spacing w:after="0"/>
              <w:rPr>
                <w:sz w:val="10"/>
                <w:szCs w:val="10"/>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555.9</w:t>
            </w:r>
          </w:p>
        </w:tc>
        <w:tc>
          <w:tcPr>
            <w:tcW w:w="180" w:type="dxa"/>
            <w:vAlign w:val="bottom"/>
            <w:vMerge w:val="continue"/>
          </w:tcPr>
          <w:p>
            <w:pPr>
              <w:spacing w:after="0"/>
              <w:rPr>
                <w:sz w:val="10"/>
                <w:szCs w:val="10"/>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654.3</w:t>
            </w:r>
          </w:p>
        </w:tc>
        <w:tc>
          <w:tcPr>
            <w:tcW w:w="180" w:type="dxa"/>
            <w:vAlign w:val="bottom"/>
            <w:vMerge w:val="continue"/>
          </w:tcPr>
          <w:p>
            <w:pPr>
              <w:spacing w:after="0"/>
              <w:rPr>
                <w:sz w:val="10"/>
                <w:szCs w:val="10"/>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839.2</w:t>
            </w:r>
          </w:p>
        </w:tc>
        <w:tc>
          <w:tcPr>
            <w:tcW w:w="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Changes were calculated from unrounded amounts.</w:t>
      </w:r>
    </w:p>
    <w:p>
      <w:pPr>
        <w:spacing w:after="0" w:line="47" w:lineRule="exact"/>
        <w:rPr>
          <w:rFonts w:ascii="Arial" w:cs="Arial" w:eastAsia="Arial" w:hAnsi="Arial"/>
          <w:sz w:val="13"/>
          <w:szCs w:val="13"/>
          <w:i w:val="1"/>
          <w:iCs w:val="1"/>
          <w:color w:val="auto"/>
        </w:rPr>
      </w:pPr>
    </w:p>
    <w:p>
      <w:pPr>
        <w:ind w:left="1000" w:right="200" w:hanging="259"/>
        <w:spacing w:after="0" w:line="264" w:lineRule="auto"/>
        <w:tabs>
          <w:tab w:leader="none" w:pos="1000" w:val="left"/>
        </w:tabs>
        <w:numPr>
          <w:ilvl w:val="1"/>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spacing w:after="0" w:line="17" w:lineRule="exact"/>
        <w:rPr>
          <w:rFonts w:ascii="Arial" w:cs="Arial" w:eastAsia="Arial" w:hAnsi="Arial"/>
          <w:sz w:val="13"/>
          <w:szCs w:val="13"/>
          <w:i w:val="1"/>
          <w:iCs w:val="1"/>
          <w:color w:val="auto"/>
        </w:rPr>
      </w:pPr>
    </w:p>
    <w:p>
      <w:pPr>
        <w:ind w:left="1000" w:hanging="252"/>
        <w:spacing w:after="0"/>
        <w:tabs>
          <w:tab w:leader="none" w:pos="1000" w:val="left"/>
        </w:tabs>
        <w:numPr>
          <w:ilvl w:val="1"/>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other-than-temporary impairment losses, if any.</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Supplemental Reporting of Non-GAAP Results of Operations</w:t>
      </w:r>
    </w:p>
    <w:p>
      <w:pPr>
        <w:spacing w:after="0" w:line="22"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As a result of business combinations and other acquisitions, the Company had intangible assets consisting of goodwill and core deposit and other intangible assets totaling $3.7 billion at each of December 31, 2010 and 2009 and $3.4 billion at December 31, 2008. Included in such intangible assets was goodwill of $3.5 billion at each of December 31, 2010 and 2009 and $3.2 billion at December 31, 2008. Amortization of core deposit and other intangible assets, after tax effect, totaled $35 million, $39 million and $41 million during 2010, 2009 and 2008, respectively.</w:t>
      </w:r>
    </w:p>
    <w:p>
      <w:pPr>
        <w:ind w:left="680" w:right="140" w:firstLine="599"/>
        <w:spacing w:after="0" w:line="249" w:lineRule="auto"/>
        <w:rPr>
          <w:sz w:val="20"/>
          <w:szCs w:val="20"/>
          <w:color w:val="auto"/>
        </w:rPr>
      </w:pPr>
      <w:r>
        <w:rPr>
          <w:rFonts w:ascii="Arial" w:cs="Arial" w:eastAsia="Arial" w:hAnsi="Arial"/>
          <w:sz w:val="14"/>
          <w:szCs w:val="14"/>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ind w:left="680" w:right="20" w:firstLine="599"/>
        <w:spacing w:after="0" w:line="268" w:lineRule="auto"/>
        <w:rPr>
          <w:sz w:val="20"/>
          <w:szCs w:val="20"/>
          <w:color w:val="auto"/>
        </w:rPr>
      </w:pPr>
      <w:r>
        <w:rPr>
          <w:rFonts w:ascii="Arial" w:cs="Arial" w:eastAsia="Arial" w:hAnsi="Arial"/>
          <w:sz w:val="13"/>
          <w:szCs w:val="13"/>
          <w:color w:val="auto"/>
        </w:rPr>
        <w:t>Net operating income aggregated $755 million in 2010, up 66% from $455 million in 2009. Diluted net operating earnings per common share in 2010 rose 65% to $5.84 from $3.54 in 2009. Net operating income and diluted net operating earnings per common share were $599 million and $5.39, respectively, during 2008.</w:t>
      </w:r>
    </w:p>
    <w:p>
      <w:pPr>
        <w:ind w:left="680" w:right="140" w:firstLine="599"/>
        <w:spacing w:after="0" w:line="249" w:lineRule="auto"/>
        <w:rPr>
          <w:sz w:val="20"/>
          <w:szCs w:val="20"/>
          <w:color w:val="auto"/>
        </w:rPr>
      </w:pPr>
      <w:r>
        <w:rPr>
          <w:rFonts w:ascii="Arial" w:cs="Arial" w:eastAsia="Arial" w:hAnsi="Arial"/>
          <w:sz w:val="14"/>
          <w:szCs w:val="14"/>
          <w:color w:val="auto"/>
        </w:rPr>
        <w:t>Net operating income expressed as a rate of return on average tangible assets was 1.17% in 2010, compared with .71% in 2009 and .97% in 2008. Net operating return on average tangible common equity was 18.95% in 2010, compared with 13.42% and 19.63% in 2009 and 2008, respectively.</w:t>
      </w:r>
    </w:p>
    <w:p>
      <w:pPr>
        <w:ind w:left="1280"/>
        <w:spacing w:after="0"/>
        <w:rPr>
          <w:sz w:val="20"/>
          <w:szCs w:val="20"/>
          <w:color w:val="auto"/>
        </w:rPr>
      </w:pPr>
      <w:r>
        <w:rPr>
          <w:rFonts w:ascii="Arial" w:cs="Arial" w:eastAsia="Arial" w:hAnsi="Arial"/>
          <w:sz w:val="14"/>
          <w:szCs w:val="14"/>
          <w:color w:val="auto"/>
        </w:rPr>
        <w:t>Reconciliations of GAAP amounts with corresponding non-GAAP amounts are presented in table 2.</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w:t>
      </w:r>
    </w:p>
    <w:p>
      <w:pPr>
        <w:spacing w:after="0" w:line="252"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4"/>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Income statement data</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i w:val="1"/>
                <w:iCs w:val="1"/>
                <w:color w:val="auto"/>
              </w:rPr>
              <w:t>In thousands, except per share</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Net income</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Net income</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736,161</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379,891</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555,887</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assets(a)</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35,265</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39,006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40,504</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Merger-related gains(a)</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(16,730)</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(17,684)</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Merger-related expenses(a)</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469</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54,163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2,160</w:t>
            </w:r>
          </w:p>
        </w:tc>
      </w:tr>
      <w:tr>
        <w:trPr>
          <w:trHeight w:val="112"/>
        </w:trPr>
        <w:tc>
          <w:tcPr>
            <w:tcW w:w="7700" w:type="dxa"/>
            <w:vAlign w:val="bottom"/>
            <w:gridSpan w:val="2"/>
          </w:tcPr>
          <w:p>
            <w:pPr>
              <w:ind w:left="100"/>
              <w:spacing w:after="0" w:line="98" w:lineRule="exact"/>
              <w:rPr>
                <w:sz w:val="20"/>
                <w:szCs w:val="20"/>
                <w:color w:val="auto"/>
              </w:rPr>
            </w:pPr>
            <w:r>
              <w:rPr>
                <w:rFonts w:ascii="Arial" w:cs="Arial" w:eastAsia="Arial" w:hAnsi="Arial"/>
                <w:sz w:val="9"/>
                <w:szCs w:val="9"/>
                <w:color w:val="auto"/>
              </w:rPr>
              <w:t>Net operating income</w:t>
            </w: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755,165</w:t>
            </w: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455,376</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598,551</w:t>
            </w:r>
          </w:p>
        </w:tc>
        <w:tc>
          <w:tcPr>
            <w:tcW w:w="100" w:type="dxa"/>
            <w:vAlign w:val="bottom"/>
          </w:tcPr>
          <w:p>
            <w:pPr>
              <w:spacing w:after="0"/>
              <w:rPr>
                <w:sz w:val="9"/>
                <w:szCs w:val="9"/>
                <w:color w:val="auto"/>
              </w:rPr>
            </w:pPr>
          </w:p>
        </w:tc>
      </w:tr>
      <w:tr>
        <w:trPr>
          <w:trHeight w:val="103"/>
        </w:trPr>
        <w:tc>
          <w:tcPr>
            <w:tcW w:w="77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Earnings per common share</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Diluted earnings per common share</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5.69</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2.89</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5.01</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assets(a)</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.29</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.34</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Merger-related gains(a)</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(.14)</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(.15)</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Merger-related expenses(a)</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.02</w:t>
            </w:r>
          </w:p>
        </w:tc>
      </w:tr>
      <w:tr>
        <w:trPr>
          <w:trHeight w:val="112"/>
        </w:trPr>
        <w:tc>
          <w:tcPr>
            <w:tcW w:w="7700" w:type="dxa"/>
            <w:vAlign w:val="bottom"/>
            <w:gridSpan w:val="2"/>
          </w:tcPr>
          <w:p>
            <w:pPr>
              <w:ind w:left="100"/>
              <w:spacing w:after="0" w:line="98" w:lineRule="exact"/>
              <w:rPr>
                <w:sz w:val="20"/>
                <w:szCs w:val="20"/>
                <w:color w:val="auto"/>
              </w:rPr>
            </w:pPr>
            <w:r>
              <w:rPr>
                <w:rFonts w:ascii="Arial" w:cs="Arial" w:eastAsia="Arial" w:hAnsi="Arial"/>
                <w:sz w:val="9"/>
                <w:szCs w:val="9"/>
                <w:color w:val="auto"/>
              </w:rPr>
              <w:t>Diluted net operating earnings per common share</w:t>
            </w: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5.84</w:t>
            </w: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3.54</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5.39</w:t>
            </w:r>
          </w:p>
        </w:tc>
        <w:tc>
          <w:tcPr>
            <w:tcW w:w="100" w:type="dxa"/>
            <w:vAlign w:val="bottom"/>
          </w:tcPr>
          <w:p>
            <w:pPr>
              <w:spacing w:after="0"/>
              <w:rPr>
                <w:sz w:val="9"/>
                <w:szCs w:val="9"/>
                <w:color w:val="auto"/>
              </w:rPr>
            </w:pPr>
          </w:p>
        </w:tc>
      </w:tr>
      <w:tr>
        <w:trPr>
          <w:trHeight w:val="103"/>
        </w:trPr>
        <w:tc>
          <w:tcPr>
            <w:tcW w:w="77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Other expense</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Other expense</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1,914,837</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1,980,563</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1,726,996</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(58,103)</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(64,255)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(66,646)</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Merger-related expenses</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(771)</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(89,157)</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(3,547)</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Noninterest operating expense</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1,855,963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1,827,151</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1,656,803</w:t>
            </w:r>
          </w:p>
        </w:tc>
      </w:tr>
      <w:tr>
        <w:trPr>
          <w:trHeight w:val="108"/>
        </w:trPr>
        <w:tc>
          <w:tcPr>
            <w:tcW w:w="7700" w:type="dxa"/>
            <w:vAlign w:val="bottom"/>
            <w:gridSpan w:val="2"/>
          </w:tcPr>
          <w:p>
            <w:pPr>
              <w:spacing w:after="0"/>
              <w:rPr>
                <w:sz w:val="20"/>
                <w:szCs w:val="20"/>
                <w:color w:val="auto"/>
              </w:rPr>
            </w:pPr>
            <w:r>
              <w:rPr>
                <w:rFonts w:ascii="Arial" w:cs="Arial" w:eastAsia="Arial" w:hAnsi="Arial"/>
                <w:sz w:val="9"/>
                <w:szCs w:val="9"/>
                <w:b w:val="1"/>
                <w:bCs w:val="1"/>
                <w:color w:val="auto"/>
              </w:rPr>
              <w:t>Merger-related expenses</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Salaries and employee benefits</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10,030</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Equipment and net occupancy</w:t>
            </w:r>
          </w:p>
        </w:tc>
        <w:tc>
          <w:tcPr>
            <w:tcW w:w="120" w:type="dxa"/>
            <w:vAlign w:val="bottom"/>
          </w:tcPr>
          <w:p>
            <w:pPr>
              <w:spacing w:after="0"/>
              <w:rPr>
                <w:sz w:val="8"/>
                <w:szCs w:val="8"/>
                <w:color w:val="auto"/>
              </w:rPr>
            </w:pP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44</w:t>
            </w:r>
          </w:p>
        </w:tc>
        <w:tc>
          <w:tcPr>
            <w:tcW w:w="120" w:type="dxa"/>
            <w:vAlign w:val="bottom"/>
          </w:tcPr>
          <w:p>
            <w:pPr>
              <w:spacing w:after="0"/>
              <w:rPr>
                <w:sz w:val="8"/>
                <w:szCs w:val="8"/>
                <w:color w:val="auto"/>
              </w:rPr>
            </w:pP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2,975</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Printing, postage and supplies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74</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3,677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367</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Other costs of operations</w:t>
            </w:r>
          </w:p>
        </w:tc>
        <w:tc>
          <w:tcPr>
            <w:tcW w:w="12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646</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72,475</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3,069</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Total</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771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89,157</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3,547</w:t>
            </w:r>
          </w:p>
        </w:tc>
      </w:tr>
      <w:tr>
        <w:trPr>
          <w:trHeight w:val="108"/>
        </w:trPr>
        <w:tc>
          <w:tcPr>
            <w:tcW w:w="7700" w:type="dxa"/>
            <w:vAlign w:val="bottom"/>
            <w:gridSpan w:val="2"/>
          </w:tcPr>
          <w:p>
            <w:pPr>
              <w:spacing w:after="0"/>
              <w:rPr>
                <w:sz w:val="20"/>
                <w:szCs w:val="20"/>
                <w:color w:val="auto"/>
              </w:rPr>
            </w:pPr>
            <w:r>
              <w:rPr>
                <w:rFonts w:ascii="Arial" w:cs="Arial" w:eastAsia="Arial" w:hAnsi="Arial"/>
                <w:sz w:val="9"/>
                <w:szCs w:val="9"/>
                <w:b w:val="1"/>
                <w:bCs w:val="1"/>
                <w:color w:val="auto"/>
              </w:rPr>
              <w:t>Balance sheet data</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i w:val="1"/>
                <w:iCs w:val="1"/>
                <w:color w:val="auto"/>
              </w:rPr>
              <w:t>In millions</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b w:val="1"/>
                <w:bCs w:val="1"/>
                <w:color w:val="auto"/>
              </w:rPr>
              <w:t>Average assets</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Average assets</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68,380</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67,472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65,132</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Goodwill</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(3,393)</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(3,193)</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(153)</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(191)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(214)</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Deferred taxes</w:t>
            </w:r>
          </w:p>
        </w:tc>
        <w:tc>
          <w:tcPr>
            <w:tcW w:w="12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29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30</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assets</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64,731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63,921</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61,755</w:t>
            </w:r>
          </w:p>
        </w:tc>
      </w:tr>
      <w:tr>
        <w:trPr>
          <w:trHeight w:val="108"/>
        </w:trPr>
        <w:tc>
          <w:tcPr>
            <w:tcW w:w="7700" w:type="dxa"/>
            <w:vAlign w:val="bottom"/>
            <w:gridSpan w:val="2"/>
          </w:tcPr>
          <w:p>
            <w:pPr>
              <w:spacing w:after="0"/>
              <w:rPr>
                <w:sz w:val="20"/>
                <w:szCs w:val="20"/>
                <w:color w:val="auto"/>
              </w:rPr>
            </w:pPr>
            <w:r>
              <w:rPr>
                <w:rFonts w:ascii="Arial" w:cs="Arial" w:eastAsia="Arial" w:hAnsi="Arial"/>
                <w:sz w:val="9"/>
                <w:szCs w:val="9"/>
                <w:b w:val="1"/>
                <w:bCs w:val="1"/>
                <w:color w:val="auto"/>
              </w:rPr>
              <w:t>Average common equity</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Average total equity</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8,103</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7,282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6,437</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Preferred stock</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(736)</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(666)</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(14)</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Average common equity</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7,367</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6,616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6,423</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Goodwill</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(3,393)</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(3,193)</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(153)</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(191)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(214)</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Deferred taxes</w:t>
            </w:r>
          </w:p>
        </w:tc>
        <w:tc>
          <w:tcPr>
            <w:tcW w:w="12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29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30</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common equity</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3,718</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3,065</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3,046</w:t>
            </w:r>
          </w:p>
        </w:tc>
      </w:tr>
      <w:tr>
        <w:trPr>
          <w:trHeight w:val="108"/>
        </w:trPr>
        <w:tc>
          <w:tcPr>
            <w:tcW w:w="7700" w:type="dxa"/>
            <w:vAlign w:val="bottom"/>
            <w:gridSpan w:val="2"/>
          </w:tcPr>
          <w:p>
            <w:pPr>
              <w:spacing w:after="0"/>
              <w:rPr>
                <w:sz w:val="20"/>
                <w:szCs w:val="20"/>
                <w:color w:val="auto"/>
              </w:rPr>
            </w:pPr>
            <w:r>
              <w:rPr>
                <w:rFonts w:ascii="Arial" w:cs="Arial" w:eastAsia="Arial" w:hAnsi="Arial"/>
                <w:sz w:val="9"/>
                <w:szCs w:val="9"/>
                <w:b w:val="1"/>
                <w:bCs w:val="1"/>
                <w:color w:val="auto"/>
              </w:rPr>
              <w:t>At end of year</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b w:val="1"/>
                <w:bCs w:val="1"/>
                <w:color w:val="auto"/>
              </w:rPr>
              <w:t>Total assets</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Total assets</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68,021</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68,880</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65,816</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Goodwill</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(126)</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(183)</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Deferred taxes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w:t>
            </w:r>
          </w:p>
        </w:tc>
      </w:tr>
      <w:tr>
        <w:trPr>
          <w:trHeight w:val="112"/>
        </w:trPr>
        <w:tc>
          <w:tcPr>
            <w:tcW w:w="7700" w:type="dxa"/>
            <w:vAlign w:val="bottom"/>
            <w:gridSpan w:val="2"/>
          </w:tcPr>
          <w:p>
            <w:pPr>
              <w:ind w:left="100"/>
              <w:spacing w:after="0" w:line="98" w:lineRule="exact"/>
              <w:rPr>
                <w:sz w:val="20"/>
                <w:szCs w:val="20"/>
                <w:color w:val="auto"/>
              </w:rPr>
            </w:pPr>
            <w:r>
              <w:rPr>
                <w:rFonts w:ascii="Arial" w:cs="Arial" w:eastAsia="Arial" w:hAnsi="Arial"/>
                <w:sz w:val="9"/>
                <w:szCs w:val="9"/>
                <w:color w:val="auto"/>
              </w:rPr>
              <w:t>Total tangible assets</w:t>
            </w: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64,393</w:t>
            </w: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65,208</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62,464</w:t>
            </w:r>
          </w:p>
        </w:tc>
        <w:tc>
          <w:tcPr>
            <w:tcW w:w="100" w:type="dxa"/>
            <w:vAlign w:val="bottom"/>
          </w:tcPr>
          <w:p>
            <w:pPr>
              <w:spacing w:after="0"/>
              <w:rPr>
                <w:sz w:val="9"/>
                <w:szCs w:val="9"/>
                <w:color w:val="auto"/>
              </w:rPr>
            </w:pPr>
          </w:p>
        </w:tc>
      </w:tr>
      <w:tr>
        <w:trPr>
          <w:trHeight w:val="103"/>
        </w:trPr>
        <w:tc>
          <w:tcPr>
            <w:tcW w:w="77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Total common equity</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Total equity</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8,358</w:t>
            </w:r>
          </w:p>
        </w:tc>
        <w:tc>
          <w:tcPr>
            <w:tcW w:w="120" w:type="dxa"/>
            <w:vAlign w:val="bottom"/>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7,753</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6,785</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Preferred stock</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(741)</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(730)</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(568)</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Undeclared dividends — preferred stock</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Common equity, net of undeclared preferred dividends</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7,611</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7,017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6,217</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Goodwill</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tcPr>
          <w:p>
            <w:pPr>
              <w:spacing w:after="0"/>
              <w:rPr>
                <w:sz w:val="8"/>
                <w:szCs w:val="8"/>
                <w:color w:val="auto"/>
              </w:rPr>
            </w:pPr>
          </w:p>
        </w:tc>
        <w:tc>
          <w:tcPr>
            <w:tcW w:w="6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7700" w:type="dxa"/>
            <w:vAlign w:val="bottom"/>
            <w:gridSpan w:val="2"/>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(126)</w:t>
            </w: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r>
      <w:tr>
        <w:trPr>
          <w:trHeight w:val="98"/>
        </w:trPr>
        <w:tc>
          <w:tcPr>
            <w:tcW w:w="7700" w:type="dxa"/>
            <w:vAlign w:val="bottom"/>
            <w:gridSpan w:val="2"/>
          </w:tcPr>
          <w:p>
            <w:pPr>
              <w:spacing w:after="0" w:line="98" w:lineRule="exact"/>
              <w:rPr>
                <w:sz w:val="20"/>
                <w:szCs w:val="20"/>
                <w:color w:val="auto"/>
              </w:rPr>
            </w:pPr>
            <w:r>
              <w:rPr>
                <w:rFonts w:ascii="Arial" w:cs="Arial" w:eastAsia="Arial" w:hAnsi="Arial"/>
                <w:sz w:val="9"/>
                <w:szCs w:val="9"/>
                <w:color w:val="auto"/>
              </w:rPr>
              <w:t>Deferred taxes</w:t>
            </w:r>
          </w:p>
        </w:tc>
        <w:tc>
          <w:tcPr>
            <w:tcW w:w="12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9"/>
                <w:szCs w:val="9"/>
                <w:color w:val="auto"/>
              </w:rPr>
              <w:t>23</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23</w:t>
            </w:r>
          </w:p>
        </w:tc>
      </w:tr>
      <w:tr>
        <w:trPr>
          <w:trHeight w:val="20"/>
        </w:trPr>
        <w:tc>
          <w:tcPr>
            <w:tcW w:w="1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70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rPr>
              <w:t>Total tangible common equity</w:t>
            </w: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3,983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3,345</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2,865</w:t>
            </w:r>
          </w:p>
        </w:tc>
      </w:tr>
      <w:tr>
        <w:trPr>
          <w:trHeight w:val="108"/>
        </w:trPr>
        <w:tc>
          <w:tcPr>
            <w:tcW w:w="130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After any related tax effect.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Net Interest Income/Lending and Funding Activities</w:t>
      </w:r>
    </w:p>
    <w:p>
      <w:pPr>
        <w:spacing w:after="0" w:line="22" w:lineRule="exact"/>
        <w:rPr>
          <w:sz w:val="20"/>
          <w:szCs w:val="20"/>
          <w:color w:val="auto"/>
        </w:rPr>
      </w:pPr>
    </w:p>
    <w:p>
      <w:pPr>
        <w:ind w:left="680" w:right="100"/>
        <w:spacing w:after="0" w:line="249" w:lineRule="auto"/>
        <w:rPr>
          <w:sz w:val="20"/>
          <w:szCs w:val="20"/>
          <w:color w:val="auto"/>
        </w:rPr>
      </w:pPr>
      <w:r>
        <w:rPr>
          <w:rFonts w:ascii="Arial" w:cs="Arial" w:eastAsia="Arial" w:hAnsi="Arial"/>
          <w:sz w:val="14"/>
          <w:szCs w:val="14"/>
          <w:color w:val="auto"/>
        </w:rPr>
        <w:t>Reflecting a 35 basis point widening of the net interest margin, taxable-equivalent net interest income rose 10% to $2.29 billion in 2010 from $2.08 billion in 2009. The Company’s net interest margin increased to 3.84% in 2010 from 3.49% in 2009, predominantly the result of lower interest rates paid on deposits and borrowings. Average earning assets were $59.7 billion in 2010, compared with $59.6 billion in 2009. As compared with 2009, a slight increase in average outstanding balances of loans and leases was offset by a decline in average outstanding balances of investment securities.</w:t>
      </w:r>
    </w:p>
    <w:p>
      <w:pPr>
        <w:ind w:left="1280"/>
        <w:spacing w:after="0"/>
        <w:rPr>
          <w:sz w:val="20"/>
          <w:szCs w:val="20"/>
          <w:color w:val="auto"/>
        </w:rPr>
      </w:pPr>
      <w:r>
        <w:rPr>
          <w:rFonts w:ascii="Arial" w:cs="Arial" w:eastAsia="Arial" w:hAnsi="Arial"/>
          <w:sz w:val="13"/>
          <w:szCs w:val="13"/>
          <w:color w:val="auto"/>
        </w:rPr>
        <w:t>Average loans and leases were $51.3 billion in 2010, up 1% from $51.0 billion in 2009. The full-year impact of the loans obtained in the Provident and Bradford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acquisition transactions was offset by sluggish borrower demand for commercial loans. Average commercial loans and leases declined 6% to $13.1 billion in 2010 from</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$13.9 billion in 2009. Commercial real estate loans averaged $20.7 billion in 2010, up 3% from $20.1 billion in 2009. Average residential real estate loans increased 8%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$5.7 billion in 2010 from $5.3 billion in 2009, largely due to the impact of adopting the previously noted new accounting rules on January 1, 2010. The Company’s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 portfolio averaged $11.7 billion in each of 2010 and 2009.</w:t>
      </w:r>
    </w:p>
    <w:p>
      <w:pPr>
        <w:spacing w:after="0" w:line="6"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Net interest income expressed on a taxable-equivalent basis aggregated $2.08 billion in 2009, up 6% from $1.96 billion in 2008, the result of growth in average earning assets and a widening of the Company’s net interest margin. Average earning assets totaled $59.6 billion in 2009, up 3% from $58.0 billion in 2008. Growth in average loan and lease balances outstanding, which rose 4% to $51.0 billion in 2009 from $48.8 billion in 2008, was partially offset by a decline in average investment securities, which decreased 6% to $8.4 billion in 2009 from $9.0 billion in 2008. The growth in average loans in 2009 was predominantly the result of loans obtained in the Provident and Bradford transactions of $4.0 billion on May 23, 2009 and $302 million on August 28, 2009, respectively. In total, the acquired loans consisted of approximately $700 million of commercial loans, $1.8 billion of commercial real estate loans, $400 million of residential real estate loans and $1.4 billion of consumer loans. Including the impact of acquired loan balances, commercial loans and leases averaged $13.9 billion in 2009, up slightly from $13.8 billion in 2008; average commercial real estate loans increased 9% to $20.1 billion in 2009 from $18.4 billion in 2008; average residential real estate loans declined 3% to $5.3 billion in 2009 from $5.5 billion in 2008; and consumer loans averaged $11.7 billion in 2009, 5% higher than $11.2 billion in 2008. The improvement in the net interest margin, which widened 11 basis points to 3.49% in 2009 from 3.38% in 2008, was largely the result of lower interest rates paid on deposits and borrowings.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AVERAGE BALANCE SHEETS AND TAXABLE-EQUIVALENT RATES</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29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9"/>
              </w:rPr>
              <w:t>2010</w:t>
            </w: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2009</w:t>
            </w: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2008</w:t>
            </w: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2007</w:t>
            </w: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b w:val="1"/>
                <w:bCs w:val="1"/>
                <w:color w:val="auto"/>
                <w:w w:val="89"/>
              </w:rPr>
              <w:t>2006</w:t>
            </w: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69"/>
        </w:trPr>
        <w:tc>
          <w:tcPr>
            <w:tcW w:w="29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82"/>
              </w:rPr>
              <w:t>Average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50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50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80" w:type="dxa"/>
            <w:vAlign w:val="bottom"/>
          </w:tcPr>
          <w:p>
            <w:pPr>
              <w:spacing w:after="0"/>
              <w:rPr>
                <w:sz w:val="6"/>
                <w:szCs w:val="6"/>
                <w:color w:val="auto"/>
              </w:rPr>
            </w:pPr>
          </w:p>
        </w:tc>
        <w:tc>
          <w:tcPr>
            <w:tcW w:w="46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82"/>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480" w:type="dxa"/>
            <w:vAlign w:val="bottom"/>
            <w:gridSpan w:val="2"/>
          </w:tcPr>
          <w:p>
            <w:pPr>
              <w:jc w:val="right"/>
              <w:ind w:right="16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60" w:type="dxa"/>
            <w:vAlign w:val="bottom"/>
          </w:tcPr>
          <w:p>
            <w:pPr>
              <w:spacing w:after="0"/>
              <w:rPr>
                <w:sz w:val="6"/>
                <w:szCs w:val="6"/>
                <w:color w:val="auto"/>
              </w:rPr>
            </w:pPr>
          </w:p>
        </w:tc>
      </w:tr>
      <w:tr>
        <w:trPr>
          <w:trHeight w:val="98"/>
        </w:trPr>
        <w:tc>
          <w:tcPr>
            <w:tcW w:w="29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4"/>
              </w:rPr>
              <w:t>Balance</w:t>
            </w: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2"/>
              </w:rPr>
              <w:t>Interest</w:t>
            </w:r>
          </w:p>
        </w:tc>
        <w:tc>
          <w:tcPr>
            <w:tcW w:w="120" w:type="dxa"/>
            <w:vAlign w:val="bottom"/>
          </w:tcPr>
          <w:p>
            <w:pPr>
              <w:spacing w:after="0"/>
              <w:rPr>
                <w:sz w:val="8"/>
                <w:szCs w:val="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16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16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4"/>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6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1"/>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60" w:type="dxa"/>
            <w:vAlign w:val="bottom"/>
          </w:tcPr>
          <w:p>
            <w:pPr>
              <w:spacing w:after="0"/>
              <w:rPr>
                <w:sz w:val="8"/>
                <w:szCs w:val="8"/>
                <w:color w:val="auto"/>
              </w:rPr>
            </w:pPr>
          </w:p>
        </w:tc>
      </w:tr>
      <w:tr>
        <w:trPr>
          <w:trHeight w:val="90"/>
        </w:trPr>
        <w:tc>
          <w:tcPr>
            <w:tcW w:w="2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8"/>
          </w:tcPr>
          <w:p>
            <w:pPr>
              <w:jc w:val="right"/>
              <w:ind w:right="20"/>
              <w:spacing w:after="0" w:line="90" w:lineRule="exact"/>
              <w:rPr>
                <w:sz w:val="20"/>
                <w:szCs w:val="20"/>
                <w:color w:val="auto"/>
              </w:rPr>
            </w:pPr>
            <w:r>
              <w:rPr>
                <w:rFonts w:ascii="Arial" w:cs="Arial" w:eastAsia="Arial" w:hAnsi="Arial"/>
                <w:sz w:val="8"/>
                <w:szCs w:val="8"/>
                <w:b w:val="1"/>
                <w:bCs w:val="1"/>
                <w:color w:val="auto"/>
                <w:w w:val="94"/>
              </w:rPr>
              <w:t>(Average balance in millions; interest in thousands)</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8"/>
        </w:trPr>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Assets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Earning assets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Loans and leases, net of unearned discount(a)</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tcPr>
          <w:p>
            <w:pPr>
              <w:ind w:left="80"/>
              <w:spacing w:after="0" w:line="89" w:lineRule="exact"/>
              <w:rPr>
                <w:sz w:val="20"/>
                <w:szCs w:val="20"/>
                <w:color w:val="auto"/>
              </w:rPr>
            </w:pPr>
            <w:r>
              <w:rPr>
                <w:rFonts w:ascii="Arial" w:cs="Arial" w:eastAsia="Arial" w:hAnsi="Arial"/>
                <w:sz w:val="8"/>
                <w:szCs w:val="8"/>
                <w:color w:val="auto"/>
              </w:rPr>
              <w:t>Commercial, financial, etc.</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13,092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521,747</w:t>
            </w:r>
          </w:p>
        </w:tc>
        <w:tc>
          <w:tcPr>
            <w:tcW w:w="120" w:type="dxa"/>
            <w:vAlign w:val="bottom"/>
          </w:tcPr>
          <w:p>
            <w:pPr>
              <w:spacing w:after="0"/>
              <w:rPr>
                <w:sz w:val="7"/>
                <w:szCs w:val="7"/>
                <w:color w:val="auto"/>
              </w:rPr>
            </w:pPr>
          </w:p>
        </w:tc>
        <w:tc>
          <w:tcPr>
            <w:tcW w:w="4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3.99%</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13,855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524,609</w:t>
            </w:r>
          </w:p>
        </w:tc>
        <w:tc>
          <w:tcPr>
            <w:tcW w:w="42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3.79%</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13,802</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723,851</w:t>
            </w:r>
          </w:p>
        </w:tc>
        <w:tc>
          <w:tcPr>
            <w:tcW w:w="46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5.24%</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12,177</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871,743</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7.16%</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11,319</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802,451</w:t>
            </w:r>
          </w:p>
        </w:tc>
        <w:tc>
          <w:tcPr>
            <w:tcW w:w="340" w:type="dxa"/>
            <w:vAlign w:val="bottom"/>
            <w:gridSpan w:val="2"/>
          </w:tcPr>
          <w:p>
            <w:pPr>
              <w:jc w:val="right"/>
              <w:spacing w:after="0" w:line="89" w:lineRule="exact"/>
              <w:rPr>
                <w:sz w:val="20"/>
                <w:szCs w:val="20"/>
                <w:color w:val="auto"/>
              </w:rPr>
            </w:pPr>
            <w:r>
              <w:rPr>
                <w:rFonts w:ascii="Arial" w:cs="Arial" w:eastAsia="Arial" w:hAnsi="Arial"/>
                <w:sz w:val="8"/>
                <w:szCs w:val="8"/>
                <w:color w:val="auto"/>
              </w:rPr>
              <w:t>7.09%</w:t>
            </w: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Real estate — commercial</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20,714</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974,047</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4.70</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20,085</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894,691</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4.45</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18,428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1,072,178</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5.82</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15,748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1,157,156</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7.35</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15,096</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1,104,518</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7.32</w:t>
            </w:r>
          </w:p>
        </w:tc>
      </w:tr>
      <w:tr>
        <w:trPr>
          <w:trHeight w:val="88"/>
        </w:trPr>
        <w:tc>
          <w:tcPr>
            <w:tcW w:w="2940" w:type="dxa"/>
            <w:vAlign w:val="bottom"/>
          </w:tcPr>
          <w:p>
            <w:pPr>
              <w:ind w:left="80"/>
              <w:spacing w:after="0" w:line="89" w:lineRule="exact"/>
              <w:rPr>
                <w:sz w:val="20"/>
                <w:szCs w:val="20"/>
                <w:color w:val="auto"/>
              </w:rPr>
            </w:pPr>
            <w:r>
              <w:rPr>
                <w:rFonts w:ascii="Arial" w:cs="Arial" w:eastAsia="Arial" w:hAnsi="Arial"/>
                <w:sz w:val="8"/>
                <w:szCs w:val="8"/>
                <w:color w:val="auto"/>
              </w:rPr>
              <w:t>Real estate — consumer</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5,746</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303,262</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5.28</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5,297</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288,474</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5.45</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5,465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329,574</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6.03</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6,015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384,101</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6.39</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5,015</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319,858</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6.38</w:t>
            </w: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Consumer</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11,745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613,479</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5.22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11,722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636,074</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5.43</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11,150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716,678</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6.43</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10,190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757,876</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7.44</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10,003</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712,484</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7.12</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ind w:left="180"/>
              <w:spacing w:after="0" w:line="88" w:lineRule="exact"/>
              <w:rPr>
                <w:sz w:val="20"/>
                <w:szCs w:val="20"/>
                <w:color w:val="auto"/>
              </w:rPr>
            </w:pPr>
            <w:r>
              <w:rPr>
                <w:rFonts w:ascii="Arial" w:cs="Arial" w:eastAsia="Arial" w:hAnsi="Arial"/>
                <w:sz w:val="8"/>
                <w:szCs w:val="8"/>
                <w:color w:val="auto"/>
              </w:rPr>
              <w:t>Total loans and leases, net</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51,297</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w w:val="89"/>
              </w:rPr>
              <w:t>2,412,535</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4.70</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50,959</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2,343,848</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4.60</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48,845</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2,842,281</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5.82</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44,130</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3,170,876</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7.19</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41,433</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2,939,311</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7.09</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Interest-bearing deposits at banks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102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88</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.09</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50</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34</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.07</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10</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109</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1.07</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9</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300</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3.36</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12</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372</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3.01</w:t>
            </w: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Federal funds sold and agreements to resell securities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221</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446</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.20</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52</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129</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.25</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109</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2,071</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1.91</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432</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23,835</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5.52</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81</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5,597</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6.91</w:t>
            </w: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Trading account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94</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789</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.84</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87</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640</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.74</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79</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1,546</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1.95</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744</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1.20</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90</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2,446</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2.71</w:t>
            </w: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Investment securities(b)</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U.S. Treasury and federal agencies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4,483</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191,677</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4.28</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3,805</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182,163</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4.79</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3,740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181,098</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4.84</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2,274</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100,611</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4.42</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2,884</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121,669</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4.22</w:t>
            </w:r>
          </w:p>
        </w:tc>
      </w:tr>
      <w:tr>
        <w:trPr>
          <w:trHeight w:val="88"/>
        </w:trPr>
        <w:tc>
          <w:tcPr>
            <w:tcW w:w="2940" w:type="dxa"/>
            <w:vAlign w:val="bottom"/>
          </w:tcPr>
          <w:p>
            <w:pPr>
              <w:ind w:left="80"/>
              <w:spacing w:after="0" w:line="89" w:lineRule="exact"/>
              <w:rPr>
                <w:sz w:val="20"/>
                <w:szCs w:val="20"/>
                <w:color w:val="auto"/>
              </w:rPr>
            </w:pPr>
            <w:r>
              <w:rPr>
                <w:rFonts w:ascii="Arial" w:cs="Arial" w:eastAsia="Arial" w:hAnsi="Arial"/>
                <w:sz w:val="8"/>
                <w:szCs w:val="8"/>
                <w:color w:val="auto"/>
              </w:rPr>
              <w:t>Obligations of states and political subdivisions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266</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15,107</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5.67</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221</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13,143</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5.94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136</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9,243</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6.79</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119</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8,619</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7.23</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157</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10,223</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6.53</w:t>
            </w: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3,269</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133,176</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4.07</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4,377</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207,069</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4.73</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5,097</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263,104</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5.16</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4,925</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260,661</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5.29</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4,995</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254,142</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5.09</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ind w:left="180"/>
              <w:spacing w:after="0" w:line="88" w:lineRule="exact"/>
              <w:rPr>
                <w:sz w:val="20"/>
                <w:szCs w:val="20"/>
                <w:color w:val="auto"/>
              </w:rPr>
            </w:pPr>
            <w:r>
              <w:rPr>
                <w:rFonts w:ascii="Arial" w:cs="Arial" w:eastAsia="Arial" w:hAnsi="Arial"/>
                <w:sz w:val="8"/>
                <w:szCs w:val="8"/>
                <w:color w:val="auto"/>
              </w:rPr>
              <w:t>Total investment securities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8,018</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339,960</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4.24</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8,403</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402,375</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4.79</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8,973</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453,445</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5.05</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7,318</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369,891</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5.05</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8,036</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386,034</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4.80</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shd w:val="clear" w:color="auto" w:fill="CCEEFF"/>
          </w:tcPr>
          <w:p>
            <w:pPr>
              <w:ind w:left="180"/>
              <w:spacing w:after="0" w:line="88" w:lineRule="exact"/>
              <w:rPr>
                <w:sz w:val="20"/>
                <w:szCs w:val="20"/>
                <w:color w:val="auto"/>
              </w:rPr>
            </w:pPr>
            <w:r>
              <w:rPr>
                <w:rFonts w:ascii="Arial" w:cs="Arial" w:eastAsia="Arial" w:hAnsi="Arial"/>
                <w:sz w:val="8"/>
                <w:szCs w:val="8"/>
                <w:i w:val="1"/>
                <w:iCs w:val="1"/>
                <w:color w:val="auto"/>
              </w:rPr>
              <w:t>Total earning assets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59,732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w w:val="89"/>
              </w:rPr>
              <w:t>2,753,818</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4.61</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59,551</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2,747,026</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4.61</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58,016</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3,299,452</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5.69</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51,951</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3,565,646</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6.86</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49,652</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3,333,760</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6.71</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spacing w:after="0" w:line="88" w:lineRule="exact"/>
              <w:rPr>
                <w:sz w:val="20"/>
                <w:szCs w:val="20"/>
                <w:color w:val="auto"/>
              </w:rPr>
            </w:pPr>
            <w:r>
              <w:rPr>
                <w:rFonts w:ascii="Arial" w:cs="Arial" w:eastAsia="Arial" w:hAnsi="Arial"/>
                <w:sz w:val="8"/>
                <w:szCs w:val="8"/>
                <w:color w:val="auto"/>
              </w:rPr>
              <w:t>Allowance for credit losses</w:t>
            </w:r>
          </w:p>
        </w:tc>
        <w:tc>
          <w:tcPr>
            <w:tcW w:w="4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(906)</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(864)</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(791)</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(677)</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(646)</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Cash and due from banks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1,099</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1,121</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1,224</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1,271</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1,346</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Other assets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8,455</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7,664</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6,683</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6,000</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5,487</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940" w:type="dxa"/>
            <w:vAlign w:val="bottom"/>
            <w:shd w:val="clear" w:color="auto" w:fill="CCEEFF"/>
          </w:tcPr>
          <w:p>
            <w:pPr>
              <w:ind w:left="180"/>
              <w:spacing w:after="0" w:line="88" w:lineRule="exact"/>
              <w:rPr>
                <w:sz w:val="20"/>
                <w:szCs w:val="20"/>
                <w:color w:val="auto"/>
              </w:rPr>
            </w:pPr>
            <w:r>
              <w:rPr>
                <w:rFonts w:ascii="Arial" w:cs="Arial" w:eastAsia="Arial" w:hAnsi="Arial"/>
                <w:sz w:val="8"/>
                <w:szCs w:val="8"/>
                <w:color w:val="auto"/>
              </w:rPr>
              <w:t>Total assets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68,380</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67,472</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65,132</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58,545</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55,839</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8"/>
        </w:trPr>
        <w:tc>
          <w:tcPr>
            <w:tcW w:w="2940" w:type="dxa"/>
            <w:vAlign w:val="bottom"/>
          </w:tcPr>
          <w:p>
            <w:pPr>
              <w:spacing w:after="0"/>
              <w:rPr>
                <w:sz w:val="20"/>
                <w:szCs w:val="20"/>
                <w:color w:val="auto"/>
              </w:rPr>
            </w:pPr>
            <w:r>
              <w:rPr>
                <w:rFonts w:ascii="Arial" w:cs="Arial" w:eastAsia="Arial" w:hAnsi="Arial"/>
                <w:sz w:val="8"/>
                <w:szCs w:val="8"/>
                <w:b w:val="1"/>
                <w:bCs w:val="1"/>
                <w:color w:val="auto"/>
              </w:rPr>
              <w:t>Liabilities and Shareholders’ Equity</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Interest-bearing liabilities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Interest-bearing deposits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NOW accounts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601</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850</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543</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1,122</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502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2,894</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461</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4,638</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1.01</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435</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3,461</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.79</w:t>
            </w:r>
          </w:p>
        </w:tc>
      </w:tr>
      <w:tr>
        <w:trPr>
          <w:trHeight w:val="88"/>
        </w:trPr>
        <w:tc>
          <w:tcPr>
            <w:tcW w:w="2940" w:type="dxa"/>
            <w:vAlign w:val="bottom"/>
          </w:tcPr>
          <w:p>
            <w:pPr>
              <w:ind w:left="80"/>
              <w:spacing w:after="0" w:line="89" w:lineRule="exact"/>
              <w:rPr>
                <w:sz w:val="20"/>
                <w:szCs w:val="20"/>
                <w:color w:val="auto"/>
              </w:rPr>
            </w:pPr>
            <w:r>
              <w:rPr>
                <w:rFonts w:ascii="Arial" w:cs="Arial" w:eastAsia="Arial" w:hAnsi="Arial"/>
                <w:sz w:val="8"/>
                <w:szCs w:val="8"/>
                <w:color w:val="auto"/>
              </w:rPr>
              <w:t>Savings deposits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26,190</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85,226</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.33</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22,832</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112,550</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.49</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18,170</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248,083</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14,985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250,313</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1.67</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14,401</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201,543</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1.40</w:t>
            </w:r>
          </w:p>
        </w:tc>
      </w:tr>
      <w:tr>
        <w:trPr>
          <w:trHeight w:val="88"/>
        </w:trPr>
        <w:tc>
          <w:tcPr>
            <w:tcW w:w="29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Time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6,583</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100,241</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8,782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206,220</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2.35</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9,583</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330,389</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3.45</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10,597</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496,378</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4.68</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12,420</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551,514</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4.44</w:t>
            </w:r>
          </w:p>
        </w:tc>
      </w:tr>
      <w:tr>
        <w:trPr>
          <w:trHeight w:val="88"/>
        </w:trPr>
        <w:tc>
          <w:tcPr>
            <w:tcW w:w="2940" w:type="dxa"/>
            <w:vAlign w:val="bottom"/>
          </w:tcPr>
          <w:p>
            <w:pPr>
              <w:ind w:left="80"/>
              <w:spacing w:after="0" w:line="89" w:lineRule="exact"/>
              <w:rPr>
                <w:sz w:val="20"/>
                <w:szCs w:val="20"/>
                <w:color w:val="auto"/>
              </w:rPr>
            </w:pPr>
            <w:r>
              <w:rPr>
                <w:rFonts w:ascii="Arial" w:cs="Arial" w:eastAsia="Arial" w:hAnsi="Arial"/>
                <w:sz w:val="8"/>
                <w:szCs w:val="8"/>
                <w:color w:val="auto"/>
              </w:rPr>
              <w:t>Deposits at Cayman Islands office</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953</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1,368</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1,665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2,391</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3,986</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84,483</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2.12</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4,185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207,990</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4.97</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3,610</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178,348</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4.94</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shd w:val="clear" w:color="auto" w:fill="CCEEFF"/>
          </w:tcPr>
          <w:p>
            <w:pPr>
              <w:ind w:left="180"/>
              <w:spacing w:after="0" w:line="88" w:lineRule="exact"/>
              <w:rPr>
                <w:sz w:val="20"/>
                <w:szCs w:val="20"/>
                <w:color w:val="auto"/>
              </w:rPr>
            </w:pPr>
            <w:r>
              <w:rPr>
                <w:rFonts w:ascii="Arial" w:cs="Arial" w:eastAsia="Arial" w:hAnsi="Arial"/>
                <w:sz w:val="8"/>
                <w:szCs w:val="8"/>
                <w:color w:val="auto"/>
              </w:rPr>
              <w:t>Total interest-bearing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34,327</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187,685</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.55</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33,822</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322,283</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.95</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32,241</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665,849</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2.07</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30,228</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959,319</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3.17</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30,866</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934,866</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3.03</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spacing w:after="0" w:line="88" w:lineRule="exact"/>
              <w:rPr>
                <w:sz w:val="20"/>
                <w:szCs w:val="20"/>
                <w:color w:val="auto"/>
              </w:rPr>
            </w:pPr>
            <w:r>
              <w:rPr>
                <w:rFonts w:ascii="Arial" w:cs="Arial" w:eastAsia="Arial" w:hAnsi="Arial"/>
                <w:sz w:val="8"/>
                <w:szCs w:val="8"/>
                <w:color w:val="auto"/>
              </w:rPr>
              <w:t>Short-term borrowings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1,854</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3,006</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.16</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2,911</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7,129</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.24</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6,086</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142,627</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2.34</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5,386</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274,079</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5.09</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4,530</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227,850</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5.03</w:t>
            </w: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Long-term borrowings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9,169</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271,578</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2.96</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11,092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340,037</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3.07</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11,605</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529,319</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4.56</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8,428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461,178</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5.47</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6,013</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333,836</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5.55</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ind w:left="180"/>
              <w:spacing w:after="0" w:line="88" w:lineRule="exact"/>
              <w:rPr>
                <w:sz w:val="20"/>
                <w:szCs w:val="20"/>
                <w:color w:val="auto"/>
              </w:rPr>
            </w:pPr>
            <w:r>
              <w:rPr>
                <w:rFonts w:ascii="Arial" w:cs="Arial" w:eastAsia="Arial" w:hAnsi="Arial"/>
                <w:sz w:val="8"/>
                <w:szCs w:val="8"/>
                <w:i w:val="1"/>
                <w:iCs w:val="1"/>
                <w:color w:val="auto"/>
              </w:rPr>
              <w:t>Total interest-bearing liabilities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45,350</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462,269</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1.02</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47,825</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669,449</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1.40</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49,932</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1,337,795</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2.68</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44,042</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1,694,576</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3.85</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41,409</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1,496,552</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3.61</w:t>
            </w: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shd w:val="clear" w:color="auto" w:fill="CCEEFF"/>
          </w:tcPr>
          <w:p>
            <w:pPr>
              <w:spacing w:after="0" w:line="88" w:lineRule="exact"/>
              <w:rPr>
                <w:sz w:val="20"/>
                <w:szCs w:val="20"/>
                <w:color w:val="auto"/>
              </w:rPr>
            </w:pPr>
            <w:r>
              <w:rPr>
                <w:rFonts w:ascii="Arial" w:cs="Arial" w:eastAsia="Arial" w:hAnsi="Arial"/>
                <w:sz w:val="8"/>
                <w:szCs w:val="8"/>
                <w:color w:val="auto"/>
              </w:rPr>
              <w:t>Noninterest-bearing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13,709</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11,054</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7,674</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7,400</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7,555</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tcPr>
          <w:p>
            <w:pPr>
              <w:spacing w:after="0" w:line="89" w:lineRule="exact"/>
              <w:rPr>
                <w:sz w:val="20"/>
                <w:szCs w:val="20"/>
                <w:color w:val="auto"/>
              </w:rPr>
            </w:pPr>
            <w:r>
              <w:rPr>
                <w:rFonts w:ascii="Arial" w:cs="Arial" w:eastAsia="Arial" w:hAnsi="Arial"/>
                <w:sz w:val="8"/>
                <w:szCs w:val="8"/>
                <w:color w:val="auto"/>
              </w:rPr>
              <w:t>Other liabilities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1,218</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1,311</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1,089</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856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834</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Total liabilities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60,277</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60,190</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58,695</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52,298</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49,798</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spacing w:after="0" w:line="88" w:lineRule="exact"/>
              <w:rPr>
                <w:sz w:val="20"/>
                <w:szCs w:val="20"/>
                <w:color w:val="auto"/>
              </w:rPr>
            </w:pPr>
            <w:r>
              <w:rPr>
                <w:rFonts w:ascii="Arial" w:cs="Arial" w:eastAsia="Arial" w:hAnsi="Arial"/>
                <w:sz w:val="8"/>
                <w:szCs w:val="8"/>
                <w:color w:val="auto"/>
              </w:rPr>
              <w:t>Shareholders’ equity</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8,103</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7,282</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6,437</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6,247</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6,041</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2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94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Total liabilities and shareholders’ equity</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68,380</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67,472</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65,132</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58,545</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55,839</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8"/>
        </w:trPr>
        <w:tc>
          <w:tcPr>
            <w:tcW w:w="2940" w:type="dxa"/>
            <w:vAlign w:val="bottom"/>
          </w:tcPr>
          <w:p>
            <w:pPr>
              <w:spacing w:after="0"/>
              <w:rPr>
                <w:sz w:val="20"/>
                <w:szCs w:val="20"/>
                <w:color w:val="auto"/>
              </w:rPr>
            </w:pPr>
            <w:r>
              <w:rPr>
                <w:rFonts w:ascii="Arial" w:cs="Arial" w:eastAsia="Arial" w:hAnsi="Arial"/>
                <w:sz w:val="8"/>
                <w:szCs w:val="8"/>
                <w:color w:val="auto"/>
              </w:rPr>
              <w:t>Net interest spread</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8"/>
                <w:szCs w:val="8"/>
                <w:color w:val="auto"/>
              </w:rPr>
              <w:t>3.59</w:t>
            </w: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3.21</w:t>
            </w: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3.01</w:t>
            </w: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8"/>
                <w:szCs w:val="8"/>
                <w:color w:val="auto"/>
              </w:rPr>
              <w:t>3.01</w:t>
            </w:r>
          </w:p>
        </w:tc>
        <w:tc>
          <w:tcPr>
            <w:tcW w:w="3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8"/>
                <w:szCs w:val="8"/>
                <w:color w:val="auto"/>
              </w:rPr>
              <w:t>3.10</w:t>
            </w:r>
          </w:p>
        </w:tc>
      </w:tr>
      <w:tr>
        <w:trPr>
          <w:trHeight w:val="88"/>
        </w:trPr>
        <w:tc>
          <w:tcPr>
            <w:tcW w:w="29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Contribution of interest-free funds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.25</w:t>
            </w: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w:t>
            </w: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.37</w:t>
            </w: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.59</w:t>
            </w: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.60</w:t>
            </w:r>
          </w:p>
        </w:tc>
      </w:tr>
      <w:tr>
        <w:trPr>
          <w:trHeight w:val="20"/>
        </w:trPr>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tcPr>
          <w:p>
            <w:pPr>
              <w:spacing w:after="0" w:line="88" w:lineRule="exact"/>
              <w:rPr>
                <w:sz w:val="20"/>
                <w:szCs w:val="20"/>
                <w:color w:val="auto"/>
              </w:rPr>
            </w:pPr>
            <w:r>
              <w:rPr>
                <w:rFonts w:ascii="Arial" w:cs="Arial" w:eastAsia="Arial" w:hAnsi="Arial"/>
                <w:sz w:val="8"/>
                <w:szCs w:val="8"/>
                <w:color w:val="auto"/>
              </w:rPr>
              <w:t>Net interest income/margin on earning assets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w w:val="89"/>
              </w:rPr>
              <w:t>2,291,549</w:t>
            </w:r>
          </w:p>
        </w:tc>
        <w:tc>
          <w:tcPr>
            <w:tcW w:w="120" w:type="dxa"/>
            <w:vAlign w:val="bottom"/>
          </w:tcPr>
          <w:p>
            <w:pPr>
              <w:spacing w:after="0"/>
              <w:rPr>
                <w:sz w:val="7"/>
                <w:szCs w:val="7"/>
                <w:color w:val="auto"/>
              </w:rPr>
            </w:pPr>
          </w:p>
        </w:tc>
        <w:tc>
          <w:tcPr>
            <w:tcW w:w="44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3.84%</w:t>
            </w: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2,077,577</w:t>
            </w:r>
          </w:p>
        </w:tc>
        <w:tc>
          <w:tcPr>
            <w:tcW w:w="42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3.49%</w:t>
            </w: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1,961,657</w:t>
            </w: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3.38%</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1,871,070</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3.60%</w:t>
            </w: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1,837,208</w:t>
            </w:r>
          </w:p>
        </w:tc>
        <w:tc>
          <w:tcPr>
            <w:tcW w:w="340" w:type="dxa"/>
            <w:vAlign w:val="bottom"/>
            <w:gridSpan w:val="2"/>
          </w:tcPr>
          <w:p>
            <w:pPr>
              <w:jc w:val="right"/>
              <w:spacing w:after="0" w:line="88" w:lineRule="exact"/>
              <w:rPr>
                <w:sz w:val="20"/>
                <w:szCs w:val="20"/>
                <w:color w:val="auto"/>
              </w:rPr>
            </w:pPr>
            <w:r>
              <w:rPr>
                <w:rFonts w:ascii="Arial" w:cs="Arial" w:eastAsia="Arial" w:hAnsi="Arial"/>
                <w:sz w:val="8"/>
                <w:szCs w:val="8"/>
                <w:color w:val="auto"/>
              </w:rPr>
              <w:t>3.70%</w:t>
            </w:r>
          </w:p>
        </w:tc>
      </w:tr>
      <w:tr>
        <w:trPr>
          <w:trHeight w:val="29"/>
        </w:trPr>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6" w:lineRule="exact"/>
        <w:rPr>
          <w:sz w:val="20"/>
          <w:szCs w:val="20"/>
          <w:color w:val="auto"/>
        </w:rPr>
      </w:pPr>
    </w:p>
    <w:p>
      <w:pPr>
        <w:ind w:left="900" w:hanging="212"/>
        <w:spacing w:after="0"/>
        <w:tabs>
          <w:tab w:leader="none" w:pos="900" w:val="left"/>
        </w:tabs>
        <w:numPr>
          <w:ilvl w:val="0"/>
          <w:numId w:val="21"/>
        </w:numPr>
        <w:rPr>
          <w:rFonts w:ascii="Arial" w:cs="Arial" w:eastAsia="Arial" w:hAnsi="Arial"/>
          <w:sz w:val="9"/>
          <w:szCs w:val="9"/>
          <w:i w:val="1"/>
          <w:iCs w:val="1"/>
          <w:color w:val="auto"/>
        </w:rPr>
      </w:pPr>
      <w:r>
        <w:rPr>
          <w:rFonts w:ascii="Arial" w:cs="Arial" w:eastAsia="Arial" w:hAnsi="Arial"/>
          <w:sz w:val="9"/>
          <w:szCs w:val="9"/>
          <w:i w:val="1"/>
          <w:iCs w:val="1"/>
          <w:color w:val="auto"/>
        </w:rPr>
        <w:t>Includes nonaccrual loans.</w:t>
      </w:r>
    </w:p>
    <w:p>
      <w:pPr>
        <w:spacing w:after="0" w:line="34" w:lineRule="exact"/>
        <w:rPr>
          <w:rFonts w:ascii="Arial" w:cs="Arial" w:eastAsia="Arial" w:hAnsi="Arial"/>
          <w:sz w:val="9"/>
          <w:szCs w:val="9"/>
          <w:i w:val="1"/>
          <w:iCs w:val="1"/>
          <w:color w:val="auto"/>
        </w:rPr>
      </w:pPr>
    </w:p>
    <w:p>
      <w:pPr>
        <w:ind w:left="900" w:hanging="213"/>
        <w:spacing w:after="0"/>
        <w:tabs>
          <w:tab w:leader="none" w:pos="900" w:val="left"/>
        </w:tabs>
        <w:numPr>
          <w:ilvl w:val="0"/>
          <w:numId w:val="21"/>
        </w:numPr>
        <w:rPr>
          <w:rFonts w:ascii="Arial" w:cs="Arial" w:eastAsia="Arial" w:hAnsi="Arial"/>
          <w:sz w:val="9"/>
          <w:szCs w:val="9"/>
          <w:i w:val="1"/>
          <w:iCs w:val="1"/>
          <w:color w:val="auto"/>
        </w:rPr>
      </w:pPr>
      <w:r>
        <w:rPr>
          <w:rFonts w:ascii="Arial" w:cs="Arial" w:eastAsia="Arial" w:hAnsi="Arial"/>
          <w:sz w:val="9"/>
          <w:szCs w:val="9"/>
          <w:i w:val="1"/>
          <w:iCs w:val="1"/>
          <w:color w:val="auto"/>
        </w:rPr>
        <w:t>Includes available-for-sale investment securities at amortized cost.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Table 4 summarizes average loans and leases outstanding in 2010 and percentage changes in the major components of the portfolio over the past two years.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AVERAGE LOANS AND LEASES</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(Net of unearned discount)</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6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Percent Increase</w:t>
            </w:r>
          </w:p>
        </w:tc>
        <w:tc>
          <w:tcPr>
            <w:tcW w:w="0" w:type="dxa"/>
            <w:vAlign w:val="bottom"/>
          </w:tcPr>
          <w:p>
            <w:pPr>
              <w:spacing w:after="0"/>
              <w:rPr>
                <w:sz w:val="1"/>
                <w:szCs w:val="1"/>
                <w:color w:val="auto"/>
              </w:rPr>
            </w:pPr>
          </w:p>
        </w:tc>
      </w:tr>
      <w:tr>
        <w:trPr>
          <w:trHeight w:val="125"/>
        </w:trPr>
        <w:tc>
          <w:tcPr>
            <w:tcW w:w="6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21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216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8"/>
        </w:trPr>
        <w:tc>
          <w:tcPr>
            <w:tcW w:w="6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Borders>
              <w:top w:val="single" w:sz="8" w:color="auto"/>
            </w:tcBorders>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2009 to 2010</w:t>
            </w:r>
          </w:p>
        </w:tc>
        <w:tc>
          <w:tcPr>
            <w:tcW w:w="8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rPr>
              <w:t>2008 to 2009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Commercial, financial, etc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13,092</w:t>
            </w:r>
          </w:p>
        </w:tc>
        <w:tc>
          <w:tcPr>
            <w:tcW w:w="400" w:type="dxa"/>
            <w:vAlign w:val="bottom"/>
            <w:tcBorders>
              <w:left w:val="single" w:sz="8" w:color="CCEEFF"/>
            </w:tcBorders>
            <w:shd w:val="clear" w:color="auto" w:fill="CCEEFF"/>
          </w:tcPr>
          <w:p>
            <w:pPr>
              <w:spacing w:after="0"/>
              <w:rPr>
                <w:sz w:val="14"/>
                <w:szCs w:val="14"/>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Real estate — commercial</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20,714</w:t>
            </w:r>
          </w:p>
        </w:tc>
        <w:tc>
          <w:tcPr>
            <w:tcW w:w="40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3"/>
                <w:szCs w:val="13"/>
                <w:color w:val="auto"/>
              </w:rPr>
              <w:t>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Real estate — consumer</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w:t>
            </w:r>
          </w:p>
        </w:tc>
        <w:tc>
          <w:tcPr>
            <w:tcW w:w="400" w:type="dxa"/>
            <w:vAlign w:val="bottom"/>
            <w:tcBorders>
              <w:left w:val="single" w:sz="8" w:color="CCEEFF"/>
            </w:tcBorders>
            <w:shd w:val="clear" w:color="auto" w:fill="CCEEFF"/>
          </w:tcPr>
          <w:p>
            <w:pPr>
              <w:spacing w:after="0"/>
              <w:rPr>
                <w:sz w:val="13"/>
                <w:szCs w:val="13"/>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Consumer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Automobile</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2,801</w:t>
            </w:r>
          </w:p>
        </w:tc>
        <w:tc>
          <w:tcPr>
            <w:tcW w:w="400" w:type="dxa"/>
            <w:vAlign w:val="bottom"/>
            <w:tcBorders>
              <w:left w:val="single" w:sz="8" w:color="CCEEFF"/>
            </w:tcBorders>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640" w:type="dxa"/>
            <w:vAlign w:val="bottom"/>
          </w:tcPr>
          <w:p>
            <w:pPr>
              <w:ind w:left="140"/>
              <w:spacing w:after="0"/>
              <w:rPr>
                <w:sz w:val="20"/>
                <w:szCs w:val="20"/>
                <w:color w:val="auto"/>
              </w:rPr>
            </w:pPr>
            <w:r>
              <w:rPr>
                <w:rFonts w:ascii="Arial" w:cs="Arial" w:eastAsia="Arial" w:hAnsi="Arial"/>
                <w:sz w:val="13"/>
                <w:szCs w:val="13"/>
                <w:color w:val="auto"/>
              </w:rPr>
              <w:t>Home equity lines</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5,845</w:t>
            </w:r>
          </w:p>
        </w:tc>
        <w:tc>
          <w:tcPr>
            <w:tcW w:w="40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3"/>
                <w:szCs w:val="13"/>
                <w:color w:val="auto"/>
              </w:rPr>
              <w:t>8</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Home equity loans</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w:t>
            </w:r>
          </w:p>
        </w:tc>
        <w:tc>
          <w:tcPr>
            <w:tcW w:w="400" w:type="dxa"/>
            <w:vAlign w:val="bottom"/>
            <w:tcBorders>
              <w:left w:val="single" w:sz="8" w:color="CCEEFF"/>
            </w:tcBorders>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664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2,228</w:t>
            </w: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4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consumer</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11,745</w:t>
            </w:r>
          </w:p>
        </w:tc>
        <w:tc>
          <w:tcPr>
            <w:tcW w:w="40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51,297</w:t>
            </w:r>
          </w:p>
        </w:tc>
        <w:tc>
          <w:tcPr>
            <w:tcW w:w="40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30"/>
        </w:trPr>
        <w:tc>
          <w:tcPr>
            <w:tcW w:w="6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0" w:firstLine="599"/>
        <w:spacing w:after="0" w:line="277" w:lineRule="auto"/>
        <w:rPr>
          <w:sz w:val="20"/>
          <w:szCs w:val="20"/>
          <w:color w:val="auto"/>
        </w:rPr>
      </w:pPr>
      <w:r>
        <w:rPr>
          <w:rFonts w:ascii="Arial" w:cs="Arial" w:eastAsia="Arial" w:hAnsi="Arial"/>
          <w:sz w:val="13"/>
          <w:szCs w:val="13"/>
          <w:color w:val="auto"/>
        </w:rPr>
        <w:t>Commercial loans and leases, excluding loans secured by real estate, aggregated $13.4 billion at December 31, 2010, representing 26% of total loans and leases. Table 5 presents information on commercial loans and leases as of December 31, 2010 relating to geographic area, size, borrower industry and whether the loans are secured by collateral or unsecured. Of the $13.4 billion of commercial loans and leases outstanding at the end of 2010, approximately $11.4 billion, or 85%, were secured, while 46%, 24% and 18%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2010 aggregated $1.4 billion, of which 44% were secured by collateral located in New York State, 16% were secured by collateral in the Mid-Atlantic area and another 10% were secured by collateral in Pennsylvania.</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COMMERCIAL LOANS AND LEASES, NET OF UNEARNED DISCOUNT</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i w:val="1"/>
          <w:iCs w:val="1"/>
          <w:color w:val="auto"/>
        </w:rPr>
        <w:t>(Excludes Loans Secured by Real Estate)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2010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New York</w:t>
            </w: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Pennsylvania</w:t>
            </w: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Mid-Atlantic</w:t>
            </w: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b w:val="1"/>
                <w:bCs w:val="1"/>
                <w:color w:val="auto"/>
              </w:rPr>
              <w:t>Total</w:t>
            </w:r>
          </w:p>
        </w:tc>
        <w:tc>
          <w:tcPr>
            <w:tcW w:w="420" w:type="dxa"/>
            <w:vAlign w:val="bottom"/>
          </w:tcPr>
          <w:p>
            <w:pPr>
              <w:spacing w:after="0"/>
              <w:rPr>
                <w:sz w:val="9"/>
                <w:szCs w:val="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Percent of Total</w:t>
            </w: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5"/>
          </w:tcPr>
          <w:p>
            <w:pPr>
              <w:jc w:val="right"/>
              <w:ind w:right="660"/>
              <w:spacing w:after="0"/>
              <w:rPr>
                <w:sz w:val="20"/>
                <w:szCs w:val="20"/>
                <w:color w:val="auto"/>
              </w:rPr>
            </w:pPr>
            <w:r>
              <w:rPr>
                <w:rFonts w:ascii="Arial" w:cs="Arial" w:eastAsia="Arial" w:hAnsi="Arial"/>
                <w:sz w:val="9"/>
                <w:szCs w:val="9"/>
                <w:b w:val="1"/>
                <w:bCs w:val="1"/>
                <w:color w:val="auto"/>
              </w:rPr>
              <w:t>(Dollars in millions)</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Manufacturing</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Services</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817</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1,988</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Automobile dealerships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1,794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Wholesale</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271</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1,318</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Real estate investors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967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Transportation, communications, utilities</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248</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825</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Public administration</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Financial and insurance</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691</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Health services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685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Construction</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263</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618</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Agriculture, forestry, fishing, mining, etc.</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180</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160" w:type="dxa"/>
            <w:vAlign w:val="bottom"/>
            <w:gridSpan w:val="3"/>
            <w:vMerge w:val="continue"/>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6,192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3,250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2,363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1,586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w w:val="95"/>
              </w:rPr>
              <w:t>13,391</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Percent of total</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158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90"/>
              </w:rPr>
              <w:t>Percent of dollars outstanding</w:t>
            </w:r>
          </w:p>
        </w:tc>
        <w:tc>
          <w:tcPr>
            <w:tcW w:w="258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Secured</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75%</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Unsecured</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15</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23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Percent of dollars outstanding by size of loan</w:t>
            </w:r>
          </w:p>
        </w:tc>
        <w:tc>
          <w:tcPr>
            <w:tcW w:w="1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Less than $1 million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27%</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 million to $5 million</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$5 million to $10 million</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17</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$10 million to $20 million</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$20 million to $30 million</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$30 million to $50 million</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gridSpan w:val="3"/>
          </w:tcPr>
          <w:p>
            <w:pPr>
              <w:spacing w:after="0"/>
              <w:rPr>
                <w:sz w:val="20"/>
                <w:szCs w:val="20"/>
                <w:color w:val="auto"/>
              </w:rPr>
            </w:pPr>
            <w:r>
              <w:rPr>
                <w:rFonts w:ascii="Arial" w:cs="Arial" w:eastAsia="Arial" w:hAnsi="Arial"/>
                <w:sz w:val="13"/>
                <w:szCs w:val="13"/>
                <w:color w:val="auto"/>
              </w:rPr>
              <w:t>$50 million to $70 million</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2</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3"/>
          </w:tcPr>
          <w:p>
            <w:pPr>
              <w:jc w:val="right"/>
              <w:ind w:right="80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94" w:lineRule="auto"/>
        <w:rPr>
          <w:sz w:val="20"/>
          <w:szCs w:val="20"/>
          <w:color w:val="auto"/>
        </w:rPr>
      </w:pPr>
      <w:r>
        <w:rPr>
          <w:rFonts w:ascii="Arial" w:cs="Arial" w:eastAsia="Arial" w:hAnsi="Arial"/>
          <w:sz w:val="12"/>
          <w:szCs w:val="12"/>
          <w:color w:val="auto"/>
        </w:rPr>
        <w:t>International loans included in commercial loans and leases totaled $105 million and $55 million at December 31, 2010 and 2009, respectively. The increase in such loans was due to $61 million of loans at M&amp;T Bank’s commercial branch in Ontario, Canada, which opened in the second quarter of 2010. The Company participates in the insurance and guarantee programs of the Export-Import Bank of the United States. These programs provide U.S. government repayment coverage of 90% to 100% on loans supporting foreign borrowers’ purchases of U.S. goods and services and coverage of 90% on loans to U.S. exporters of goods and services to foreign buyers. The loans generally range up to $10 million. The outstanding balances of loans under those programs at December 31, 2010 and 2009 were $32 million and $43 million, respectively.</w:t>
      </w:r>
    </w:p>
    <w:p>
      <w:pPr>
        <w:spacing w:after="0" w:line="2" w:lineRule="exact"/>
        <w:rPr>
          <w:sz w:val="20"/>
          <w:szCs w:val="20"/>
          <w:color w:val="auto"/>
        </w:rPr>
      </w:pPr>
    </w:p>
    <w:p>
      <w:pPr>
        <w:ind w:left="680" w:right="420" w:firstLine="599"/>
        <w:spacing w:after="0" w:line="268" w:lineRule="auto"/>
        <w:rPr>
          <w:sz w:val="20"/>
          <w:szCs w:val="20"/>
          <w:color w:val="auto"/>
        </w:rPr>
      </w:pPr>
      <w:r>
        <w:rPr>
          <w:rFonts w:ascii="Arial" w:cs="Arial" w:eastAsia="Arial" w:hAnsi="Arial"/>
          <w:sz w:val="13"/>
          <w:szCs w:val="13"/>
          <w:color w:val="auto"/>
        </w:rPr>
        <w:t>Loans secured by real estate, including outstanding balances of home equity loans and lines of credit which the Company classifies as consumer loans, represented approximately 65% of the loan and lease portfolio during 2010, compared with 62% in 2009 and 60% in 2008. At December 31, 2010, the Company held approximately $21.2 billion of commercial real estate loans, $5.9 billion of consumer real estate loans secured by one-to-four family residential properties (including $341 million of loans held for sale) and $6.6 billion of outstanding balances of home equity loans and lines of credit, compared with $20.9 billion, $5.5 billion and</w:t>
      </w:r>
    </w:p>
    <w:p>
      <w:pPr>
        <w:spacing w:after="0" w:line="1"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$6.8 billion, respectively, at December 31, 2009. Loans obtained in the 2009 Provident and Bradford acquisition transactions included $1.8 billion of commercial real estate loans, $400 million of consumer real estate loans secured by one-to-four family residential properties and $1.1 billion of outstanding home equity loans and lines of credit. Included in total loans and leases were amounts due from builders and developers of residential real estate aggregating $1.4 billion and $1.7 billion at December 31, 2010 and 2009, respectively, of which $1.35 billion and $1.6 billion, respectively, were classified as commercial real estate loans.</w:t>
      </w:r>
    </w:p>
    <w:p>
      <w:pPr>
        <w:spacing w:after="0" w:line="1" w:lineRule="exact"/>
        <w:rPr>
          <w:sz w:val="20"/>
          <w:szCs w:val="20"/>
          <w:color w:val="auto"/>
        </w:rPr>
      </w:pPr>
    </w:p>
    <w:p>
      <w:pPr>
        <w:ind w:left="680" w:firstLine="599"/>
        <w:spacing w:after="0" w:line="250" w:lineRule="auto"/>
        <w:rPr>
          <w:sz w:val="20"/>
          <w:szCs w:val="20"/>
          <w:color w:val="auto"/>
        </w:rPr>
      </w:pPr>
      <w:r>
        <w:rPr>
          <w:rFonts w:ascii="Arial" w:cs="Arial" w:eastAsia="Arial" w:hAnsi="Arial"/>
          <w:sz w:val="14"/>
          <w:szCs w:val="14"/>
          <w:color w:val="auto"/>
        </w:rPr>
        <w:t>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seven to ten years, and adjustable-rate commercial real estate loans. Excluding construction and development loans made to investors, adjustable-rate commercial real estate loans represented approximately 51% of the commercial real estate loan portfolio as of December 31, 2010. Table 6 presents commercial real estate loans by geographic area, type of collateral and size of the loans outstanding at December 31, 2010. New York City metropolitan area commercial real estate loans totaled $7.3 billion at the 2010 year-end. The $6.1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49% of the aggregate dollar amount of New York City-area loans were for loans with outstanding balances of $10 million or less, while loans of more than $50 million made up approximately 14% of the total.</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6</w:t>
      </w:r>
    </w:p>
    <w:p>
      <w:pPr>
        <w:spacing w:after="0" w:line="252"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COMMERCIAL REAL ESTATE LOANS, NET OF UNEARNED DISCOUNT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2010</w:t>
      </w:r>
    </w:p>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Metropolitan</w:t>
            </w:r>
          </w:p>
        </w:tc>
        <w:tc>
          <w:tcPr>
            <w:tcW w:w="6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Mid-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Percent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New York</w:t>
            </w:r>
          </w:p>
        </w:tc>
        <w:tc>
          <w:tcPr>
            <w:tcW w:w="60" w:type="dxa"/>
            <w:vAlign w:val="bottom"/>
          </w:tcPr>
          <w:p>
            <w:pPr>
              <w:spacing w:after="0"/>
              <w:rPr>
                <w:sz w:val="9"/>
                <w:szCs w:val="9"/>
                <w:color w:val="auto"/>
              </w:rPr>
            </w:pPr>
          </w:p>
        </w:tc>
        <w:tc>
          <w:tcPr>
            <w:tcW w:w="7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New York</w:t>
            </w:r>
          </w:p>
        </w:tc>
        <w:tc>
          <w:tcPr>
            <w:tcW w:w="80" w:type="dxa"/>
            <w:vAlign w:val="bottom"/>
          </w:tcPr>
          <w:p>
            <w:pPr>
              <w:spacing w:after="0"/>
              <w:rPr>
                <w:sz w:val="9"/>
                <w:szCs w:val="9"/>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w w:val="90"/>
              </w:rPr>
              <w:t>Pennsylvania</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Other</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91"/>
              </w:rPr>
              <w:t>Total</w:t>
            </w:r>
          </w:p>
        </w:tc>
        <w:tc>
          <w:tcPr>
            <w:tcW w:w="200" w:type="dxa"/>
            <w:vAlign w:val="bottom"/>
            <w:vMerge w:val="restart"/>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5"/>
              </w:rPr>
              <w:t>City</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97"/>
              </w:rPr>
              <w:t>State</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Atlantic</w:t>
            </w:r>
          </w:p>
        </w:tc>
        <w:tc>
          <w:tcPr>
            <w:tcW w:w="200" w:type="dxa"/>
            <w:vAlign w:val="bottom"/>
          </w:tcPr>
          <w:p>
            <w:pPr>
              <w:spacing w:after="0"/>
              <w:rPr>
                <w:sz w:val="10"/>
                <w:szCs w:val="10"/>
                <w:color w:val="auto"/>
              </w:rPr>
            </w:pPr>
          </w:p>
        </w:tc>
        <w:tc>
          <w:tcPr>
            <w:tcW w:w="320" w:type="dxa"/>
            <w:vAlign w:val="bottom"/>
            <w:tcBorders>
              <w:bottom w:val="single" w:sz="8" w:color="auto"/>
            </w:tcBorders>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(Dollars in</w:t>
            </w:r>
          </w:p>
        </w:tc>
        <w:tc>
          <w:tcPr>
            <w:tcW w:w="600" w:type="dxa"/>
            <w:vAlign w:val="bottom"/>
            <w:gridSpan w:val="3"/>
          </w:tcPr>
          <w:p>
            <w:pPr>
              <w:jc w:val="center"/>
              <w:ind w:right="108"/>
              <w:spacing w:after="0"/>
              <w:rPr>
                <w:sz w:val="20"/>
                <w:szCs w:val="20"/>
                <w:color w:val="auto"/>
              </w:rPr>
            </w:pPr>
            <w:r>
              <w:rPr>
                <w:rFonts w:ascii="Arial" w:cs="Arial" w:eastAsia="Arial" w:hAnsi="Arial"/>
                <w:sz w:val="10"/>
                <w:szCs w:val="10"/>
                <w:b w:val="1"/>
                <w:bCs w:val="1"/>
                <w:color w:val="auto"/>
                <w:w w:val="97"/>
              </w:rPr>
              <w:t>millions)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Investor-owned</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Permanent finance by property type</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Retail</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2,216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243</w:t>
            </w:r>
          </w:p>
        </w:tc>
        <w:tc>
          <w:tcPr>
            <w:tcW w:w="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507</w:t>
            </w:r>
          </w:p>
        </w:tc>
        <w:tc>
          <w:tcPr>
            <w:tcW w:w="80" w:type="dxa"/>
            <w:vAlign w:val="bottom"/>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412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3,724</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Office</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984</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680</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246</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412</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150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2,472</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Apartments/Multifamily</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1,252</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252</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137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2,036</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Hotel</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597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251</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250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143</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1,303</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Industrial/Warehouse</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150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166</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764</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Health facilities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175</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60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382</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458</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420"/>
              <w:spacing w:after="0"/>
              <w:rPr>
                <w:sz w:val="20"/>
                <w:szCs w:val="20"/>
                <w:color w:val="auto"/>
              </w:rPr>
            </w:pPr>
            <w:r>
              <w:rPr>
                <w:rFonts w:ascii="Arial" w:cs="Arial" w:eastAsia="Arial" w:hAnsi="Arial"/>
                <w:sz w:val="10"/>
                <w:szCs w:val="10"/>
                <w:color w:val="auto"/>
              </w:rPr>
              <w:t>Total permanent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5,494</w:t>
            </w: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1,894</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1,146</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1,591</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w w:val="87"/>
              </w:rPr>
              <w:t>1,014</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w w:val="97"/>
              </w:rPr>
              <w:t>11,139</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Construction/Development</w:t>
            </w: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Commercial</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Construction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355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352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1,984</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08"/>
        </w:trPr>
        <w:tc>
          <w:tcPr>
            <w:tcW w:w="48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Land/Land development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112</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55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238</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41</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462</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 builder and developer</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Construction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108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224</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564</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Land/Land development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71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474</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788</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420"/>
              <w:spacing w:after="0"/>
              <w:rPr>
                <w:sz w:val="20"/>
                <w:szCs w:val="20"/>
                <w:color w:val="auto"/>
              </w:rPr>
            </w:pPr>
            <w:r>
              <w:rPr>
                <w:rFonts w:ascii="Arial" w:cs="Arial" w:eastAsia="Arial" w:hAnsi="Arial"/>
                <w:sz w:val="10"/>
                <w:szCs w:val="10"/>
                <w:color w:val="auto"/>
              </w:rPr>
              <w:t>Total construction/development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632</w:t>
            </w: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384</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586</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1,824</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372</w:t>
            </w: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3,798</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investor-owned</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6,126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2,278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1,732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3,415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5"/>
              </w:rPr>
              <w:t>1,386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14,937</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86"/>
        </w:trPr>
        <w:tc>
          <w:tcPr>
            <w:tcW w:w="4820" w:type="dxa"/>
            <w:vAlign w:val="bottom"/>
            <w:gridSpan w:val="2"/>
          </w:tcPr>
          <w:p>
            <w:pPr>
              <w:spacing w:after="0"/>
              <w:rPr>
                <w:sz w:val="20"/>
                <w:szCs w:val="20"/>
                <w:color w:val="auto"/>
              </w:rPr>
            </w:pPr>
            <w:r>
              <w:rPr>
                <w:rFonts w:ascii="Arial" w:cs="Arial" w:eastAsia="Arial" w:hAnsi="Arial"/>
                <w:sz w:val="10"/>
                <w:szCs w:val="10"/>
                <w:color w:val="auto"/>
              </w:rPr>
              <w:t>Owner-occupied by industry(a)</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Health services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552</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370</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1,644</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Other services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181</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374</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242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413</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1,217</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Retail</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195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183</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700</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Real estate investors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237</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87</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584</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Manufacturing</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120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505</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Automobile dealerships</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128</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45</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79</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441</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Wholesale</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41</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126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372</w:t>
            </w:r>
          </w:p>
        </w:tc>
        <w:tc>
          <w:tcPr>
            <w:tcW w:w="6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48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207</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197</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245</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23</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783</w:t>
            </w:r>
          </w:p>
        </w:tc>
        <w:tc>
          <w:tcPr>
            <w:tcW w:w="6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gridSpan w:val="2"/>
            <w:shd w:val="clear" w:color="auto" w:fill="CCEEFF"/>
          </w:tcPr>
          <w:p>
            <w:pPr>
              <w:ind w:left="420"/>
              <w:spacing w:after="0" w:line="108" w:lineRule="exact"/>
              <w:rPr>
                <w:sz w:val="20"/>
                <w:szCs w:val="20"/>
                <w:color w:val="auto"/>
              </w:rPr>
            </w:pPr>
            <w:r>
              <w:rPr>
                <w:rFonts w:ascii="Arial" w:cs="Arial" w:eastAsia="Arial" w:hAnsi="Arial"/>
                <w:sz w:val="10"/>
                <w:szCs w:val="10"/>
                <w:color w:val="auto"/>
              </w:rPr>
              <w:t>Total owner-occupied</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1,222</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1,780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1,268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351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6,246</w:t>
            </w:r>
          </w:p>
        </w:tc>
        <w:tc>
          <w:tcPr>
            <w:tcW w:w="6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0"/>
                <w:szCs w:val="10"/>
                <w:color w:val="auto"/>
              </w:rPr>
              <w:t>Total commercial real estate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820" w:type="dxa"/>
            <w:vAlign w:val="bottom"/>
            <w:gridSpan w:val="2"/>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7,348</w:t>
            </w:r>
          </w:p>
        </w:tc>
        <w:tc>
          <w:tcPr>
            <w:tcW w:w="200" w:type="dxa"/>
            <w:vAlign w:val="bottom"/>
            <w:vMerge w:val="continue"/>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4,058</w:t>
            </w:r>
          </w:p>
        </w:tc>
        <w:tc>
          <w:tcPr>
            <w:tcW w:w="200" w:type="dxa"/>
            <w:vAlign w:val="bottom"/>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3,000</w:t>
            </w:r>
          </w:p>
        </w:tc>
        <w:tc>
          <w:tcPr>
            <w:tcW w:w="200" w:type="dxa"/>
            <w:vAlign w:val="bottom"/>
            <w:vMerge w:val="continue"/>
          </w:tcPr>
          <w:p>
            <w:pPr>
              <w:spacing w:after="0"/>
              <w:rPr>
                <w:sz w:val="9"/>
                <w:szCs w:val="9"/>
                <w:color w:val="auto"/>
              </w:rPr>
            </w:pPr>
          </w:p>
        </w:tc>
        <w:tc>
          <w:tcPr>
            <w:tcW w:w="80" w:type="dxa"/>
            <w:vAlign w:val="bottom"/>
          </w:tcPr>
          <w:p>
            <w:pPr>
              <w:jc w:val="cente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5,040</w:t>
            </w:r>
          </w:p>
        </w:tc>
        <w:tc>
          <w:tcPr>
            <w:tcW w:w="200" w:type="dxa"/>
            <w:vAlign w:val="bottom"/>
            <w:vMerge w:val="continue"/>
          </w:tcPr>
          <w:p>
            <w:pPr>
              <w:spacing w:after="0"/>
              <w:rPr>
                <w:sz w:val="9"/>
                <w:szCs w:val="9"/>
                <w:color w:val="auto"/>
              </w:rPr>
            </w:pPr>
          </w:p>
        </w:tc>
        <w:tc>
          <w:tcPr>
            <w:tcW w:w="80" w:type="dxa"/>
            <w:vAlign w:val="bottom"/>
          </w:tcPr>
          <w:p>
            <w:pPr>
              <w:jc w:val="right"/>
              <w:ind w:right="5"/>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w w:val="87"/>
              </w:rPr>
              <w:t>1,737</w:t>
            </w:r>
          </w:p>
        </w:tc>
        <w:tc>
          <w:tcPr>
            <w:tcW w:w="200" w:type="dxa"/>
            <w:vAlign w:val="bottom"/>
            <w:vMerge w:val="continue"/>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w w:val="97"/>
              </w:rPr>
              <w:t>21,183</w:t>
            </w:r>
          </w:p>
        </w:tc>
        <w:tc>
          <w:tcPr>
            <w:tcW w:w="200" w:type="dxa"/>
            <w:vAlign w:val="bottom"/>
            <w:vMerge w:val="continue"/>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8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Percent of total</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35%</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48"/>
              <w:spacing w:after="0" w:line="113" w:lineRule="exact"/>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100%</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820" w:type="dxa"/>
            <w:vAlign w:val="bottom"/>
            <w:gridSpan w:val="2"/>
          </w:tcPr>
          <w:p>
            <w:pPr>
              <w:spacing w:after="0"/>
              <w:rPr>
                <w:sz w:val="20"/>
                <w:szCs w:val="20"/>
                <w:color w:val="auto"/>
              </w:rPr>
            </w:pPr>
            <w:r>
              <w:rPr>
                <w:rFonts w:ascii="Arial" w:cs="Arial" w:eastAsia="Arial" w:hAnsi="Arial"/>
                <w:sz w:val="10"/>
                <w:szCs w:val="10"/>
                <w:color w:val="auto"/>
              </w:rPr>
              <w:t>Percent of dollars outstanding by size of loan</w:t>
            </w: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Less than $1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16%</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line="108" w:lineRule="exact"/>
              <w:rPr>
                <w:sz w:val="20"/>
                <w:szCs w:val="20"/>
                <w:color w:val="auto"/>
              </w:rPr>
            </w:pPr>
            <w:r>
              <w:rPr>
                <w:rFonts w:ascii="Arial" w:cs="Arial" w:eastAsia="Arial" w:hAnsi="Arial"/>
                <w:sz w:val="10"/>
                <w:szCs w:val="10"/>
                <w:color w:val="auto"/>
              </w:rPr>
              <w:t>$1 million to $5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35</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32</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$5 million to $10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15</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line="108" w:lineRule="exact"/>
              <w:rPr>
                <w:sz w:val="20"/>
                <w:szCs w:val="20"/>
                <w:color w:val="auto"/>
              </w:rPr>
            </w:pPr>
            <w:r>
              <w:rPr>
                <w:rFonts w:ascii="Arial" w:cs="Arial" w:eastAsia="Arial" w:hAnsi="Arial"/>
                <w:sz w:val="10"/>
                <w:szCs w:val="10"/>
                <w:color w:val="auto"/>
              </w:rPr>
              <w:t>$10 million to $30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$30 million to $50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tcPr>
          <w:p>
            <w:pPr>
              <w:spacing w:after="0" w:line="108" w:lineRule="exact"/>
              <w:rPr>
                <w:sz w:val="20"/>
                <w:szCs w:val="20"/>
                <w:color w:val="auto"/>
              </w:rPr>
            </w:pPr>
            <w:r>
              <w:rPr>
                <w:rFonts w:ascii="Arial" w:cs="Arial" w:eastAsia="Arial" w:hAnsi="Arial"/>
                <w:sz w:val="10"/>
                <w:szCs w:val="10"/>
                <w:color w:val="auto"/>
              </w:rPr>
              <w:t>$50 million to $100 million</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900" w:type="dxa"/>
            <w:vAlign w:val="bottom"/>
            <w:gridSpan w:val="2"/>
          </w:tcPr>
          <w:p>
            <w:pPr>
              <w:jc w:val="right"/>
              <w:ind w:right="128"/>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4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Greater than $100 million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0"/>
                <w:szCs w:val="10"/>
                <w:color w:val="auto"/>
              </w:rPr>
              <w:t>Total</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10"/>
                <w:szCs w:val="10"/>
                <w:color w:val="auto"/>
              </w:rPr>
            </w:pPr>
          </w:p>
        </w:tc>
        <w:tc>
          <w:tcPr>
            <w:tcW w:w="900" w:type="dxa"/>
            <w:vAlign w:val="bottom"/>
            <w:gridSpan w:val="2"/>
          </w:tcPr>
          <w:p>
            <w:pPr>
              <w:jc w:val="right"/>
              <w:ind w:right="48"/>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approximately $450 million of construction loans.</w:t>
      </w:r>
    </w:p>
    <w:p>
      <w:pPr>
        <w:spacing w:after="0" w:line="92" w:lineRule="exact"/>
        <w:rPr>
          <w:sz w:val="20"/>
          <w:szCs w:val="20"/>
          <w:color w:val="auto"/>
        </w:rPr>
      </w:pPr>
    </w:p>
    <w:p>
      <w:pPr>
        <w:ind w:left="680" w:right="140" w:firstLine="599"/>
        <w:spacing w:after="0" w:line="259" w:lineRule="auto"/>
        <w:rPr>
          <w:sz w:val="20"/>
          <w:szCs w:val="20"/>
          <w:color w:val="auto"/>
        </w:rPr>
      </w:pPr>
      <w:r>
        <w:rPr>
          <w:rFonts w:ascii="Arial" w:cs="Arial" w:eastAsia="Arial" w:hAnsi="Arial"/>
          <w:sz w:val="14"/>
          <w:szCs w:val="14"/>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80% of the aggregate dollar amount of commercial real estate loans in New York State secured by properties located outside of the metropolitan New York City area were for</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60"/>
        <w:spacing w:after="0" w:line="258" w:lineRule="auto"/>
        <w:rPr>
          <w:sz w:val="20"/>
          <w:szCs w:val="20"/>
          <w:color w:val="auto"/>
        </w:rPr>
      </w:pPr>
      <w:r>
        <w:rPr>
          <w:rFonts w:ascii="Arial" w:cs="Arial" w:eastAsia="Arial" w:hAnsi="Arial"/>
          <w:sz w:val="14"/>
          <w:szCs w:val="14"/>
          <w:color w:val="auto"/>
        </w:rPr>
        <w:t>loans with outstanding balances of $10 million or less. Of the outstanding balances of commercial real estate loans in Pennsylvania and the Mid-Atlantic area, approximately 77% and 68%, respectively, were for loans with outstanding balances of $10 million or less.</w:t>
      </w:r>
    </w:p>
    <w:p>
      <w:pPr>
        <w:ind w:left="680" w:right="140" w:firstLine="599"/>
        <w:spacing w:after="0" w:line="268" w:lineRule="auto"/>
        <w:rPr>
          <w:sz w:val="20"/>
          <w:szCs w:val="20"/>
          <w:color w:val="auto"/>
        </w:rPr>
      </w:pPr>
      <w:r>
        <w:rPr>
          <w:rFonts w:ascii="Arial" w:cs="Arial" w:eastAsia="Arial" w:hAnsi="Arial"/>
          <w:sz w:val="13"/>
          <w:szCs w:val="13"/>
          <w:color w:val="auto"/>
        </w:rPr>
        <w:t>Commercial real estate loans secured by properties located outside of Pennsylvania, the Mid-Atlantic area, New York State and areas of states neighboring New York considered to be part of the New York City metropolitan area, comprised 8% of total commercial real estate loans as of December 31, 2010.</w:t>
      </w:r>
    </w:p>
    <w:p>
      <w:pPr>
        <w:ind w:left="680" w:right="80" w:firstLine="599"/>
        <w:spacing w:after="0" w:line="268" w:lineRule="auto"/>
        <w:rPr>
          <w:sz w:val="20"/>
          <w:szCs w:val="20"/>
          <w:color w:val="auto"/>
        </w:rPr>
      </w:pPr>
      <w:r>
        <w:rPr>
          <w:rFonts w:ascii="Arial" w:cs="Arial" w:eastAsia="Arial" w:hAnsi="Arial"/>
          <w:sz w:val="13"/>
          <w:szCs w:val="13"/>
          <w:color w:val="auto"/>
        </w:rPr>
        <w:t>Commercial real estate construction and development loans made to investors presented in table 6 totaled $3.8 billion at December 31, 2010, or 7% of total loans and leases. Approximately 96% of those construction loans had adjustable interest rates. Included in such loans at December 31, 2010 were $1.35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M&amp;T Realty Capital Corporation, a commercial real estate lending subsidiary of M&amp;T Bank, participates in the Fannie Mae Delegated Underwriting and Servicing (“DUS”) program,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At December 31, 2010 and 2009, approximately $1.6 billion and $1.3 billion, respectively, of commercial real estate loan balances serviced for others had been sold with recourse. There have been no material losses incurred as a result of those recourse arrangements. Commercial real estate loans held for sale at December 31, 2010 and 2009 aggregated $204 million and $123 million, respectively. At December 31, 2010 and 2009, commercial real estate loans serviced for other investors by the Company were $8.1 billion and $7.1 billion, respectively. Those serviced loans are not included in the Company’s consolidated balance sheet.</w:t>
      </w:r>
    </w:p>
    <w:p>
      <w:pPr>
        <w:spacing w:after="0" w:line="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Real estate loans secured by one-to-four family residential properties were $5.9 billion at December 31, 2010, including approximately 39% secured by properties located in New York State, 13% secured by properties located in Pennsylvania and 21% secured by properties located in the Mid-Atlantic area. At December 31, 2010, $341 million of residential real estate loans were held for sale, compared with $530 million at December 31, 2009. The Company’s portfolio of Alt-A loans held for investment at December 31, 2010 totaled $648 million, compared with $789 million at December 31, 2009. Loans to individuals to finance the construction of one-to-four family residential properties totaled $71 million at December 31, 2010, or approximately .1% of total loans and leases, compared with $76 million or .1% at December 31, 2009. Information about the credit performance of the Company’s Alt-A mortgage loans and other residential mortgage loans is included herein under the heading “Provision For Credit Losses.”</w:t>
      </w:r>
    </w:p>
    <w:p>
      <w:pPr>
        <w:ind w:left="680" w:firstLine="599"/>
        <w:spacing w:after="0" w:line="250" w:lineRule="auto"/>
        <w:rPr>
          <w:sz w:val="20"/>
          <w:szCs w:val="20"/>
          <w:color w:val="auto"/>
        </w:rPr>
      </w:pPr>
      <w:r>
        <w:rPr>
          <w:rFonts w:ascii="Arial" w:cs="Arial" w:eastAsia="Arial" w:hAnsi="Arial"/>
          <w:sz w:val="14"/>
          <w:szCs w:val="14"/>
          <w:color w:val="auto"/>
        </w:rPr>
        <w:t>Consumer loans comprised approximately 23% of the average loan portfolio during each of 2010 and 2009. The two largest components of the consumer loan portfolio are outstanding balances of home equity lines of credit and automobile loans. Average balances of home equity lines of credit outstanding represented approximately 11% of average loans outstanding in each of 2010 and 2009. Automobile loans represented approximately 5% and 6% of the Company’s average loan portfolio during 2010 and 2009, respectively. No other consumer loan product represented more than 4% of average loans outstanding in 2010. Approximately 44% of home equity lines of credit outstanding at December 31, 2010 were secured by properties in New York State, and 19% and 35% were secured by properties in Pennsylvania and the Mid-Atlantic area, respectively. Average outstanding balances on home equity lines of credit were approximately $5.8 billion and $5.4 billion in 2010 and 2009, respectively. At December 31, 2010, 35% and 26% of the automobile loan portfolio were to customers residing in New York State and Pennsylvania, respectively. Although automobile loans have generally been originated through dealers, all applications submitted through dealers are subject to the Company’s normal underwriting and loan approval</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procedures. Outstanding automobile loan balances declined to $2.7 billion at December 31, 2010 from $2.9 billion at December 31, 2009.</w:t>
      </w:r>
    </w:p>
    <w:p>
      <w:pPr>
        <w:spacing w:after="0" w:line="18" w:lineRule="exact"/>
        <w:rPr>
          <w:sz w:val="20"/>
          <w:szCs w:val="20"/>
          <w:color w:val="auto"/>
        </w:rPr>
      </w:pPr>
    </w:p>
    <w:p>
      <w:pPr>
        <w:ind w:left="680" w:right="260" w:firstLine="599"/>
        <w:spacing w:after="0" w:line="256" w:lineRule="auto"/>
        <w:rPr>
          <w:sz w:val="20"/>
          <w:szCs w:val="20"/>
          <w:color w:val="auto"/>
        </w:rPr>
      </w:pPr>
      <w:r>
        <w:rPr>
          <w:rFonts w:ascii="Arial" w:cs="Arial" w:eastAsia="Arial" w:hAnsi="Arial"/>
          <w:sz w:val="14"/>
          <w:szCs w:val="14"/>
          <w:color w:val="auto"/>
        </w:rPr>
        <w:t>Table 7 presents the composition of the Company’s loan and lease portfolio at the end of 2010, including outstanding balances to businesses and consumers in New York State, Pennsylvania, the Mid-Atlantic area and other states. Approximately 47% of total loans and leases at December 31, 2010 were to New York State customers, while 18% and 23% were to Pennsylvania and the Mid-Atlantic area customers, respectively.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7</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LOANS AND LEASES, NET OF UNEARNED DISCOUNT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2010</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Percent of Dollars Outstanding</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Outstandings</w:t>
            </w:r>
          </w:p>
        </w:tc>
        <w:tc>
          <w:tcPr>
            <w:tcW w:w="10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New York</w:t>
            </w:r>
          </w:p>
        </w:tc>
        <w:tc>
          <w:tcPr>
            <w:tcW w:w="12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Pennsylvania</w:t>
            </w:r>
          </w:p>
        </w:tc>
        <w:tc>
          <w:tcPr>
            <w:tcW w:w="12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Mid-Atlantic</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State</w:t>
            </w:r>
          </w:p>
        </w:tc>
        <w:tc>
          <w:tcPr>
            <w:tcW w:w="12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 estate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40" w:type="dxa"/>
            <w:vAlign w:val="bottom"/>
            <w:gridSpan w:val="2"/>
          </w:tcPr>
          <w:p>
            <w:pPr>
              <w:ind w:left="140"/>
              <w:spacing w:after="0"/>
              <w:rPr>
                <w:sz w:val="20"/>
                <w:szCs w:val="20"/>
                <w:color w:val="auto"/>
              </w:rPr>
            </w:pPr>
            <w:r>
              <w:rPr>
                <w:rFonts w:ascii="Arial" w:cs="Arial" w:eastAsia="Arial" w:hAnsi="Arial"/>
                <w:sz w:val="13"/>
                <w:szCs w:val="13"/>
                <w:color w:val="auto"/>
              </w:rPr>
              <w:t>Residential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5,928</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39%</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13%</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21%</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21,183</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54(a)</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14</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center"/>
              <w:ind w:right="3560"/>
              <w:spacing w:after="0"/>
              <w:rPr>
                <w:sz w:val="20"/>
                <w:szCs w:val="20"/>
                <w:color w:val="auto"/>
              </w:rPr>
            </w:pPr>
            <w:r>
              <w:rPr>
                <w:rFonts w:ascii="Arial" w:cs="Arial" w:eastAsia="Arial" w:hAnsi="Arial"/>
                <w:sz w:val="13"/>
                <w:szCs w:val="13"/>
                <w:color w:val="auto"/>
                <w:w w:val="87"/>
              </w:rPr>
              <w:t>Total real estate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27,111</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51%</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14%</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23%</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financial, etc.</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11,989</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46%</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26%</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940" w:type="dxa"/>
            <w:vAlign w:val="bottom"/>
            <w:gridSpan w:val="2"/>
          </w:tcPr>
          <w:p>
            <w:pPr>
              <w:spacing w:after="0"/>
              <w:rPr>
                <w:sz w:val="20"/>
                <w:szCs w:val="20"/>
                <w:color w:val="auto"/>
              </w:rPr>
            </w:pPr>
            <w:r>
              <w:rPr>
                <w:rFonts w:ascii="Arial" w:cs="Arial" w:eastAsia="Arial" w:hAnsi="Arial"/>
                <w:sz w:val="13"/>
                <w:szCs w:val="13"/>
                <w:color w:val="auto"/>
              </w:rPr>
              <w:t>Consumer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Home equity lines</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5,796</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44%</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19%</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4940" w:type="dxa"/>
            <w:vAlign w:val="bottom"/>
            <w:gridSpan w:val="2"/>
          </w:tcPr>
          <w:p>
            <w:pPr>
              <w:ind w:left="140"/>
              <w:spacing w:after="0"/>
              <w:rPr>
                <w:sz w:val="20"/>
                <w:szCs w:val="20"/>
                <w:color w:val="auto"/>
              </w:rPr>
            </w:pPr>
            <w:r>
              <w:rPr>
                <w:rFonts w:ascii="Arial" w:cs="Arial" w:eastAsia="Arial" w:hAnsi="Arial"/>
                <w:sz w:val="13"/>
                <w:szCs w:val="13"/>
                <w:color w:val="auto"/>
              </w:rPr>
              <w:t>Home equity loans</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761</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16</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38</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42</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Automobile</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2,685</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35</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26</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4940" w:type="dxa"/>
            <w:vAlign w:val="bottom"/>
            <w:gridSpan w:val="2"/>
          </w:tcPr>
          <w:p>
            <w:pPr>
              <w:ind w:left="140"/>
              <w:spacing w:after="0"/>
              <w:rPr>
                <w:sz w:val="20"/>
                <w:szCs w:val="20"/>
                <w:color w:val="auto"/>
              </w:rPr>
            </w:pPr>
            <w:r>
              <w:rPr>
                <w:rFonts w:ascii="Arial" w:cs="Arial" w:eastAsia="Arial" w:hAnsi="Arial"/>
                <w:sz w:val="13"/>
                <w:szCs w:val="13"/>
                <w:color w:val="auto"/>
              </w:rPr>
              <w:t>Other secured or guaranteed</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1,966</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35</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13</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12</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unsecured</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44</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29</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center"/>
              <w:ind w:right="3580"/>
              <w:spacing w:after="0"/>
              <w:rPr>
                <w:sz w:val="20"/>
                <w:szCs w:val="20"/>
                <w:color w:val="auto"/>
              </w:rPr>
            </w:pPr>
            <w:r>
              <w:rPr>
                <w:rFonts w:ascii="Arial" w:cs="Arial" w:eastAsia="Arial" w:hAnsi="Arial"/>
                <w:sz w:val="13"/>
                <w:szCs w:val="13"/>
                <w:color w:val="auto"/>
                <w:w w:val="89"/>
              </w:rPr>
              <w:t>Total consumer</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11,488</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39%</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21%</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26%</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40" w:type="dxa"/>
            <w:vAlign w:val="bottom"/>
            <w:gridSpan w:val="2"/>
            <w:shd w:val="clear" w:color="auto" w:fill="CCEEFF"/>
          </w:tcPr>
          <w:p>
            <w:pPr>
              <w:jc w:val="center"/>
              <w:ind w:right="3560"/>
              <w:spacing w:after="0"/>
              <w:rPr>
                <w:sz w:val="20"/>
                <w:szCs w:val="20"/>
                <w:color w:val="auto"/>
              </w:rPr>
            </w:pPr>
            <w:r>
              <w:rPr>
                <w:rFonts w:ascii="Arial" w:cs="Arial" w:eastAsia="Arial" w:hAnsi="Arial"/>
                <w:sz w:val="13"/>
                <w:szCs w:val="13"/>
                <w:color w:val="auto"/>
                <w:w w:val="91"/>
              </w:rPr>
              <w:t>Total loans</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50,588</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46%</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19%</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3"/>
                <w:szCs w:val="13"/>
                <w:color w:val="auto"/>
              </w:rPr>
              <w:t>Commercial leases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1,402</w:t>
            </w:r>
          </w:p>
        </w:tc>
        <w:tc>
          <w:tcPr>
            <w:tcW w:w="1040" w:type="dxa"/>
            <w:vAlign w:val="bottom"/>
            <w:gridSpan w:val="2"/>
          </w:tcPr>
          <w:p>
            <w:pPr>
              <w:ind w:left="460"/>
              <w:spacing w:after="0"/>
              <w:rPr>
                <w:sz w:val="20"/>
                <w:szCs w:val="20"/>
                <w:color w:val="auto"/>
              </w:rPr>
            </w:pPr>
            <w:r>
              <w:rPr>
                <w:rFonts w:ascii="Arial" w:cs="Arial" w:eastAsia="Arial" w:hAnsi="Arial"/>
                <w:sz w:val="13"/>
                <w:szCs w:val="13"/>
                <w:color w:val="auto"/>
              </w:rPr>
              <w:t>44%</w:t>
            </w:r>
          </w:p>
        </w:tc>
        <w:tc>
          <w:tcPr>
            <w:tcW w:w="1200" w:type="dxa"/>
            <w:vAlign w:val="bottom"/>
            <w:gridSpan w:val="2"/>
          </w:tcPr>
          <w:p>
            <w:pPr>
              <w:ind w:left="660"/>
              <w:spacing w:after="0"/>
              <w:rPr>
                <w:sz w:val="20"/>
                <w:szCs w:val="20"/>
                <w:color w:val="auto"/>
              </w:rPr>
            </w:pPr>
            <w:r>
              <w:rPr>
                <w:rFonts w:ascii="Arial" w:cs="Arial" w:eastAsia="Arial" w:hAnsi="Arial"/>
                <w:sz w:val="13"/>
                <w:szCs w:val="13"/>
                <w:color w:val="auto"/>
              </w:rPr>
              <w:t>10%</w:t>
            </w:r>
          </w:p>
        </w:tc>
        <w:tc>
          <w:tcPr>
            <w:tcW w:w="1220" w:type="dxa"/>
            <w:vAlign w:val="bottom"/>
            <w:gridSpan w:val="2"/>
          </w:tcPr>
          <w:p>
            <w:pPr>
              <w:ind w:left="660"/>
              <w:spacing w:after="0"/>
              <w:rPr>
                <w:sz w:val="20"/>
                <w:szCs w:val="20"/>
                <w:color w:val="auto"/>
              </w:rPr>
            </w:pPr>
            <w:r>
              <w:rPr>
                <w:rFonts w:ascii="Arial" w:cs="Arial" w:eastAsia="Arial" w:hAnsi="Arial"/>
                <w:sz w:val="13"/>
                <w:szCs w:val="13"/>
                <w:color w:val="auto"/>
              </w:rPr>
              <w:t>16%</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loans and leases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51,990</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47%</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18%</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Includes loans secured by properties located in neighboring states generally considered to be within commuting distance of New York City.</w:t>
      </w:r>
    </w:p>
    <w:p>
      <w:pPr>
        <w:spacing w:after="0" w:line="92" w:lineRule="exact"/>
        <w:rPr>
          <w:sz w:val="20"/>
          <w:szCs w:val="20"/>
          <w:color w:val="auto"/>
        </w:rPr>
      </w:pPr>
    </w:p>
    <w:p>
      <w:pPr>
        <w:ind w:left="680" w:firstLine="599"/>
        <w:spacing w:after="0" w:line="275" w:lineRule="auto"/>
        <w:rPr>
          <w:sz w:val="20"/>
          <w:szCs w:val="20"/>
          <w:color w:val="auto"/>
        </w:rPr>
      </w:pPr>
      <w:r>
        <w:rPr>
          <w:rFonts w:ascii="Arial" w:cs="Arial" w:eastAsia="Arial" w:hAnsi="Arial"/>
          <w:sz w:val="13"/>
          <w:szCs w:val="13"/>
          <w:color w:val="auto"/>
        </w:rPr>
        <w:t>Balances of investment securities averaged $8.0 billion in 2010, compared with $8.4 billion and $9.0 billion in 2009 and 2008, respectively. The decrease in such balances from 2009 to 2010 largely reflects maturities and paydowns of mortgage-backed securities, maturities of federal agency notes and the impact of adopting the new accounting rules on January 1, 2010 as already noted, partially offset by purchases of mortgage-backed securities issued by Fannie Mae and Freddie Mac during the first half of 2010, aggregating approximately $1.3 billion. The decline in average investment securities balances during 2009 as compared with 2008 largely reflects paydowns of mortgage-backed securities, partially offset by the investment securities obtained in the Provident transaction and the impact of a first quarter 2009 residential real estate loan securitization. The Company securitized approximately $141 million of residential real estate loans in a guaranteed mortgage securitization with Fannie Mae. During June and July 2008, the Company securitized approximately $875 million of residential real estate loans in guaranteed mortgage securitizations with Fannie Mae. The Company recognized no gain or loss on the 2009 and 2008 securitizations because it retained all of the resulting securities.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40" w:firstLine="599"/>
        <w:spacing w:after="0" w:line="272" w:lineRule="auto"/>
        <w:rPr>
          <w:sz w:val="20"/>
          <w:szCs w:val="20"/>
          <w:color w:val="auto"/>
        </w:rPr>
      </w:pPr>
      <w:r>
        <w:rPr>
          <w:rFonts w:ascii="Arial" w:cs="Arial" w:eastAsia="Arial" w:hAnsi="Arial"/>
          <w:sz w:val="13"/>
          <w:szCs w:val="13"/>
          <w:color w:val="auto"/>
        </w:rPr>
        <w:t>The investment securities portfolio is largely comprised of residential mortgage-backed securities and CMOs, debt securities issued by municipalities, capital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ind w:left="680" w:right="20" w:firstLine="599"/>
        <w:spacing w:after="0" w:line="249" w:lineRule="auto"/>
        <w:rPr>
          <w:sz w:val="20"/>
          <w:szCs w:val="20"/>
          <w:color w:val="auto"/>
        </w:rPr>
      </w:pPr>
      <w:r>
        <w:rPr>
          <w:rFonts w:ascii="Arial" w:cs="Arial" w:eastAsia="Arial" w:hAnsi="Arial"/>
          <w:sz w:val="14"/>
          <w:szCs w:val="14"/>
          <w:color w:val="auto"/>
        </w:rPr>
        <w:t>During the third quarter of 2008, the Company purchased a $142 million AAA-rated private placement mortgage-backed security that had been securitized by Bayview Financial Holdings, L.P. (together with its affiliates, “Bayview Financial”). Bayview Financial is a privately-held company and is the majority investor of Bayview Lending Group, LLC (“BLG”), a commercial mortgage lender in which M&amp;T invested $300 million during 2007. Upon purchase, the mortgage-backed security was placed in the Company’s held-to-maturity portfolio, as management determined that it had the intent and ability to hold the security to maturity. Management subsequently reconsidered whether certain other similar mortgage-backed securities previously purchased from Bayview Financial and held in the Company’s available-for-sale portfolio should more appropriately be in the held-to-maturity portfolio. Concluding that it had the intent and ability to hold those securities to maturity as well, the Company transferred CMOs having a fair value of $298 million and a cost basis of $385 million from its available-for-sale investment securities portfolio to the held-to-maturity portfolio during the third quarter of 2008.</w:t>
      </w:r>
    </w:p>
    <w:p>
      <w:pPr>
        <w:spacing w:after="0" w:line="1" w:lineRule="exact"/>
        <w:rPr>
          <w:sz w:val="20"/>
          <w:szCs w:val="20"/>
          <w:color w:val="auto"/>
        </w:rPr>
      </w:pPr>
    </w:p>
    <w:p>
      <w:pPr>
        <w:ind w:left="680" w:right="280" w:firstLine="599"/>
        <w:spacing w:after="0" w:line="268" w:lineRule="auto"/>
        <w:rPr>
          <w:sz w:val="20"/>
          <w:szCs w:val="20"/>
          <w:color w:val="auto"/>
        </w:rPr>
      </w:pPr>
      <w:r>
        <w:rPr>
          <w:rFonts w:ascii="Arial" w:cs="Arial" w:eastAsia="Arial" w:hAnsi="Arial"/>
          <w:sz w:val="13"/>
          <w:szCs w:val="13"/>
          <w:color w:val="auto"/>
        </w:rPr>
        <w:t>The Company regularly reviews its investment securities for declines in value below amortized cost that might be characterized as “other than temporary.” Other-than-temporary impairment charges of $86 million (pre-tax) were recognized during 2010. Approximately $68 million of those charges related to privately issued CMOs backed by residential and commercial real estate loans, $6 million related to CDOs backed by trust preferred securities issued by financial institutions and</w:t>
      </w:r>
    </w:p>
    <w:p>
      <w:pPr>
        <w:ind w:left="680" w:right="20"/>
        <w:spacing w:after="0" w:line="268" w:lineRule="auto"/>
        <w:rPr>
          <w:sz w:val="20"/>
          <w:szCs w:val="20"/>
          <w:color w:val="auto"/>
        </w:rPr>
      </w:pPr>
      <w:r>
        <w:rPr>
          <w:rFonts w:ascii="Arial" w:cs="Arial" w:eastAsia="Arial" w:hAnsi="Arial"/>
          <w:sz w:val="13"/>
          <w:szCs w:val="13"/>
          <w:color w:val="auto"/>
        </w:rPr>
        <w:t>$12 million related to American Depositary Shares (“ADSs”) of AIB. The AIB ADSs were obtained in the 2003 acquisition of a subsidiary of AIB and are held to satisfy options to purchase such shares granted by that subsidiary to certain employees. Factors contributing to the impairment charge included mounting credit and other losses incurred by AIB, the issuance of AIB common stock in lieu of dividend payments on certain preferred stock issuances held by the Irish government resulting in significant dilution of AIB common shareholders, and public announcements by Irish government officials suggesting that increased government support, which could further dilute AIB common shareholders, may be necessary. Other-than-temporary impairment charges of $138 million (pre-tax) were recognized during 2009 related to certain privately issued CMOs and CDOs held in the Company’s available-for-sale investment securities portfolio. Specifically, $130 million of such impairment charges related to privately issued CMOs and CDOs backed by residential real estate loans and $8 million related to CDOs backed by trust preferred securities of financial institutions. During the third quarter of 2008, the Company recognized an other-than-temporary impairment charge of $153 million related to its holdings of preferred stock of Fannie Mae and Freddie Mac. Additional other-than-temporary impairment charges of $29 million were recognized in 2008 on CMOs backed by option adjustable rate residential mortgage loans (“ARMs”) and CDOs backed by trust preferred securities of financial institutions. Poor economic conditions, high unemployment and depressed real estate values are significant factors contributing to the recognition of the other-than-temporary impairment charges related to CMOs and CDOs. Based on management’s assessment of future cash flows associated with individual investment securities, as of December 31, 2010,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2" w:lineRule="exact"/>
        <w:rPr>
          <w:sz w:val="20"/>
          <w:szCs w:val="20"/>
          <w:color w:val="auto"/>
        </w:rPr>
      </w:pPr>
    </w:p>
    <w:p>
      <w:pPr>
        <w:ind w:left="680" w:firstLine="599"/>
        <w:spacing w:after="0" w:line="253" w:lineRule="auto"/>
        <w:rPr>
          <w:sz w:val="20"/>
          <w:szCs w:val="20"/>
          <w:color w:val="auto"/>
        </w:rPr>
      </w:pPr>
      <w:r>
        <w:rPr>
          <w:rFonts w:ascii="Arial" w:cs="Arial" w:eastAsia="Arial" w:hAnsi="Arial"/>
          <w:sz w:val="14"/>
          <w:szCs w:val="14"/>
          <w:color w:val="auto"/>
        </w:rPr>
        <w:t>Other earning assets include interest-earning deposits at the Federal Reserve Bank of New York and other banks, trading account assets, federal funds sold and agreements to resell securities. Those other earning assets in the aggregate averaged $417 million in 2010, $189 million in 2009 and $198 million in 2008. Reflected in those balances were purchases of investment securities under agreements to resell, which averaged $214 million, $41 million and $96 million during 2010, 2009 and 2008, respectively. The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higher level of resell agreements in 2010 as compared with 2009 and 2008 was due, in part, to the need to fulfill collateral requirements associated with certain municipal deposits. Agreements to resell securities, of which there were none outstanding at the 2010 and 2009 year-ends, are accounted for similar to collateralized loans, with changes in market value of the collateral monitored by the Company to ensure sufficient coverage.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2" w:lineRule="exact"/>
        <w:rPr>
          <w:sz w:val="20"/>
          <w:szCs w:val="20"/>
          <w:color w:val="auto"/>
        </w:rPr>
      </w:pPr>
    </w:p>
    <w:p>
      <w:pPr>
        <w:ind w:left="680" w:right="20" w:firstLine="599"/>
        <w:spacing w:after="0" w:line="271" w:lineRule="auto"/>
        <w:rPr>
          <w:sz w:val="20"/>
          <w:szCs w:val="20"/>
          <w:color w:val="auto"/>
        </w:rPr>
      </w:pPr>
      <w:r>
        <w:rPr>
          <w:rFonts w:ascii="Arial" w:cs="Arial" w:eastAsia="Arial" w:hAnsi="Arial"/>
          <w:sz w:val="13"/>
          <w:szCs w:val="13"/>
          <w:color w:val="auto"/>
        </w:rPr>
        <w:t>The most significant source of funding for the Company is core deposits. During 2010 and prior years, the Company considered noninterest-bearing deposits, interest-bearing transaction accounts, savings deposits and domestic time deposits under $100,000 as core deposits. The Company’s branch network is its principal source of core deposits, which generally carry lower interest rates than wholesale funds of comparable maturities. Certificates of deposit under $100,000 generated on a nationwide basis by M&amp;T Bank, N.A. were also included in core deposits. Average core deposits totaled $43.6 billion in 2010, up from $39.1 billion in 2009 and $31.7 billion in 2008. The K Bank acquisition transaction added $491 million of core deposits on November 5, 2010, while the acquisition transactions in 2009 added $3.8 billion of core deposits on the respective acquisition dates. Average core deposits of M&amp;T Bank, N.A. were $217 million in 2010, $337 million in 2009 and $274 million in 2008. Excluding deposits obtained in the acquisition transactions, the growth in core deposits from 2008 to 2009 and from 2009 to 2010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increased. Funding provided by core deposits represented 73% of average earning assets in 2010, compared with 66% and 55% in 2009 and 2008, respectively. Table 8 summarizes average core deposits in 2010 and percentage changes in the components of such deposits over the past two years.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8</w:t>
      </w:r>
    </w:p>
    <w:p>
      <w:pPr>
        <w:spacing w:after="0" w:line="252"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AVERAGE CORE DEPOSITS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2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Percentage Increase</w:t>
            </w:r>
          </w:p>
        </w:tc>
        <w:tc>
          <w:tcPr>
            <w:tcW w:w="0" w:type="dxa"/>
            <w:vAlign w:val="bottom"/>
          </w:tcPr>
          <w:p>
            <w:pPr>
              <w:spacing w:after="0"/>
              <w:rPr>
                <w:sz w:val="1"/>
                <w:szCs w:val="1"/>
                <w:color w:val="auto"/>
              </w:rPr>
            </w:pPr>
          </w:p>
        </w:tc>
      </w:tr>
      <w:tr>
        <w:trPr>
          <w:trHeight w:val="125"/>
        </w:trPr>
        <w:tc>
          <w:tcPr>
            <w:tcW w:w="6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8"/>
        </w:trPr>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rPr>
              <w:t>2009 to 2010</w:t>
            </w:r>
          </w:p>
        </w:tc>
        <w:tc>
          <w:tcPr>
            <w:tcW w:w="800" w:type="dxa"/>
            <w:vAlign w:val="bottom"/>
            <w:tcBorders>
              <w:top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rPr>
              <w:t>2008 to 2009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Savings deposits</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25,027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Time deposits under $100,000</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6680" w:type="dxa"/>
            <w:vAlign w:val="bottom"/>
          </w:tcPr>
          <w:p>
            <w:pPr>
              <w:spacing w:after="0"/>
              <w:rPr>
                <w:sz w:val="20"/>
                <w:szCs w:val="20"/>
                <w:color w:val="auto"/>
              </w:rPr>
            </w:pPr>
            <w:r>
              <w:rPr>
                <w:rFonts w:ascii="Arial" w:cs="Arial" w:eastAsia="Arial" w:hAnsi="Arial"/>
                <w:sz w:val="13"/>
                <w:szCs w:val="13"/>
                <w:color w:val="auto"/>
              </w:rPr>
              <w:t>Noninterest-bearing deposits</w:t>
            </w:r>
          </w:p>
        </w:tc>
        <w:tc>
          <w:tcPr>
            <w:tcW w:w="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13,709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43,595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9"/>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80" w:firstLine="599"/>
        <w:spacing w:after="0" w:line="252" w:lineRule="auto"/>
        <w:rPr>
          <w:sz w:val="20"/>
          <w:szCs w:val="20"/>
          <w:color w:val="auto"/>
        </w:rPr>
      </w:pPr>
      <w:r>
        <w:rPr>
          <w:rFonts w:ascii="Arial" w:cs="Arial" w:eastAsia="Arial" w:hAnsi="Arial"/>
          <w:sz w:val="14"/>
          <w:szCs w:val="14"/>
          <w:color w:val="auto"/>
        </w:rPr>
        <w:t>A provision of the Dodd-Frank Act permanently increased the maximum amount of FDIC deposit insurance for financial institutions to $250,000 per depositor. That maximum was $100,000 per depositor until 2009, when it was raised to $250,000 temporarily through December 31, 2013. As a result of the permanently increased deposit insurance coverage, effective December 31, 2010 the Company considers time deposits under $250,000 as core deposits. That change added $1.0 billion to core deposits, which aggregated $45.9 billion at December 31, 2010, but did not have an effect on average core deposits for 2010. As previously defined, core deposits totaled $43.1 billion at December 31, 2009.</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Additional funding sources for the Company included domestic time deposits of $100,000 or more, deposits originated through the Company’s Cayman Islands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branch office, and brokered deposits. Domestic time deposits over $100,000, excluding brokered certificates of deposit, averaged $1.7 billion in 2010, compared with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$2.6 billion in each of 2009 and 2008. Cayman Islands branch deposits, primarily comprised of accounts with balances of $100,000 or more, averaged $1.0 billion in 2010,</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$1.7 billion in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51" w:lineRule="auto"/>
        <w:rPr>
          <w:sz w:val="20"/>
          <w:szCs w:val="20"/>
          <w:color w:val="auto"/>
        </w:rPr>
      </w:pPr>
      <w:r>
        <w:rPr>
          <w:rFonts w:ascii="Arial" w:cs="Arial" w:eastAsia="Arial" w:hAnsi="Arial"/>
          <w:sz w:val="14"/>
          <w:szCs w:val="14"/>
          <w:color w:val="auto"/>
        </w:rPr>
        <w:t>2009 and $4.0 billion in 2008. Average brokered time deposits totaled $642 million in 2010, compared with $822 million in 2009 and $1.4 billion in 2008, and at December 31, 2010 and 2009 totaled $485 million and $868 million, respectively. The Company also had brokered NOW and brokered money-market deposit accounts, which in the aggregate averaged $1.2 billion, $757 million and $218 million in 2010, 2009 and 2008, respectively. The significant increases in such average brokered deposit balances since 2008 reflect continued uncertain economic markets and the desire of brokerage firms to earn reasonable yields while ensuring that customer deposits were fully insured. Cayman Islands branch deposits and brokered deposits have been used by the Company as alternatives to short-term borrowings. Additional amounts of Cayman Islands branch deposits or brokered deposits may be added in the future depending on market conditions, including demand by customers and other investors for those deposits, and the cost of funds available from alternative sources at the time.</w:t>
      </w:r>
    </w:p>
    <w:p>
      <w:pPr>
        <w:spacing w:after="0" w:line="3"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Company also uses borrowings from banks, securities dealers, various Federal Home Loan Banks, the Federal Reserve and others as sources of funding. Average short-term borrowings were $1.9 billion in 2010, $2.9 billion in 2009 and $6.1 billion in 2008. Included in short-term borrowings were unsecured federal funds borrowings, which generally mature on the next business day, which averaged $1.7 billion, $1.8 billion and $4.5 billion in 2010, 2009 and 2008, respectively. Overnight federal funds borrowings represented the largest component of average short-term borrowings and were obtained from a wide variety of banks and other financial institutions. Overnight federal funds borrowings totaled $826 million at December 31, 2010 and $2.1 billion at December 31, 2009. Average short-term borrowings during 2010, 2009 and 2008 included $31 million, $688 million and $682 million, respectively, of borrowings from the Federal Home Loan Bank (“FHLB”) of New York and the FHLB of Atlanta. Also included in average short-term borrowings in 2009 and 2008 were secured borrowings with the Federal Reserve through their Term Auction Facility (“TAF”). Borrowings under the TAF averaged $268 million and $238 million during 2009 and 2008, respectively. There were no outstanding borrowings under the TAF at either December 31, 2010 or 2009. The need for short-term borrowings from the FHLBs and the Federal Reserve Bank of New York has diminished with the continued growth in the Company’s core deposits. Also included in average short-term borrowings in 2008 was a $500 million revolving asset-backed structured borrowing secured by automobile loans that was paid off during late-2008. The average balance of that borrowing was $463 million in 2008.</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Long-term borrowings averaged $9.2 billion in 2010, $11.1 billion in 2009 and $11.6 billion in 2008. Included in average long-term borrowings were amounts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borrowed from FHLBs of $4.2 billion in 2010, $6.1 billion in 2009 and $6.7 billion in 2008, and subordinated capital notes of $1.8 billion in 2010 and $1.9 billion in each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2009 and 2008. The Company has utilized interest rate swap agreements to modify the repricing characteristics of certain components of long-term debt. As of</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2010, swap agreements were used to hedge approximately $900 million of fixed rate subordinated notes. Further information on interest rate swap agreements</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is provided in note 18 of Notes to Financial Statements. Junior subordinated debentures associated with trust preferred securities that were included in average long-term</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borrowings were $1.2 billion in 2010 and $1.1 billion in each of 2009 and 2008. Additional information regarding junior subordinated debentures, as well as information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regarding contractual maturities of long-term borrowings, is provided in note 9 of Notes to Financial Statements. Also included in long-term borrowings were agreements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repurchase securities, which averaged $1.6 billion during 2010, 2009 and 2008. The agreements, which were entered into due to favorable rates available, have various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repurchase dates through 2017, however, the contractual maturities of the underlying securities extend beyond such repurchase dates.</w:t>
      </w:r>
    </w:p>
    <w:p>
      <w:pPr>
        <w:spacing w:after="0" w:line="6" w:lineRule="exact"/>
        <w:rPr>
          <w:sz w:val="20"/>
          <w:szCs w:val="20"/>
          <w:color w:val="auto"/>
        </w:rPr>
      </w:pPr>
    </w:p>
    <w:p>
      <w:pPr>
        <w:jc w:val="both"/>
        <w:ind w:left="680" w:right="60" w:firstLine="599"/>
        <w:spacing w:after="0" w:line="251" w:lineRule="auto"/>
        <w:rPr>
          <w:sz w:val="20"/>
          <w:szCs w:val="20"/>
          <w:color w:val="auto"/>
        </w:rPr>
      </w:pPr>
      <w:r>
        <w:rPr>
          <w:rFonts w:ascii="Arial" w:cs="Arial" w:eastAsia="Arial" w:hAnsi="Arial"/>
          <w:sz w:val="14"/>
          <w:szCs w:val="14"/>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3.59% in 2010, compared with 3.21% in 2009. The yield on the Company’s earning assets was 4.61% in each of 2010 and 2009, while the rate paid on interest-bearing liabilities declined 38 basis points to 1.02% in 2010 from 1.40% in 2009. The yield on earning assets during 2009 was 108 basis points lower than 5.69% in 2008, while the rate paid on interest-bearing liabilities decreased 128 basis points from 2.68% in 2008. The improvement in spread in 2010 as compared with 2009 was due predominantly to lower average rates paid on deposits. The improvement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40"/>
        <w:spacing w:after="0" w:line="273" w:lineRule="auto"/>
        <w:rPr>
          <w:sz w:val="20"/>
          <w:szCs w:val="20"/>
          <w:color w:val="auto"/>
        </w:rPr>
      </w:pPr>
      <w:r>
        <w:rPr>
          <w:rFonts w:ascii="Arial" w:cs="Arial" w:eastAsia="Arial" w:hAnsi="Arial"/>
          <w:sz w:val="13"/>
          <w:szCs w:val="13"/>
          <w:color w:val="auto"/>
        </w:rPr>
        <w:t>in spread from 2008 to 2009 reflected lower rates paid on deposits and borrowings. Those lower rates reflected the impact of the sluggish economy and the Federal Reserve’s monetary policies on both short-term and long-term interest rates. In addition, the Federal Open Market Committee noted in December 2010 that economic conditions, including low rates of resource utilization, subdued inflation trends, and stable inflation expectations, were likely to warrant exceptionally low levels for the federal funds rate for an extended period of time. At December 31, 2010 and 2009, the Federal Reserve’s target range for the overnight federal funds rate was 0% to .25%.</w:t>
      </w:r>
    </w:p>
    <w:p>
      <w:pPr>
        <w:ind w:left="680" w:firstLine="599"/>
        <w:spacing w:after="0" w:line="268" w:lineRule="auto"/>
        <w:rPr>
          <w:sz w:val="20"/>
          <w:szCs w:val="20"/>
          <w:color w:val="auto"/>
        </w:rPr>
      </w:pPr>
      <w:r>
        <w:rPr>
          <w:rFonts w:ascii="Arial" w:cs="Arial" w:eastAsia="Arial" w:hAnsi="Arial"/>
          <w:sz w:val="13"/>
          <w:szCs w:val="13"/>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$14.4 billion in 2010, compared with $11.7 billion in 2009 and $8.1 billion in 2008. The significant increases in average net interest-free funds in 2010 and 2009 were largely the result of higher balances of noninterest-bearing deposits, which averaged $13.7 billion in 2010, $11.1 billion in 2009, and $7.7 billion in 2008. In connection with the Provident and Bradford transactions, the Company added noninterest-bearing deposits totaling $946 million at the respective 2009 acquisition dates. Goodwill and core deposit and other intangible assets averaged $3.7 billion in 2010, $3.6 billion in 2009, and $3.4 billion in 2008. The cash surrender value of bank owned life insurance averaged $1.5 billion in 2010, $1.4 billion in 2009 and</w:t>
      </w:r>
    </w:p>
    <w:p>
      <w:pPr>
        <w:spacing w:after="0" w:line="1"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$1.2 billion in 2008. Increases in the cash surrender value of bank owned life insurance are not included in interest income, but rather are recorded in “other revenues from operations.” The contribution of net interest-free funds to net interest margin was .25% in 2010, .28% in 2009 and .37% in 2008. The decline in the contribution to net interest margin ascribed to net interest-free funds in 2010 as compared with 2009 and in 2009 as compared with 2008 resulted largely from the impact of lower interest rates on interest-bearing liabilities used to value such contribution.</w:t>
      </w:r>
    </w:p>
    <w:p>
      <w:pPr>
        <w:ind w:left="680" w:right="160" w:firstLine="599"/>
        <w:spacing w:after="0" w:line="249" w:lineRule="auto"/>
        <w:rPr>
          <w:sz w:val="20"/>
          <w:szCs w:val="20"/>
          <w:color w:val="auto"/>
        </w:rPr>
      </w:pPr>
      <w:r>
        <w:rPr>
          <w:rFonts w:ascii="Arial" w:cs="Arial" w:eastAsia="Arial" w:hAnsi="Arial"/>
          <w:sz w:val="14"/>
          <w:szCs w:val="14"/>
          <w:color w:val="auto"/>
        </w:rPr>
        <w:t>Reflecting the changes to the net interest spread and the contribution of interest-free funds as described herein, the Company’s net interest margin was 3.84% in 2010, compared with 3.49% in 2009 and 3.38% in 2008.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ind w:left="680" w:right="40" w:firstLine="599"/>
        <w:spacing w:after="0" w:line="268" w:lineRule="auto"/>
        <w:rPr>
          <w:sz w:val="20"/>
          <w:szCs w:val="20"/>
          <w:color w:val="auto"/>
        </w:rPr>
      </w:pPr>
      <w:r>
        <w:rPr>
          <w:rFonts w:ascii="Arial" w:cs="Arial" w:eastAsia="Arial" w:hAnsi="Arial"/>
          <w:sz w:val="13"/>
          <w:szCs w:val="13"/>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and</w:t>
      </w:r>
    </w:p>
    <w:p>
      <w:pPr>
        <w:spacing w:after="0" w:line="1" w:lineRule="exact"/>
        <w:rPr>
          <w:sz w:val="20"/>
          <w:szCs w:val="20"/>
          <w:color w:val="auto"/>
        </w:rPr>
      </w:pPr>
    </w:p>
    <w:p>
      <w:pPr>
        <w:jc w:val="both"/>
        <w:ind w:left="680" w:right="200"/>
        <w:spacing w:after="0" w:line="249" w:lineRule="auto"/>
        <w:rPr>
          <w:sz w:val="20"/>
          <w:szCs w:val="20"/>
          <w:color w:val="auto"/>
        </w:rPr>
      </w:pPr>
      <w:r>
        <w:rPr>
          <w:rFonts w:ascii="Arial" w:cs="Arial" w:eastAsia="Arial" w:hAnsi="Arial"/>
          <w:sz w:val="14"/>
          <w:szCs w:val="14"/>
          <w:color w:val="auto"/>
        </w:rPr>
        <w:t>$1.1 billion at December 31, 2010 and 2009, respectively. Under the terms of those swap agreements, the Company received payments based on the outstanding notional amount of the agreements at fixed rates and made payments at variable rates. Those swap agreements were designated as fair value hedges of certain fixed rate long-term borrowings and, to a lesser extent at December 31, 2009, certain fixed rate time deposits. There were no interest rate swap agreements designated as cash flow hedges at those respective dates.</w:t>
      </w:r>
    </w:p>
    <w:p>
      <w:pPr>
        <w:ind w:left="680" w:firstLine="599"/>
        <w:spacing w:after="0" w:line="273" w:lineRule="auto"/>
        <w:rPr>
          <w:sz w:val="20"/>
          <w:szCs w:val="20"/>
          <w:color w:val="auto"/>
        </w:rPr>
      </w:pPr>
      <w:r>
        <w:rPr>
          <w:rFonts w:ascii="Arial" w:cs="Arial" w:eastAsia="Arial" w:hAnsi="Arial"/>
          <w:sz w:val="13"/>
          <w:szCs w:val="13"/>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2010, 2009 and 2008 were not material to the Company’s results of operations. The estimated aggregate fair value of interest rate swap agreements designated as fair value hedges represented gains of approximately $97 million at December 31, 2010 and $54 million at December 31, 2009. The fair values of such swap agreements were substantially offset by changes in the fair values of the hedged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78" w:lineRule="auto"/>
        <w:rPr>
          <w:sz w:val="20"/>
          <w:szCs w:val="20"/>
          <w:color w:val="auto"/>
        </w:rPr>
      </w:pPr>
      <w:r>
        <w:rPr>
          <w:rFonts w:ascii="Arial" w:cs="Arial" w:eastAsia="Arial" w:hAnsi="Arial"/>
          <w:sz w:val="13"/>
          <w:szCs w:val="13"/>
          <w:color w:val="auto"/>
        </w:rPr>
        <w:t>items. The changes in the fair values of the interest rate swap agreements and the hedged items primarily result from the effects of changing interest rates and spreads. The Company’s credit exposure as of December 31, 2010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$55 million of collateral with the Company. Additional information about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9</w:t>
      </w:r>
    </w:p>
    <w:p>
      <w:pPr>
        <w:spacing w:after="0" w:line="134"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INTEREST RATE SWAP AGREEMENTS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0"/>
                <w:szCs w:val="10"/>
                <w:b w:val="1"/>
                <w:bCs w:val="1"/>
                <w:color w:val="auto"/>
                <w:w w:val="99"/>
              </w:rPr>
              <w:t>Year Ended December 31</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right"/>
              <w:ind w:right="24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right"/>
              <w:ind w:right="3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right"/>
              <w:ind w:right="60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Rate(a)</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right"/>
              <w:ind w:right="548"/>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Rate(a)</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Rate(a)</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(decrease) in:</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00" w:type="dxa"/>
            <w:vAlign w:val="bottom"/>
            <w:gridSpan w:val="2"/>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(41,885)</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(.09)</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(38,208)</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(15,857)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 interest income/margin</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41,885</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38,208</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15,857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notional amount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1,012,786</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1,079,625</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1,269,017</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00" w:type="dxa"/>
            <w:vAlign w:val="bottom"/>
            <w:gridSpan w:val="2"/>
          </w:tcPr>
          <w:p>
            <w:pPr>
              <w:spacing w:after="0"/>
              <w:rPr>
                <w:sz w:val="20"/>
                <w:szCs w:val="20"/>
                <w:color w:val="auto"/>
              </w:rPr>
            </w:pPr>
            <w:r>
              <w:rPr>
                <w:rFonts w:ascii="Arial" w:cs="Arial" w:eastAsia="Arial" w:hAnsi="Arial"/>
                <w:sz w:val="13"/>
                <w:szCs w:val="13"/>
                <w:color w:val="auto"/>
              </w:rPr>
              <w:t>Rate received(b)</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6.27%</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6.32%</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Rate paid(b)</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2.78%</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Computed as a percentage of average earning assets or interest-bearing liabilities.</w:t>
      </w:r>
    </w:p>
    <w:p>
      <w:pPr>
        <w:spacing w:after="0" w:line="47" w:lineRule="exact"/>
        <w:rPr>
          <w:rFonts w:ascii="Arial" w:cs="Arial" w:eastAsia="Arial" w:hAnsi="Arial"/>
          <w:sz w:val="13"/>
          <w:szCs w:val="13"/>
          <w:i w:val="1"/>
          <w:iCs w:val="1"/>
          <w:color w:val="auto"/>
        </w:rPr>
      </w:pPr>
    </w:p>
    <w:p>
      <w:pPr>
        <w:ind w:left="1080" w:hanging="393"/>
        <w:spacing w:after="0"/>
        <w:tabs>
          <w:tab w:leader="none" w:pos="108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rate paid or received on interest rate swap agreements in effect during year.</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Provision for Credit Losses</w:t>
      </w:r>
    </w:p>
    <w:p>
      <w:pPr>
        <w:spacing w:after="0" w:line="22" w:lineRule="exact"/>
        <w:rPr>
          <w:sz w:val="20"/>
          <w:szCs w:val="20"/>
          <w:color w:val="auto"/>
        </w:rPr>
      </w:pPr>
    </w:p>
    <w:p>
      <w:pPr>
        <w:ind w:left="680" w:right="80"/>
        <w:spacing w:after="0" w:line="268" w:lineRule="auto"/>
        <w:rPr>
          <w:sz w:val="20"/>
          <w:szCs w:val="20"/>
          <w:color w:val="auto"/>
        </w:rPr>
      </w:pPr>
      <w:r>
        <w:rPr>
          <w:rFonts w:ascii="Arial" w:cs="Arial" w:eastAsia="Arial" w:hAnsi="Arial"/>
          <w:sz w:val="13"/>
          <w:szCs w:val="13"/>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was $368 million in 2010, compared with $604 million in 2009 and $412 million in 2008. Net loan charge-offs aggregated $346 million in 2010, $514 million in 2009 and $383 million in 2008. Net loan charge-offs as a percentage of average loans outstanding were .67% in 2010, compared with 1.01% in 2009 and .78% in 2008. While the Company experienced improvement in its credit quality metrics during 2010, the levels of the provision subsequent to 2007 have been higher than historical levels, reflecting a pronounced downturn in the</w:t>
      </w:r>
    </w:p>
    <w:p>
      <w:pPr>
        <w:spacing w:after="0" w:line="1"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U.S. economy and significant deterioration in the residential real estate market that began in early-2007. Declining real estate valuations and high levels of delinquencies and charge-offs significantly affected the quality of the Company’s residential real estate-related loan portfolios. Specifically, the Company’s Alt-A residential real estate loan portfolio and its residential real estate builder and developer loan portfolio experienced the majority of the credit problems related to the turmoil in the residential real estate marketplace. The Company also experienced higher levels of commercial and consumer loan charge-offs over the past three years due to, among other things, higher unemployment levels and the recessionary economy. A summary of the Company’s loan charge-offs, provision and allowance for credit losses is presented in table 10 and in note 5 of Notes to Financial Statements.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10</w:t>
      </w:r>
    </w:p>
    <w:p>
      <w:pPr>
        <w:spacing w:after="0" w:line="252"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LOAN CHARGE-OFFS, PROVISION AND ALLOWANCE FOR CREDIT LOSSES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(Dollars in 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 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878,022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787,904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759,439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649,948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637,663</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Charge-offs during year</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financial, leasing, etc.</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91,650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180,119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102,092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32,206</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23,949</w:t>
            </w: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Real estate — construction</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86,603</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7"/>
              </w:rPr>
              <w:t>127,728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105,940</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3,830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 — mortgage</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108,500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95,109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73,485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23,552</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6,406</w:t>
            </w: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Consumer</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125,593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153,506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139,138</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86,710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65,251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charge-offs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412,346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556,462</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420,655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146,298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95,606</w:t>
            </w:r>
          </w:p>
        </w:tc>
        <w:tc>
          <w:tcPr>
            <w:tcW w:w="0" w:type="dxa"/>
            <w:vAlign w:val="bottom"/>
          </w:tcPr>
          <w:p>
            <w:pPr>
              <w:spacing w:after="0"/>
              <w:rPr>
                <w:sz w:val="1"/>
                <w:szCs w:val="1"/>
                <w:color w:val="auto"/>
              </w:rPr>
            </w:pPr>
          </w:p>
        </w:tc>
      </w:tr>
      <w:tr>
        <w:trPr>
          <w:trHeight w:val="156"/>
        </w:trPr>
        <w:tc>
          <w:tcPr>
            <w:tcW w:w="5260" w:type="dxa"/>
            <w:vAlign w:val="bottom"/>
          </w:tcPr>
          <w:p>
            <w:pPr>
              <w:spacing w:after="0"/>
              <w:rPr>
                <w:sz w:val="20"/>
                <w:szCs w:val="20"/>
                <w:color w:val="auto"/>
              </w:rPr>
            </w:pPr>
            <w:r>
              <w:rPr>
                <w:rFonts w:ascii="Arial" w:cs="Arial" w:eastAsia="Arial" w:hAnsi="Arial"/>
                <w:sz w:val="13"/>
                <w:szCs w:val="13"/>
                <w:color w:val="auto"/>
              </w:rPr>
              <w:t>Recoveries during year</w:t>
            </w: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financial, leasing, etc.</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26,621</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7,999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8,587</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8,366</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4,119</w:t>
            </w: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Real estate — construction</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4,975</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2,623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 — mortgage</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10,954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6,917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4,069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1,934</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Consumer</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23,963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25,041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24,620</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22,243</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21,988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recoveries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42,580</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37,645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32,543</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27,891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3"/>
                <w:szCs w:val="13"/>
                <w:color w:val="auto"/>
              </w:rPr>
              <w:t>Net charge-offs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345,833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513,882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383,010</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113,755</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67,715</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368,000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604,000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412,000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192,000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Allowance for credit losses acquired during the year</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32,668</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Allowance related to loans sold or securitized</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(1,422)</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20"/>
                <w:szCs w:val="20"/>
                <w:color w:val="auto"/>
              </w:rPr>
            </w:pPr>
            <w:r>
              <w:rPr>
                <w:rFonts w:ascii="Arial" w:cs="Arial" w:eastAsia="Arial" w:hAnsi="Arial"/>
                <w:sz w:val="13"/>
                <w:szCs w:val="13"/>
                <w:color w:val="auto"/>
              </w:rPr>
              <w:t>Consolidation of loan securitization trusts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 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902,941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878,022</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787,904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759,439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649,948</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Arial" w:cs="Arial" w:eastAsia="Arial" w:hAnsi="Arial"/>
                <w:sz w:val="13"/>
                <w:szCs w:val="13"/>
                <w:color w:val="auto"/>
              </w:rPr>
              <w:t>Net charge-offs as a percent of:</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credit losses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93.98%</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85.08%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92.96%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59.25%</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84.64%</w:t>
            </w: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Average loans and leases, net of unearned discount</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52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Allowance for credit losses as a percent of loans and leases, net of unearned discount, at year-</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60" w:type="dxa"/>
            <w:vAlign w:val="bottom"/>
          </w:tcPr>
          <w:p>
            <w:pPr>
              <w:ind w:left="140"/>
              <w:spacing w:after="0"/>
              <w:rPr>
                <w:sz w:val="20"/>
                <w:szCs w:val="20"/>
                <w:color w:val="auto"/>
              </w:rPr>
            </w:pPr>
            <w:r>
              <w:rPr>
                <w:rFonts w:ascii="Arial" w:cs="Arial" w:eastAsia="Arial" w:hAnsi="Arial"/>
                <w:sz w:val="13"/>
                <w:szCs w:val="13"/>
                <w:color w:val="auto"/>
              </w:rPr>
              <w:t>Legacy loans</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57"/>
        </w:trPr>
        <w:tc>
          <w:tcPr>
            <w:tcW w:w="5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firstLine="599"/>
        <w:spacing w:after="0" w:line="277" w:lineRule="auto"/>
        <w:rPr>
          <w:sz w:val="20"/>
          <w:szCs w:val="20"/>
          <w:color w:val="auto"/>
        </w:rPr>
      </w:pPr>
      <w:r>
        <w:rPr>
          <w:rFonts w:ascii="Arial" w:cs="Arial" w:eastAsia="Arial" w:hAnsi="Arial"/>
          <w:sz w:val="13"/>
          <w:szCs w:val="13"/>
          <w:color w:val="auto"/>
        </w:rPr>
        <w:t>Loans acquired in connection with the 2010 and 2009 acquisition transactions were recorded at fair value with no carry-over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Nonaccrual loans totaled $1.24 billion or 2.38% of outstanding loans and leases at December 31, 2010, compared with $1.33 billion or 2.56% at December 31, 2009 and $755 million or 1.54% at December 31, 2008. The decline in nonaccrual loans at the end of 2010 as compared with December 31, 2009 was largely attributable to the impact of charge-offs, individually significant payments made in 2010 by a borrower that operates retirement communities and by a borrower that is a consumer finance and credit insurance company, and the transfer to real estate and other foreclosed assets of $98 million of collateral related to a commercial real estate loan that was placed in nonaccrual status during the fourth quarter of 2009. Those reductions were partially offset by additional loans being transferred to nonaccrual status. In particular, in the fourth quarter of 2010 such transfers included an $80 million relationship with a residential builder and developer and $66 million of commercial construction loans to an owner/operator of retirement and assisted living facilities. Major factors contributing to the rise in nonaccrual loans from December 31, 2008 to the 2009 year-end were a $209 million increase in commercial loans and leases and a $319 million increase in commercial real estate loans, including a $113 million rise in loans to builders and developers of residential real estate. The continuing turbulence in the residential real estate marketplace has resulted in depressed real estate values and high levels of delinquencies, both for loans to consumers and loans to builders and developers of residential real estate. The sluggish U.S. economy has resulted in generally higher levels of nonaccrual loans than historically experienced by the Company.</w:t>
      </w:r>
    </w:p>
    <w:p>
      <w:pPr>
        <w:ind w:left="680" w:right="20" w:firstLine="599"/>
        <w:spacing w:after="0" w:line="250" w:lineRule="auto"/>
        <w:rPr>
          <w:sz w:val="20"/>
          <w:szCs w:val="20"/>
          <w:color w:val="auto"/>
        </w:rPr>
      </w:pPr>
      <w:r>
        <w:rPr>
          <w:rFonts w:ascii="Arial" w:cs="Arial" w:eastAsia="Arial" w:hAnsi="Arial"/>
          <w:sz w:val="14"/>
          <w:szCs w:val="14"/>
          <w:color w:val="auto"/>
        </w:rPr>
        <w:t>Accruing loans past due 90 days or more were $270 million or .52% of total loans and leases at December 31, 2010, compared with $208 million or .40% at December 31, 2009 and $159 million or .32% at December 31, 2008. Those loans included loans guaranteed by government-related entities of $214 million, $193 million and $114 million at December 31, 2010, 2009 and 2008,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$191 million at December 31, 2010, $176 million at December 31, 2009 and $108 million at December 31, 2008. Loans past due 90 days or more and accruing interest that were guaranteed by government-related entities also included foreign commercial and industrial loans supported by the Export-Import Bank of the United States that totaled $11 million at December 31, 2010, $13 million at December 31, 2009 and $5 million at December 31, 2008. A summary of nonperforming assets and certain past due, renegotiated and impaired loan data and credit quality ratios is presented in table 11.</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11</w:t>
      </w:r>
    </w:p>
    <w:p>
      <w:pPr>
        <w:spacing w:after="0" w:line="252"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NONPERFORMING ASSET AND PAST DUE, RENEGOTIATED AND IMPAIRED LOAN DATA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2009</w:t>
            </w:r>
          </w:p>
        </w:tc>
        <w:tc>
          <w:tcPr>
            <w:tcW w:w="42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91"/>
              </w:rPr>
              <w:t>(Dollars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5"/>
              </w:rPr>
              <w:t>in thousands)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Nonaccrual loans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1,239,194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1,331,702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755,397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431,282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209,272</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Real estate and other foreclosed assets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220,049</w:t>
            </w:r>
          </w:p>
        </w:tc>
        <w:tc>
          <w:tcPr>
            <w:tcW w:w="180" w:type="dxa"/>
            <w:vAlign w:val="bottom"/>
          </w:tcPr>
          <w:p>
            <w:pPr>
              <w:spacing w:after="0"/>
              <w:rPr>
                <w:sz w:val="13"/>
                <w:szCs w:val="13"/>
                <w:color w:val="auto"/>
              </w:rPr>
            </w:pPr>
          </w:p>
        </w:tc>
        <w:tc>
          <w:tcPr>
            <w:tcW w:w="1040" w:type="dxa"/>
            <w:vAlign w:val="bottom"/>
            <w:gridSpan w:val="2"/>
          </w:tcPr>
          <w:p>
            <w:pPr>
              <w:jc w:val="right"/>
              <w:ind w:right="368"/>
              <w:spacing w:after="0"/>
              <w:rPr>
                <w:sz w:val="20"/>
                <w:szCs w:val="20"/>
                <w:color w:val="auto"/>
              </w:rPr>
            </w:pPr>
            <w:r>
              <w:rPr>
                <w:rFonts w:ascii="Arial" w:cs="Arial" w:eastAsia="Arial" w:hAnsi="Arial"/>
                <w:sz w:val="13"/>
                <w:szCs w:val="13"/>
                <w:color w:val="auto"/>
              </w:rPr>
              <w:t>94,604</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99,617</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40,175</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12,141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1,459,243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1,426,306</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855,014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471,457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221,413</w:t>
            </w:r>
          </w:p>
        </w:tc>
        <w:tc>
          <w:tcPr>
            <w:tcW w:w="0" w:type="dxa"/>
            <w:vAlign w:val="bottom"/>
          </w:tcPr>
          <w:p>
            <w:pPr>
              <w:spacing w:after="0"/>
              <w:rPr>
                <w:sz w:val="1"/>
                <w:szCs w:val="1"/>
                <w:color w:val="auto"/>
              </w:rPr>
            </w:pPr>
          </w:p>
        </w:tc>
      </w:tr>
      <w:tr>
        <w:trPr>
          <w:trHeight w:val="29"/>
        </w:trPr>
        <w:tc>
          <w:tcPr>
            <w:tcW w:w="4660" w:type="dxa"/>
            <w:vAlign w:val="bottom"/>
            <w:vMerge w:val="restart"/>
          </w:tcPr>
          <w:p>
            <w:pPr>
              <w:spacing w:after="0"/>
              <w:rPr>
                <w:sz w:val="20"/>
                <w:szCs w:val="20"/>
                <w:color w:val="auto"/>
              </w:rPr>
            </w:pPr>
            <w:r>
              <w:rPr>
                <w:rFonts w:ascii="Arial" w:cs="Arial" w:eastAsia="Arial" w:hAnsi="Arial"/>
                <w:sz w:val="13"/>
                <w:szCs w:val="13"/>
                <w:color w:val="auto"/>
              </w:rPr>
              <w:t>Accruing loans past due 90 days or more(a)</w:t>
            </w: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660" w:type="dxa"/>
            <w:vAlign w:val="bottom"/>
            <w:vMerge w:val="continue"/>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269,593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68"/>
              <w:spacing w:after="0"/>
              <w:rPr>
                <w:sz w:val="20"/>
                <w:szCs w:val="20"/>
                <w:color w:val="auto"/>
              </w:rPr>
            </w:pPr>
            <w:r>
              <w:rPr>
                <w:rFonts w:ascii="Arial" w:cs="Arial" w:eastAsia="Arial" w:hAnsi="Arial"/>
                <w:sz w:val="13"/>
                <w:szCs w:val="13"/>
                <w:color w:val="auto"/>
              </w:rPr>
              <w:t>208,080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158,991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77,319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111,307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Renegotiated loans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233,342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212,548</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91,575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15,884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14,956</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Arial" w:cs="Arial" w:eastAsia="Arial" w:hAnsi="Arial"/>
                <w:sz w:val="13"/>
                <w:szCs w:val="13"/>
                <w:color w:val="auto"/>
              </w:rPr>
              <w:t>Government guaranteed loans included in totals above:</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Nonaccrual loans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56,787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38,579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32,506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19,125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17,586</w:t>
            </w: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Accruing loans past due 90 days or more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214,111</w:t>
            </w:r>
          </w:p>
        </w:tc>
        <w:tc>
          <w:tcPr>
            <w:tcW w:w="180" w:type="dxa"/>
            <w:vAlign w:val="bottom"/>
          </w:tcPr>
          <w:p>
            <w:pPr>
              <w:spacing w:after="0"/>
              <w:rPr>
                <w:sz w:val="13"/>
                <w:szCs w:val="13"/>
                <w:color w:val="auto"/>
              </w:rPr>
            </w:pPr>
          </w:p>
        </w:tc>
        <w:tc>
          <w:tcPr>
            <w:tcW w:w="1040" w:type="dxa"/>
            <w:vAlign w:val="bottom"/>
            <w:gridSpan w:val="2"/>
          </w:tcPr>
          <w:p>
            <w:pPr>
              <w:jc w:val="right"/>
              <w:ind w:right="368"/>
              <w:spacing w:after="0"/>
              <w:rPr>
                <w:sz w:val="20"/>
                <w:szCs w:val="20"/>
                <w:color w:val="auto"/>
              </w:rPr>
            </w:pPr>
            <w:r>
              <w:rPr>
                <w:rFonts w:ascii="Arial" w:cs="Arial" w:eastAsia="Arial" w:hAnsi="Arial"/>
                <w:sz w:val="13"/>
                <w:szCs w:val="13"/>
                <w:color w:val="auto"/>
              </w:rPr>
              <w:t>193,495</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114,183</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72,705</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76,622</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spacing w:after="0"/>
              <w:rPr>
                <w:sz w:val="20"/>
                <w:szCs w:val="20"/>
                <w:color w:val="auto"/>
              </w:rPr>
            </w:pPr>
            <w:r>
              <w:rPr>
                <w:rFonts w:ascii="Arial" w:cs="Arial" w:eastAsia="Arial" w:hAnsi="Arial"/>
                <w:sz w:val="13"/>
                <w:szCs w:val="13"/>
                <w:color w:val="auto"/>
              </w:rPr>
              <w:t>Purchased impaired loans(b):</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60" w:type="dxa"/>
            <w:vAlign w:val="bottom"/>
          </w:tcPr>
          <w:p>
            <w:pPr>
              <w:ind w:left="140"/>
              <w:spacing w:after="0"/>
              <w:rPr>
                <w:sz w:val="20"/>
                <w:szCs w:val="20"/>
                <w:color w:val="auto"/>
              </w:rPr>
            </w:pPr>
            <w:r>
              <w:rPr>
                <w:rFonts w:ascii="Arial" w:cs="Arial" w:eastAsia="Arial" w:hAnsi="Arial"/>
                <w:sz w:val="13"/>
                <w:szCs w:val="13"/>
                <w:color w:val="auto"/>
              </w:rPr>
              <w:t>Outstanding customer balance</w:t>
            </w: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219,477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68"/>
              <w:spacing w:after="0"/>
              <w:rPr>
                <w:sz w:val="20"/>
                <w:szCs w:val="20"/>
                <w:color w:val="auto"/>
              </w:rPr>
            </w:pPr>
            <w:r>
              <w:rPr>
                <w:rFonts w:ascii="Arial" w:cs="Arial" w:eastAsia="Arial" w:hAnsi="Arial"/>
                <w:sz w:val="13"/>
                <w:szCs w:val="13"/>
                <w:color w:val="auto"/>
              </w:rPr>
              <w:t>172,772</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Carrying amount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97,019</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88,170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60" w:type="dxa"/>
            <w:vAlign w:val="bottom"/>
          </w:tcPr>
          <w:p>
            <w:pPr>
              <w:spacing w:after="0"/>
              <w:rPr>
                <w:sz w:val="20"/>
                <w:szCs w:val="20"/>
                <w:color w:val="auto"/>
              </w:rPr>
            </w:pPr>
            <w:r>
              <w:rPr>
                <w:rFonts w:ascii="Arial" w:cs="Arial" w:eastAsia="Arial" w:hAnsi="Arial"/>
                <w:sz w:val="13"/>
                <w:szCs w:val="13"/>
                <w:color w:val="auto"/>
              </w:rPr>
              <w:t>Nonaccrual loans to total loans and leases, net of unearned discount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2.38%</w:t>
            </w:r>
          </w:p>
        </w:tc>
        <w:tc>
          <w:tcPr>
            <w:tcW w:w="180" w:type="dxa"/>
            <w:vAlign w:val="bottom"/>
          </w:tcPr>
          <w:p>
            <w:pPr>
              <w:spacing w:after="0"/>
              <w:rPr>
                <w:sz w:val="13"/>
                <w:szCs w:val="13"/>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1"/>
              </w:rPr>
              <w:t>Nonperforming assets to total net loans and leases and real estate and other foreclosed</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Arial" w:cs="Arial" w:eastAsia="Arial" w:hAnsi="Arial"/>
                <w:sz w:val="13"/>
                <w:szCs w:val="13"/>
                <w:color w:val="auto"/>
                <w:w w:val="96"/>
              </w:rPr>
              <w:t>Accruing loans past due 90 days or more to total loans and leases, net of unearned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60" w:type="dxa"/>
            <w:vAlign w:val="bottom"/>
          </w:tcPr>
          <w:p>
            <w:pPr>
              <w:ind w:left="140"/>
              <w:spacing w:after="0"/>
              <w:rPr>
                <w:sz w:val="20"/>
                <w:szCs w:val="20"/>
                <w:color w:val="auto"/>
              </w:rPr>
            </w:pPr>
            <w:r>
              <w:rPr>
                <w:rFonts w:ascii="Arial" w:cs="Arial" w:eastAsia="Arial" w:hAnsi="Arial"/>
                <w:sz w:val="13"/>
                <w:szCs w:val="13"/>
                <w:color w:val="auto"/>
              </w:rPr>
              <w:t>discount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hanging="393"/>
        <w:spacing w:after="0"/>
        <w:tabs>
          <w:tab w:leader="none" w:pos="108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Predominately residential mortgage loans.</w:t>
      </w:r>
    </w:p>
    <w:p>
      <w:pPr>
        <w:spacing w:after="0" w:line="47" w:lineRule="exact"/>
        <w:rPr>
          <w:rFonts w:ascii="Arial" w:cs="Arial" w:eastAsia="Arial" w:hAnsi="Arial"/>
          <w:sz w:val="13"/>
          <w:szCs w:val="13"/>
          <w:i w:val="1"/>
          <w:iCs w:val="1"/>
          <w:color w:val="auto"/>
        </w:rPr>
      </w:pPr>
    </w:p>
    <w:p>
      <w:pPr>
        <w:ind w:left="1080" w:hanging="393"/>
        <w:spacing w:after="0"/>
        <w:tabs>
          <w:tab w:leader="none" w:pos="108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Accruing loans that were impaired at acquisition date and recorded at fair value.</w:t>
      </w:r>
    </w:p>
    <w:p>
      <w:pPr>
        <w:spacing w:after="0" w:line="92"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Loans obtained in the 2010 and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$97 million at December 31, 2010, or approximately .2% of total loans.</w:t>
      </w:r>
    </w:p>
    <w:p>
      <w:pPr>
        <w:ind w:left="680" w:firstLine="599"/>
        <w:spacing w:after="0" w:line="268" w:lineRule="auto"/>
        <w:rPr>
          <w:sz w:val="20"/>
          <w:szCs w:val="20"/>
          <w:color w:val="auto"/>
        </w:rPr>
      </w:pPr>
      <w:r>
        <w:rPr>
          <w:rFonts w:ascii="Arial" w:cs="Arial" w:eastAsia="Arial" w:hAnsi="Arial"/>
          <w:sz w:val="13"/>
          <w:szCs w:val="13"/>
          <w:color w:val="auto"/>
        </w:rPr>
        <w:t>In an effort to assist borrowers, the Company modified the terms of select loans secured by residential real estate, largely from the Company’s portfolio of Alt-A loans. Included in loans outstanding at December 31, 2010 were $308 million of such modified loans, of which $117 million were classified as nonaccrual. The remaining modified loans have demonstrated payment capability consistent with the modified terms and, accordingly, were classified as renegotiated loans and were accruing interest at the 2010 year-end.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Modified residential real estate loans totaled</w:t>
      </w:r>
    </w:p>
    <w:p>
      <w:pPr>
        <w:spacing w:after="0" w:line="1" w:lineRule="exact"/>
        <w:rPr>
          <w:sz w:val="20"/>
          <w:szCs w:val="20"/>
          <w:color w:val="auto"/>
        </w:rPr>
      </w:pPr>
    </w:p>
    <w:p>
      <w:pPr>
        <w:ind w:left="680" w:right="100"/>
        <w:spacing w:after="0" w:line="249" w:lineRule="auto"/>
        <w:rPr>
          <w:sz w:val="20"/>
          <w:szCs w:val="20"/>
          <w:color w:val="auto"/>
        </w:rPr>
      </w:pPr>
      <w:r>
        <w:rPr>
          <w:rFonts w:ascii="Arial" w:cs="Arial" w:eastAsia="Arial" w:hAnsi="Arial"/>
          <w:sz w:val="14"/>
          <w:szCs w:val="14"/>
          <w:color w:val="auto"/>
        </w:rPr>
        <w:t>$292 million at December 31, 2009, of which $108 million were in nonaccrual status. The Company has not generally granted loan modifications that involved a reduction of loan principal balance.</w:t>
      </w:r>
    </w:p>
    <w:p>
      <w:pPr>
        <w:ind w:left="680" w:right="20" w:firstLine="599"/>
        <w:spacing w:after="0" w:line="253" w:lineRule="auto"/>
        <w:rPr>
          <w:sz w:val="20"/>
          <w:szCs w:val="20"/>
          <w:color w:val="auto"/>
        </w:rPr>
      </w:pPr>
      <w:r>
        <w:rPr>
          <w:rFonts w:ascii="Arial" w:cs="Arial" w:eastAsia="Arial" w:hAnsi="Arial"/>
          <w:sz w:val="14"/>
          <w:szCs w:val="14"/>
          <w:color w:val="auto"/>
        </w:rPr>
        <w:t>Net charge-offs of commercial loans and leases totaled $65 million in 2010, $172 million in 2009 and $94 million in 2008. The higher charge-offs experienced during 2009 were largely the result of a few individually significant charge-offs in that year, including a $45 million partial charge-off of an unsecured loan to a single customer in the commercial real estate sector and a $42 million partial charge-off of a relationship with an operator of retirement communities. Commercial loans and leases in nonaccrual status were $187 million at December 31, 2010, $322 million at December 31, 2009 and $114 million at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52" w:lineRule="auto"/>
        <w:rPr>
          <w:sz w:val="20"/>
          <w:szCs w:val="20"/>
          <w:color w:val="auto"/>
        </w:rPr>
      </w:pPr>
      <w:r>
        <w:rPr>
          <w:rFonts w:ascii="Arial" w:cs="Arial" w:eastAsia="Arial" w:hAnsi="Arial"/>
          <w:sz w:val="14"/>
          <w:szCs w:val="14"/>
          <w:color w:val="auto"/>
        </w:rPr>
        <w:t>December 31, 2008. The decline from December 31, 2009 to the 2010 year-end reflects $62 million of payments related to a single borrower that operates retirement communities and the payoffs of a $37 million loan to a consumer finance and credit insurance company and a $36 million loan to a borrower in the commercial real estate sector. The rise in nonaccrual commercial loans from the 2008 year-end to December 31, 2009 reflects the impact of general economic conditions on borrowers’ abilities to repay loans. Specifically contributing to that increase were the additions of the relationship to a borrower that operates retirement communities ($41 million), a $37 million loan to a consumer finance and credit insurance company, the loan to a borrower in the commercial real estate sector ($36 million) and a $22 million loan to a business in the health care sector.</w:t>
      </w:r>
    </w:p>
    <w:p>
      <w:pPr>
        <w:ind w:left="680" w:firstLine="599"/>
        <w:spacing w:after="0" w:line="271" w:lineRule="auto"/>
        <w:rPr>
          <w:sz w:val="20"/>
          <w:szCs w:val="20"/>
          <w:color w:val="auto"/>
        </w:rPr>
      </w:pPr>
      <w:r>
        <w:rPr>
          <w:rFonts w:ascii="Arial" w:cs="Arial" w:eastAsia="Arial" w:hAnsi="Arial"/>
          <w:sz w:val="13"/>
          <w:szCs w:val="13"/>
          <w:color w:val="auto"/>
        </w:rPr>
        <w:t>Net charge-offs of commercial real estate loans during 2010, 2009 and 2008 were $118 million, $121 million and $112 million, respectively. Reflected in 2010’s charge-offs were $71 million of loans to residential real estate builders and developers, compared with $92 million in 2009 and $100 million in 2008. Commercial real estate loans classified as nonaccrual totaled $682 million at December 31, 2010, compared with $638 million at December 31, 2009 and $319 million at December 31, 2008. The increase in such loans in 2010 reflects a $40 million rise in nonperforming loans to homebuilders and developers and the addition of $66 million of construction loans to an owner/operator of retirement and assisted living facilities. Those factors were partially offset by the removal from this category of a loan collateralized by real estate in New York City that was initially placed on nonaccrual status in the fourth quarter of 2009. Following a $7 million charge-off, the remaining $98 million of that loan’s carrying value was transferred to “Real Estate and Other Foreclosed Assets” in the second quarter of 2010. Contributing to the rise in commercial real estate loans in nonaccrual status from December 31, 2008 to the 2009 year-end were an increase of $113 million in such loans to residential homebuilders and developers and the loan collateralized by real estate in New York City ($104 million). At December 31, 2010 and 2009, loans to residential homebuilders and developers classified as nonaccrual aggregated $362 million and $322 million, respectively, compared with $209 million at December 31, 2008. Information about the location of nonaccrual and charged-off loans to residential real estate builders and developers as of and for the year ended December 31, 2010 is presented in table 12.</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12</w:t>
      </w:r>
    </w:p>
    <w:p>
      <w:pPr>
        <w:spacing w:after="0" w:line="252"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RESIDENTIAL BUILDER AND DEVELOPER LOANS, NET OF UNEARNED DISCOUNT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7"/>
            <w:vMerge w:val="restart"/>
          </w:tcPr>
          <w:p>
            <w:pPr>
              <w:jc w:val="center"/>
              <w:ind w:right="1340"/>
              <w:spacing w:after="0"/>
              <w:rPr>
                <w:sz w:val="20"/>
                <w:szCs w:val="20"/>
                <w:color w:val="auto"/>
              </w:rPr>
            </w:pPr>
            <w:r>
              <w:rPr>
                <w:rFonts w:ascii="Arial" w:cs="Arial" w:eastAsia="Arial" w:hAnsi="Arial"/>
                <w:sz w:val="10"/>
                <w:szCs w:val="10"/>
                <w:b w:val="1"/>
                <w:bCs w:val="1"/>
                <w:color w:val="auto"/>
                <w:w w:val="93"/>
              </w:rPr>
              <w:t>December 31, 2010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8"/>
              </w:rPr>
              <w:t>Year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5"/>
              </w:rPr>
              <w:t>December 31, 2010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160" w:type="dxa"/>
            <w:vAlign w:val="bottom"/>
            <w:tcBorders>
              <w:top w:val="single" w:sz="8" w:color="auto"/>
              <w:bottom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rPr>
              <w:t>Nonaccrual</w:t>
            </w:r>
          </w:p>
        </w:tc>
        <w:tc>
          <w:tcPr>
            <w:tcW w:w="4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960" w:type="dxa"/>
            <w:vAlign w:val="bottom"/>
            <w:tcBorders>
              <w:top w:val="single" w:sz="8" w:color="auto"/>
              <w:bottom w:val="single" w:sz="8" w:color="auto"/>
            </w:tcBorders>
            <w:gridSpan w:val="4"/>
          </w:tcPr>
          <w:p>
            <w:pPr>
              <w:jc w:val="center"/>
              <w:ind w:right="49"/>
              <w:spacing w:after="0" w:line="98" w:lineRule="exact"/>
              <w:rPr>
                <w:sz w:val="20"/>
                <w:szCs w:val="20"/>
                <w:color w:val="auto"/>
              </w:rPr>
            </w:pPr>
            <w:r>
              <w:rPr>
                <w:rFonts w:ascii="Arial" w:cs="Arial" w:eastAsia="Arial" w:hAnsi="Arial"/>
                <w:sz w:val="10"/>
                <w:szCs w:val="10"/>
                <w:b w:val="1"/>
                <w:bCs w:val="1"/>
                <w:color w:val="auto"/>
                <w:w w:val="94"/>
              </w:rPr>
              <w:t>Net Charge-offs (Recoveries)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1"/>
              </w:rPr>
              <w:t>Outstanding</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9"/>
              </w:rPr>
              <w:t>Percent of</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Percent of Average</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4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4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95"/>
              </w:rPr>
              <w:t>Balances</w:t>
            </w:r>
          </w:p>
        </w:tc>
        <w:tc>
          <w:tcPr>
            <w:tcW w:w="6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8"/>
              </w:rPr>
              <w:t>Balances(a)</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420" w:type="dxa"/>
            <w:vAlign w:val="bottom"/>
          </w:tcPr>
          <w:p>
            <w:pPr>
              <w:spacing w:after="0"/>
              <w:rPr>
                <w:sz w:val="10"/>
                <w:szCs w:val="10"/>
                <w:color w:val="auto"/>
              </w:rPr>
            </w:pPr>
          </w:p>
        </w:tc>
        <w:tc>
          <w:tcPr>
            <w:tcW w:w="480" w:type="dxa"/>
            <w:vAlign w:val="bottom"/>
            <w:tcBorders>
              <w:bottom w:val="single" w:sz="8" w:color="auto"/>
            </w:tcBorders>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(Dollars 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250,045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30,600</w:t>
            </w: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12.24%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15,713</w:t>
            </w:r>
          </w:p>
        </w:tc>
        <w:tc>
          <w:tcPr>
            <w:tcW w:w="1640" w:type="dxa"/>
            <w:vAlign w:val="bottom"/>
            <w:gridSpan w:val="3"/>
            <w:shd w:val="clear" w:color="auto" w:fill="CCEEFF"/>
          </w:tcPr>
          <w:p>
            <w:pPr>
              <w:ind w:left="1300"/>
              <w:spacing w:after="0"/>
              <w:rPr>
                <w:sz w:val="20"/>
                <w:szCs w:val="20"/>
                <w:color w:val="auto"/>
              </w:rPr>
            </w:pPr>
            <w:r>
              <w:rPr>
                <w:rFonts w:ascii="Arial" w:cs="Arial" w:eastAsia="Arial" w:hAnsi="Arial"/>
                <w:sz w:val="13"/>
                <w:szCs w:val="13"/>
                <w:color w:val="auto"/>
                <w:w w:val="86"/>
              </w:rPr>
              <w:t>4.84%</w:t>
            </w:r>
          </w:p>
        </w:tc>
        <w:tc>
          <w:tcPr>
            <w:tcW w:w="0" w:type="dxa"/>
            <w:vAlign w:val="bottom"/>
          </w:tcPr>
          <w:p>
            <w:pPr>
              <w:spacing w:after="0"/>
              <w:rPr>
                <w:sz w:val="1"/>
                <w:szCs w:val="1"/>
                <w:color w:val="auto"/>
              </w:rPr>
            </w:pPr>
          </w:p>
        </w:tc>
      </w:tr>
      <w:tr>
        <w:trPr>
          <w:trHeight w:val="157"/>
        </w:trPr>
        <w:tc>
          <w:tcPr>
            <w:tcW w:w="4420" w:type="dxa"/>
            <w:vAlign w:val="bottom"/>
            <w:gridSpan w:val="2"/>
          </w:tcPr>
          <w:p>
            <w:pPr>
              <w:spacing w:after="0"/>
              <w:rPr>
                <w:sz w:val="20"/>
                <w:szCs w:val="20"/>
                <w:color w:val="auto"/>
              </w:rPr>
            </w:pPr>
            <w:r>
              <w:rPr>
                <w:rFonts w:ascii="Arial" w:cs="Arial" w:eastAsia="Arial" w:hAnsi="Arial"/>
                <w:sz w:val="13"/>
                <w:szCs w:val="13"/>
                <w:color w:val="auto"/>
              </w:rPr>
              <w:t>Pennsylvania</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192,793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95,808</w:t>
            </w:r>
          </w:p>
        </w:tc>
        <w:tc>
          <w:tcPr>
            <w:tcW w:w="1580" w:type="dxa"/>
            <w:vAlign w:val="bottom"/>
            <w:gridSpan w:val="3"/>
          </w:tcPr>
          <w:p>
            <w:pPr>
              <w:ind w:left="860"/>
              <w:spacing w:after="0"/>
              <w:rPr>
                <w:sz w:val="20"/>
                <w:szCs w:val="20"/>
                <w:color w:val="auto"/>
              </w:rPr>
            </w:pPr>
            <w:r>
              <w:rPr>
                <w:rFonts w:ascii="Arial" w:cs="Arial" w:eastAsia="Arial" w:hAnsi="Arial"/>
                <w:sz w:val="13"/>
                <w:szCs w:val="13"/>
                <w:color w:val="auto"/>
              </w:rPr>
              <w:t>49.70</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7,387</w:t>
            </w:r>
          </w:p>
        </w:tc>
        <w:tc>
          <w:tcPr>
            <w:tcW w:w="1640" w:type="dxa"/>
            <w:vAlign w:val="bottom"/>
            <w:gridSpan w:val="3"/>
          </w:tcPr>
          <w:p>
            <w:pPr>
              <w:ind w:left="130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57"/>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Mid-Atlantic</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732,011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178,166</w:t>
            </w: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24.34</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30,364</w:t>
            </w:r>
          </w:p>
        </w:tc>
        <w:tc>
          <w:tcPr>
            <w:tcW w:w="1640" w:type="dxa"/>
            <w:vAlign w:val="bottom"/>
            <w:gridSpan w:val="3"/>
            <w:shd w:val="clear" w:color="auto" w:fill="CCEEFF"/>
          </w:tcPr>
          <w:p>
            <w:pPr>
              <w:ind w:left="130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442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229,736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57,703</w:t>
            </w:r>
          </w:p>
        </w:tc>
        <w:tc>
          <w:tcPr>
            <w:tcW w:w="1580" w:type="dxa"/>
            <w:vAlign w:val="bottom"/>
            <w:gridSpan w:val="3"/>
          </w:tcPr>
          <w:p>
            <w:pPr>
              <w:ind w:left="860"/>
              <w:spacing w:after="0"/>
              <w:rPr>
                <w:sz w:val="20"/>
                <w:szCs w:val="20"/>
                <w:color w:val="auto"/>
              </w:rPr>
            </w:pPr>
            <w:r>
              <w:rPr>
                <w:rFonts w:ascii="Arial" w:cs="Arial" w:eastAsia="Arial" w:hAnsi="Arial"/>
                <w:sz w:val="13"/>
                <w:szCs w:val="13"/>
                <w:color w:val="auto"/>
              </w:rPr>
              <w:t>25.12</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17,542</w:t>
            </w:r>
          </w:p>
        </w:tc>
        <w:tc>
          <w:tcPr>
            <w:tcW w:w="1640" w:type="dxa"/>
            <w:vAlign w:val="bottom"/>
            <w:gridSpan w:val="3"/>
          </w:tcPr>
          <w:p>
            <w:pPr>
              <w:ind w:left="1300"/>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1,404,585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362,277</w:t>
            </w: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3"/>
                <w:szCs w:val="13"/>
                <w:color w:val="auto"/>
              </w:rPr>
              <w:t>25.79%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71,006</w:t>
            </w:r>
          </w:p>
        </w:tc>
        <w:tc>
          <w:tcPr>
            <w:tcW w:w="1640" w:type="dxa"/>
            <w:vAlign w:val="bottom"/>
            <w:gridSpan w:val="3"/>
            <w:shd w:val="clear" w:color="auto" w:fill="CCEEFF"/>
          </w:tcPr>
          <w:p>
            <w:pPr>
              <w:ind w:left="1300"/>
              <w:spacing w:after="0"/>
              <w:rPr>
                <w:sz w:val="20"/>
                <w:szCs w:val="20"/>
                <w:color w:val="auto"/>
              </w:rPr>
            </w:pPr>
            <w:r>
              <w:rPr>
                <w:rFonts w:ascii="Arial" w:cs="Arial" w:eastAsia="Arial" w:hAnsi="Arial"/>
                <w:sz w:val="13"/>
                <w:szCs w:val="13"/>
                <w:color w:val="auto"/>
                <w:w w:val="86"/>
              </w:rPr>
              <w:t>4.53%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approximately $53 million of loans not secured by real estate, of which approximately $16 million are in nonaccrual status.</w:t>
      </w:r>
    </w:p>
    <w:p>
      <w:pPr>
        <w:spacing w:after="0" w:line="92" w:lineRule="exact"/>
        <w:rPr>
          <w:sz w:val="20"/>
          <w:szCs w:val="20"/>
          <w:color w:val="auto"/>
        </w:rPr>
      </w:pPr>
    </w:p>
    <w:p>
      <w:pPr>
        <w:ind w:left="680" w:right="180" w:firstLine="599"/>
        <w:spacing w:after="0" w:line="285" w:lineRule="auto"/>
        <w:rPr>
          <w:sz w:val="20"/>
          <w:szCs w:val="20"/>
          <w:color w:val="auto"/>
        </w:rPr>
      </w:pPr>
      <w:r>
        <w:rPr>
          <w:rFonts w:ascii="Arial" w:cs="Arial" w:eastAsia="Arial" w:hAnsi="Arial"/>
          <w:sz w:val="13"/>
          <w:szCs w:val="13"/>
          <w:color w:val="auto"/>
        </w:rPr>
        <w:t>Residential real estate loans charged off, net of recoveries, were $61 million in 2010, $92 million in 2009 and $63 million in 2008. Nonaccrual residential real estate loans at the end of 2010 totaled $279 million, compared with $281 million and $256 million at December 31, 2009 and 2008, respectively. Depressed real estate values and high levels of delinquencies have contributed to the higher than historical levels of residential real estate loans classified as nonaccrual at the three most recent year-ends and to the elevated levels of charge-offs, largely in the Company’s Alt-A portfolio. Net charge-offs of Alt-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80"/>
        <w:spacing w:after="0" w:line="277" w:lineRule="auto"/>
        <w:rPr>
          <w:sz w:val="20"/>
          <w:szCs w:val="20"/>
          <w:color w:val="auto"/>
        </w:rPr>
      </w:pPr>
      <w:r>
        <w:rPr>
          <w:rFonts w:ascii="Arial" w:cs="Arial" w:eastAsia="Arial" w:hAnsi="Arial"/>
          <w:sz w:val="13"/>
          <w:szCs w:val="13"/>
          <w:color w:val="auto"/>
        </w:rPr>
        <w:t>A loans were $34 million in 2010, $52 million in 2009 and $44 million in 2008. Nonaccrual Alt-A loans aggregated $106 million at December 31, 2010, compared with $112 million and $125 million at December 31, 2009 and 2008, respectively. Residential real estate loans past due 90 days or more and accruing interest totaled</w:t>
      </w:r>
    </w:p>
    <w:p>
      <w:pPr>
        <w:spacing w:after="0" w:line="1" w:lineRule="exact"/>
        <w:rPr>
          <w:sz w:val="20"/>
          <w:szCs w:val="20"/>
          <w:color w:val="auto"/>
        </w:rPr>
      </w:pPr>
    </w:p>
    <w:p>
      <w:pPr>
        <w:jc w:val="both"/>
        <w:ind w:left="680" w:right="520"/>
        <w:spacing w:after="0" w:line="249" w:lineRule="auto"/>
        <w:rPr>
          <w:sz w:val="20"/>
          <w:szCs w:val="20"/>
          <w:color w:val="auto"/>
        </w:rPr>
      </w:pPr>
      <w:r>
        <w:rPr>
          <w:rFonts w:ascii="Arial" w:cs="Arial" w:eastAsia="Arial" w:hAnsi="Arial"/>
          <w:sz w:val="14"/>
          <w:szCs w:val="14"/>
          <w:color w:val="auto"/>
        </w:rPr>
        <w:t>$192 million, $178 million and $108 million at December 31, 2010, 2009 and 2008, respectively. A substantial portion of such amounts related to guaranteed loans repurchased from government-related entities. Information about the location of nonaccrual and charged-off residential real estate loans as of and for the year ended December 31, 2010 is presented in table 13.</w:t>
      </w:r>
    </w:p>
    <w:p>
      <w:pPr>
        <w:jc w:val="center"/>
        <w:ind w:right="-679"/>
        <w:spacing w:after="0"/>
        <w:rPr>
          <w:sz w:val="20"/>
          <w:szCs w:val="20"/>
          <w:color w:val="auto"/>
        </w:rPr>
      </w:pPr>
      <w:r>
        <w:rPr>
          <w:rFonts w:ascii="Arial" w:cs="Arial" w:eastAsia="Arial" w:hAnsi="Arial"/>
          <w:sz w:val="14"/>
          <w:szCs w:val="14"/>
          <w:color w:val="auto"/>
        </w:rPr>
        <w:t>Net charge-offs of consumer loans during 2010 were $102 million, representing .87% of average consumer loans and leases outstanding, compared with</w:t>
      </w:r>
    </w:p>
    <w:p>
      <w:pPr>
        <w:spacing w:after="0" w:line="6" w:lineRule="exact"/>
        <w:rPr>
          <w:sz w:val="20"/>
          <w:szCs w:val="20"/>
          <w:color w:val="auto"/>
        </w:rPr>
      </w:pPr>
    </w:p>
    <w:p>
      <w:pPr>
        <w:ind w:left="680"/>
        <w:spacing w:after="0" w:line="271" w:lineRule="auto"/>
        <w:rPr>
          <w:sz w:val="20"/>
          <w:szCs w:val="20"/>
          <w:color w:val="auto"/>
        </w:rPr>
      </w:pPr>
      <w:r>
        <w:rPr>
          <w:rFonts w:ascii="Arial" w:cs="Arial" w:eastAsia="Arial" w:hAnsi="Arial"/>
          <w:sz w:val="13"/>
          <w:szCs w:val="13"/>
          <w:color w:val="auto"/>
        </w:rPr>
        <w:t>$129 million or 1.10% in 2009 and $114 million or 1.03% in 2008. Automobile loans represented the most significant category of consumer loan charge-offs during the past three years. Net charge-offs of automobile loans were $32 million during 2010, $56 million during 2009 and $51 million during 2008. Consumer loan charge-offs also included recreational vehicle loans of $23 million, $25 million and $21 million during 2010, 2009 and 2008, respectively, and home equity loans and lines of credit secured by one-to-four family residential properties of $31 million during each of 2010 and 2008, and $39 million during 2009. Nonaccrual consumer loans were $91 million at each of December 31, 2010 and 2009, representing .79% and .75%, respectively, of outstanding consumer loans, compared with $66 million or .60% at December 31, 2008. Included in nonaccrual consumer loans and leases at the 2010, 2009 and 2008 year-ends were: indirect automobile loans of $32 million, $39 million and $21 million, respectively; recreational vehicle loans of $13 million, $15 million and $14 million; and outstanding balances of home equity loans and lines of credit, including second lien, Alt-A loans, of $43 million, $33 million and $29 million, respectively. At the 2010, 2009 and 2008 year-ends, consumer loans and leases delinquent 30-89 days totaled $120 million, $141 million and $118 million, respectively, or 1.04%, 1.17%, and 1.07% of outstanding consumer loans. Consumer loans past due 90 days or more and accruing interest totaled $4 million at each of December 31, 2010 and December 31, 2009 and $1 million at December 31, 2008. Information about the location of nonaccrual and charged-off home equity loans and lines of credit as of and for the year ended December 31, 2010 is presented in table 13.</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13</w:t>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SELECTED RESIDENTIAL REAL ESTATE-RELATED LOAN DATA</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gridSpan w:val="7"/>
            <w:vMerge w:val="restart"/>
          </w:tcPr>
          <w:p>
            <w:pPr>
              <w:jc w:val="right"/>
              <w:ind w:right="1020"/>
              <w:spacing w:after="0"/>
              <w:rPr>
                <w:sz w:val="20"/>
                <w:szCs w:val="20"/>
                <w:color w:val="auto"/>
              </w:rPr>
            </w:pPr>
            <w:r>
              <w:rPr>
                <w:rFonts w:ascii="Arial" w:cs="Arial" w:eastAsia="Arial" w:hAnsi="Arial"/>
                <w:sz w:val="10"/>
                <w:szCs w:val="10"/>
                <w:b w:val="1"/>
                <w:bCs w:val="1"/>
                <w:color w:val="auto"/>
                <w:w w:val="93"/>
              </w:rPr>
              <w:t>December 31, 2010</w:t>
            </w:r>
          </w:p>
        </w:tc>
        <w:tc>
          <w:tcPr>
            <w:tcW w:w="140" w:type="dxa"/>
            <w:vAlign w:val="bottom"/>
          </w:tcPr>
          <w:p>
            <w:pPr>
              <w:spacing w:after="0"/>
              <w:rPr>
                <w:sz w:val="10"/>
                <w:szCs w:val="10"/>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3"/>
              </w:rPr>
              <w:t>December 31, 2010</w:t>
            </w: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3"/>
          </w:tcPr>
          <w:p>
            <w:pPr>
              <w:jc w:val="center"/>
              <w:ind w:right="88"/>
              <w:spacing w:after="0" w:line="98" w:lineRule="exact"/>
              <w:rPr>
                <w:sz w:val="20"/>
                <w:szCs w:val="20"/>
                <w:color w:val="auto"/>
              </w:rPr>
            </w:pPr>
            <w:r>
              <w:rPr>
                <w:rFonts w:ascii="Arial" w:cs="Arial" w:eastAsia="Arial" w:hAnsi="Arial"/>
                <w:sz w:val="10"/>
                <w:szCs w:val="10"/>
                <w:b w:val="1"/>
                <w:bCs w:val="1"/>
                <w:color w:val="auto"/>
                <w:w w:val="95"/>
              </w:rPr>
              <w:t>Net Charge-offs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gridSpan w:val="4"/>
          </w:tcPr>
          <w:p>
            <w:pPr>
              <w:ind w:left="380"/>
              <w:spacing w:after="0" w:line="98" w:lineRule="exact"/>
              <w:rPr>
                <w:sz w:val="20"/>
                <w:szCs w:val="20"/>
                <w:color w:val="auto"/>
              </w:rPr>
            </w:pPr>
            <w:r>
              <w:rPr>
                <w:rFonts w:ascii="Arial" w:cs="Arial" w:eastAsia="Arial" w:hAnsi="Arial"/>
                <w:sz w:val="10"/>
                <w:szCs w:val="10"/>
                <w:b w:val="1"/>
                <w:bCs w:val="1"/>
                <w:color w:val="auto"/>
              </w:rPr>
              <w:t>Nonaccrual</w:t>
            </w: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Percent of</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w w:val="98"/>
              </w:rPr>
              <w:t>Outstanding</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Percent of</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w w:val="95"/>
              </w:rPr>
              <w:t>Balances</w:t>
            </w:r>
          </w:p>
        </w:tc>
        <w:tc>
          <w:tcPr>
            <w:tcW w:w="4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500" w:type="dxa"/>
            <w:vAlign w:val="bottom"/>
            <w:gridSpan w:val="2"/>
            <w:vMerge w:val="restart"/>
          </w:tcPr>
          <w:p>
            <w:pPr>
              <w:jc w:val="right"/>
              <w:ind w:right="8"/>
              <w:spacing w:after="0"/>
              <w:rPr>
                <w:sz w:val="20"/>
                <w:szCs w:val="20"/>
                <w:color w:val="auto"/>
              </w:rPr>
            </w:pPr>
            <w:r>
              <w:rPr>
                <w:rFonts w:ascii="Arial" w:cs="Arial" w:eastAsia="Arial" w:hAnsi="Arial"/>
                <w:sz w:val="10"/>
                <w:szCs w:val="10"/>
                <w:b w:val="1"/>
                <w:bCs w:val="1"/>
                <w:color w:val="auto"/>
                <w:w w:val="95"/>
              </w:rPr>
              <w:t>Balances</w:t>
            </w:r>
          </w:p>
        </w:tc>
        <w:tc>
          <w:tcPr>
            <w:tcW w:w="180" w:type="dxa"/>
            <w:vAlign w:val="bottom"/>
            <w:vMerge w:val="restart"/>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Balances</w:t>
            </w:r>
          </w:p>
        </w:tc>
        <w:tc>
          <w:tcPr>
            <w:tcW w:w="20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20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w w:val="83"/>
              </w:rPr>
              <w:t>(Dollars 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7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Residential mortgages</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2,208,737</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45,132</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2.04%</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4,140</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0.20%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760,965</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18,437</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2.42</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2,052</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0.29</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1,118,568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40,753</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3.64</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8,244</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0.78</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1,144,347</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62,625</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5.47</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9,204</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0.81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5,232,617</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166,947</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3.19%</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23,640</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0.48%</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Residential construction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9,161</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555</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6.06%</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54</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0.48%</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3,178</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871</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27.41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167</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3.35</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19,587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204</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1.04</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620</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10.20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39,134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4,152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2,798</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6.46</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71,060</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5,782</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8.14%</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3,639</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5.54%</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Alt-A first mortgages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93,564</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13,602</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14.54%</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2,047</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23,136</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3,192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13.80</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1,110</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4.11</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114,930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16,960</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14.76</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4,142</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3.27</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392,749</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72,715</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18.51</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26,365</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6.03</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624,379</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106,469</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17.05%</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33,664</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4.86%</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Alt-A junior lien</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2,894</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10.16%</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694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35</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5.04</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360</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38.78</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4,592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305</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6.64</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374</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7.41</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15,261</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1,323</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8.67</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3,316</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23,441</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1,663</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7.09%</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4,366</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16.31%</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First lien home equity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34,551</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268</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0.78%</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0.02%</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196,054</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2,541</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288</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0.13</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153,176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2,140</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1.40</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45</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1,113</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136</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12.22</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384,894</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5,085</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1.32%</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339</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0.08%</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First lien home equity lines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861,365</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2,111</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0.25%</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329</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559,886</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1,132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0.20</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295</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534,220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1,083</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0.20</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479</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12,973</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367</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2.83</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1,968,444</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4,693</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0.24%</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1,103</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0.06%</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Junior lien home equity loans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86,268</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940</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1.09%</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876</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0.86%</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91,960</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771</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0.84</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127</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0.12</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157,298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3,431</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2.18</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1,065</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0.60</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16,901</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1,152</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6.82</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457</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352,427</w:t>
            </w:r>
          </w:p>
        </w:tc>
        <w:tc>
          <w:tcPr>
            <w:tcW w:w="200" w:type="dxa"/>
            <w:vAlign w:val="bottom"/>
            <w:vMerge w:val="continue"/>
          </w:tcPr>
          <w:p>
            <w:pPr>
              <w:spacing w:after="0"/>
              <w:rPr>
                <w:sz w:val="10"/>
                <w:szCs w:val="10"/>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6,294</w:t>
            </w:r>
          </w:p>
        </w:tc>
        <w:tc>
          <w:tcPr>
            <w:tcW w:w="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1.79%</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2,525</w:t>
            </w:r>
          </w:p>
        </w:tc>
        <w:tc>
          <w:tcPr>
            <w:tcW w:w="180" w:type="dxa"/>
            <w:vAlign w:val="bottom"/>
            <w:vMerge w:val="continue"/>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0.62%</w:t>
            </w:r>
          </w:p>
        </w:tc>
        <w:tc>
          <w:tcPr>
            <w:tcW w:w="0" w:type="dxa"/>
            <w:vAlign w:val="bottom"/>
          </w:tcPr>
          <w:p>
            <w:pPr>
              <w:spacing w:after="0"/>
              <w:rPr>
                <w:sz w:val="1"/>
                <w:szCs w:val="1"/>
                <w:color w:val="auto"/>
              </w:rPr>
            </w:pPr>
          </w:p>
        </w:tc>
      </w:tr>
      <w:tr>
        <w:trPr>
          <w:trHeight w:val="113"/>
        </w:trPr>
        <w:tc>
          <w:tcPr>
            <w:tcW w:w="57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Junior lien home equity lines</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New York</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1,698,111</w:t>
            </w: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14,822</w:t>
            </w:r>
          </w:p>
        </w:tc>
        <w:tc>
          <w:tcPr>
            <w:tcW w:w="114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0.87%</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11,978</w:t>
            </w: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0.71%</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Pennsylvania</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573,125</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1,273</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0.22</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1,519</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0.25</w:t>
            </w:r>
          </w:p>
        </w:tc>
        <w:tc>
          <w:tcPr>
            <w:tcW w:w="0" w:type="dxa"/>
            <w:vAlign w:val="bottom"/>
          </w:tcPr>
          <w:p>
            <w:pPr>
              <w:spacing w:after="0"/>
              <w:rPr>
                <w:sz w:val="1"/>
                <w:szCs w:val="1"/>
                <w:color w:val="auto"/>
              </w:rPr>
            </w:pPr>
          </w:p>
        </w:tc>
      </w:tr>
      <w:tr>
        <w:trPr>
          <w:trHeight w:val="108"/>
        </w:trPr>
        <w:tc>
          <w:tcPr>
            <w:tcW w:w="5700" w:type="dxa"/>
            <w:vAlign w:val="bottom"/>
          </w:tcPr>
          <w:p>
            <w:pPr>
              <w:ind w:left="120"/>
              <w:spacing w:after="0" w:line="108" w:lineRule="exact"/>
              <w:rPr>
                <w:sz w:val="20"/>
                <w:szCs w:val="20"/>
                <w:color w:val="auto"/>
              </w:rPr>
            </w:pPr>
            <w:r>
              <w:rPr>
                <w:rFonts w:ascii="Arial" w:cs="Arial" w:eastAsia="Arial" w:hAnsi="Arial"/>
                <w:sz w:val="10"/>
                <w:szCs w:val="10"/>
                <w:color w:val="auto"/>
              </w:rPr>
              <w:t>Mid-Atlantic</w:t>
            </w:r>
          </w:p>
        </w:tc>
        <w:tc>
          <w:tcPr>
            <w:tcW w:w="1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1,479,394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6,981</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0.47</w:t>
            </w:r>
          </w:p>
        </w:tc>
        <w:tc>
          <w:tcPr>
            <w:tcW w:w="140" w:type="dxa"/>
            <w:vAlign w:val="bottom"/>
          </w:tcPr>
          <w:p>
            <w:pPr>
              <w:spacing w:after="0"/>
              <w:rPr>
                <w:sz w:val="9"/>
                <w:szCs w:val="9"/>
                <w:color w:val="auto"/>
              </w:rPr>
            </w:pP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7,325</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0.47</w:t>
            </w:r>
          </w:p>
        </w:tc>
        <w:tc>
          <w:tcPr>
            <w:tcW w:w="0" w:type="dxa"/>
            <w:vAlign w:val="bottom"/>
          </w:tcPr>
          <w:p>
            <w:pPr>
              <w:spacing w:after="0"/>
              <w:rPr>
                <w:sz w:val="1"/>
                <w:szCs w:val="1"/>
                <w:color w:val="auto"/>
              </w:rPr>
            </w:pPr>
          </w:p>
        </w:tc>
      </w:tr>
      <w:tr>
        <w:trPr>
          <w:trHeight w:val="108"/>
        </w:trPr>
        <w:tc>
          <w:tcPr>
            <w:tcW w:w="5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76,515</w:t>
            </w:r>
          </w:p>
        </w:tc>
        <w:tc>
          <w:tcPr>
            <w:tcW w:w="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2,244</w:t>
            </w:r>
          </w:p>
        </w:tc>
        <w:tc>
          <w:tcPr>
            <w:tcW w:w="114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2.93</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2,001</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2.55</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20"/>
              <w:spacing w:after="0"/>
              <w:rPr>
                <w:sz w:val="20"/>
                <w:szCs w:val="20"/>
                <w:color w:val="auto"/>
              </w:rPr>
            </w:pPr>
            <w:r>
              <w:rPr>
                <w:rFonts w:ascii="Arial" w:cs="Arial" w:eastAsia="Arial" w:hAnsi="Arial"/>
                <w:sz w:val="10"/>
                <w:szCs w:val="10"/>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7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3,827,145</w:t>
            </w:r>
          </w:p>
        </w:tc>
        <w:tc>
          <w:tcPr>
            <w:tcW w:w="200" w:type="dxa"/>
            <w:vAlign w:val="bottom"/>
            <w:vMerge w:val="continue"/>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25,320</w:t>
            </w:r>
          </w:p>
        </w:tc>
        <w:tc>
          <w:tcPr>
            <w:tcW w:w="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0.66%</w:t>
            </w: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22,823</w:t>
            </w:r>
          </w:p>
        </w:tc>
        <w:tc>
          <w:tcPr>
            <w:tcW w:w="180" w:type="dxa"/>
            <w:vAlign w:val="bottom"/>
            <w:vMerge w:val="continue"/>
          </w:tcPr>
          <w:p>
            <w:pPr>
              <w:spacing w:after="0"/>
              <w:rPr>
                <w:sz w:val="9"/>
                <w:szCs w:val="9"/>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0.58%</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Information about past due and nonaccrual loans as of December 31, 2010 is also included in note 4 of Notes to Financial Statements.</w:t>
      </w:r>
    </w:p>
    <w:p>
      <w:pPr>
        <w:spacing w:after="0" w:line="18"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 (iii) 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2"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Management cautiously and conservatively evaluated the allowance for credit losses as of December 31, 2010 in light of: (i) residential real estate values and the level of delinquencies of residential real estate loans; (ii) the sluggish economic conditions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or stagnant regions of upstate New York and central Pennsylvania. Approximately one-half of the Company’s loans are to customers in upstate New York and Pennsylvania. Home prices in upstate New York and central Pennsylvania were largely unchanged in 2009 and 2010, in contrast to declines in values in many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has conducted detailed reviews of all loans to residential real estate builders and developers that exceeded $2.5 million. Those credit reviews often resulted in commencement of intensified collection efforts, including foreclosure. During 2009 and 2010, the Company also experienced increases in nonaccrual commercial real estate loans, in part due to builders and developers of residential real estate. The Company utilizes an extensive loan grading system which is applied to all commercial and commercial real estate loans. On a quarterly basis, the Company’s loan review department reviews commercial loans and commercial real estate loans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the Company’s potential courses of action are reviewed. To the extent that these loans are collateral-dependent, they are evaluated based on</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6"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second lien Alt-A mortgage loans and loans to builders and developers of residential real estate. The Company has also experienced higher than historical levels of nonaccrual commercial real estate loans in 2009 and 2010.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In ascertaining the adequacy of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and other factors that may impact the borrower’s ability to pay. Except for consumer loans and leases and residential real estate loans that are considered smaller balance homogeneous loans and are evaluated collectively,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69" w:lineRule="auto"/>
        <w:rPr>
          <w:sz w:val="20"/>
          <w:szCs w:val="20"/>
          <w:color w:val="auto"/>
        </w:rPr>
      </w:pPr>
      <w:r>
        <w:rPr>
          <w:rFonts w:ascii="Arial" w:cs="Arial" w:eastAsia="Arial" w:hAnsi="Arial"/>
          <w:sz w:val="13"/>
          <w:szCs w:val="13"/>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an extensive loan grading system which is applied to all commercial and commercial real estate credits.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assessing the overall adequacy of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specifically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and</w:t>
      </w:r>
    </w:p>
    <w:p>
      <w:pPr>
        <w:spacing w:after="0" w:line="6" w:lineRule="exact"/>
        <w:rPr>
          <w:sz w:val="20"/>
          <w:szCs w:val="20"/>
          <w:color w:val="auto"/>
        </w:rPr>
      </w:pPr>
    </w:p>
    <w:p>
      <w:pPr>
        <w:ind w:left="680" w:right="300" w:firstLine="7"/>
        <w:spacing w:after="0" w:line="249" w:lineRule="auto"/>
        <w:tabs>
          <w:tab w:leader="none" w:pos="9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additional risk associated with the Company’s portfolio of consumer loans, in particular automobile loans and leases, which generally have higher rates of loss than other types of collateralized loans.</w:t>
      </w:r>
    </w:p>
    <w:p>
      <w:pPr>
        <w:ind w:left="680" w:firstLine="599"/>
        <w:spacing w:after="0" w:line="268" w:lineRule="auto"/>
        <w:rPr>
          <w:rFonts w:ascii="Arial" w:cs="Arial" w:eastAsia="Arial" w:hAnsi="Arial"/>
          <w:sz w:val="14"/>
          <w:szCs w:val="14"/>
          <w:color w:val="auto"/>
        </w:rPr>
      </w:pPr>
      <w:r>
        <w:rPr>
          <w:rFonts w:ascii="Arial" w:cs="Arial" w:eastAsia="Arial" w:hAnsi="Arial"/>
          <w:sz w:val="13"/>
          <w:szCs w:val="13"/>
          <w:color w:val="auto"/>
        </w:rPr>
        <w:t>In evaluating collateral, the Company relies extensively on internally and externally prepared valuations. In recent years,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Economic indicators in the most significant market regions served by the Company were weak, but stabilizing, during 2010, indicative of a sluggish economy. For example, during 2010, private sector employment declined in most market areas served by the Company. Such declines were generally similar to the national average decline of 0.5%. Private sector employment in 2010 declined 0.5% in upstate New York, 0.7% in areas of Pennsylvania served by the Company and 0.3% in Maryland, but increased by 0.4% in Greater Washington D.C. Private employment in areas of Pennsylvania served by the Company declined by 4.2% in 2009, while employment in the Maryland and Greater Washington D.C. regions fell by 4.0% and 2.9%, respectively, compared with the national average of a 5.2% decrease. In New York City, private sector employment increased by .2% in 2010, however, unemployment rates there remain elevated and are expected to continue at above historical levels during 2011. At the end of 2010 there remained significant concerns about the pace of national economic recovery from the recession, high unemployment, real estate valuations, high levels of consumer indebtedness, volatile energy prices and state and local government budget deficits. Those factors are expected to act as a significant drag on the national economy in 2011.</w:t>
      </w:r>
    </w:p>
    <w:p>
      <w:pPr>
        <w:spacing w:after="0" w:line="2" w:lineRule="exact"/>
        <w:rPr>
          <w:rFonts w:ascii="Arial" w:cs="Arial" w:eastAsia="Arial" w:hAnsi="Arial"/>
          <w:sz w:val="14"/>
          <w:szCs w:val="14"/>
          <w:color w:val="auto"/>
        </w:rPr>
      </w:pPr>
    </w:p>
    <w:p>
      <w:pPr>
        <w:ind w:left="680" w:right="160" w:firstLine="599"/>
        <w:spacing w:after="0" w:line="256" w:lineRule="auto"/>
        <w:rPr>
          <w:rFonts w:ascii="Arial" w:cs="Arial" w:eastAsia="Arial" w:hAnsi="Arial"/>
          <w:sz w:val="14"/>
          <w:szCs w:val="14"/>
          <w:color w:val="auto"/>
        </w:rPr>
      </w:pPr>
      <w:r>
        <w:rPr>
          <w:rFonts w:ascii="Arial" w:cs="Arial" w:eastAsia="Arial" w:hAnsi="Arial"/>
          <w:sz w:val="14"/>
          <w:szCs w:val="14"/>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4" w:lineRule="auto"/>
        <w:rPr>
          <w:sz w:val="20"/>
          <w:szCs w:val="20"/>
          <w:color w:val="auto"/>
        </w:rPr>
      </w:pPr>
      <w:r>
        <w:rPr>
          <w:rFonts w:ascii="Arial" w:cs="Arial" w:eastAsia="Arial" w:hAnsi="Arial"/>
          <w:sz w:val="13"/>
          <w:szCs w:val="13"/>
          <w:color w:val="auto"/>
        </w:rPr>
        <w:t>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1" w:lineRule="exact"/>
        <w:rPr>
          <w:sz w:val="20"/>
          <w:szCs w:val="20"/>
          <w:color w:val="auto"/>
        </w:rPr>
      </w:pPr>
    </w:p>
    <w:p>
      <w:pPr>
        <w:ind w:left="680" w:right="140" w:firstLine="599"/>
        <w:spacing w:after="0" w:line="268" w:lineRule="auto"/>
        <w:rPr>
          <w:sz w:val="20"/>
          <w:szCs w:val="20"/>
          <w:color w:val="auto"/>
        </w:rPr>
      </w:pPr>
      <w:r>
        <w:rPr>
          <w:rFonts w:ascii="Arial" w:cs="Arial" w:eastAsia="Arial" w:hAnsi="Arial"/>
          <w:sz w:val="13"/>
          <w:szCs w:val="13"/>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were</w:t>
      </w:r>
    </w:p>
    <w:p>
      <w:pPr>
        <w:spacing w:after="0" w:line="1" w:lineRule="exact"/>
        <w:rPr>
          <w:sz w:val="20"/>
          <w:szCs w:val="20"/>
          <w:color w:val="auto"/>
        </w:rPr>
      </w:pPr>
    </w:p>
    <w:p>
      <w:pPr>
        <w:ind w:left="680" w:right="60"/>
        <w:spacing w:after="0" w:line="250" w:lineRule="auto"/>
        <w:rPr>
          <w:sz w:val="20"/>
          <w:szCs w:val="20"/>
          <w:color w:val="auto"/>
        </w:rPr>
      </w:pPr>
      <w:r>
        <w:rPr>
          <w:rFonts w:ascii="Arial" w:cs="Arial" w:eastAsia="Arial" w:hAnsi="Arial"/>
          <w:sz w:val="14"/>
          <w:szCs w:val="14"/>
          <w:color w:val="auto"/>
        </w:rPr>
        <w:t>$1.3 billion at each of December 31, 2010 and December 31, 2009. The allocated portion of the allowance for credit losses related to impaired loans totaled $214 million at December 31, 2010 and $244 million at December 31, 2009. The unallocated portion of the allowance for credit losses was equal to .13% of gross loans outstanding at each of December 31, 2010 and 2009. The declines in the unallocated portion of the allowance since 2007 reflect management’s continued refinement of its loss estimation techniques, which has increased the precision of its calculation of the allocated portion of the allowance for credit losses. However,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14</w:t>
      </w:r>
    </w:p>
    <w:p>
      <w:pPr>
        <w:spacing w:after="0" w:line="252"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ALLOCATION OF THE ALLOWANCE FOR CREDIT LOSSES TO LOAN CATEGORIES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r>
      <w:tr>
        <w:trPr>
          <w:trHeight w:val="131"/>
        </w:trPr>
        <w:tc>
          <w:tcPr>
            <w:tcW w:w="10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(Dollars in 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financial, leasing, etc.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212,579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219,170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231,993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216,833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212,945</w:t>
            </w:r>
          </w:p>
        </w:tc>
      </w:tr>
      <w:tr>
        <w:trPr>
          <w:trHeight w:val="157"/>
        </w:trPr>
        <w:tc>
          <w:tcPr>
            <w:tcW w:w="5060" w:type="dxa"/>
            <w:vAlign w:val="bottom"/>
            <w:gridSpan w:val="2"/>
          </w:tcPr>
          <w:p>
            <w:pPr>
              <w:spacing w:after="0"/>
              <w:rPr>
                <w:sz w:val="20"/>
                <w:szCs w:val="20"/>
                <w:color w:val="auto"/>
              </w:rPr>
            </w:pPr>
            <w:r>
              <w:rPr>
                <w:rFonts w:ascii="Arial" w:cs="Arial" w:eastAsia="Arial" w:hAnsi="Arial"/>
                <w:sz w:val="13"/>
                <w:szCs w:val="13"/>
                <w:color w:val="auto"/>
              </w:rPr>
              <w:t>Real estate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486,913</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w w:val="97"/>
              </w:rPr>
              <w:t>451,352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340,588</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283,127</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221,747</w:t>
            </w:r>
          </w:p>
        </w:tc>
      </w:tr>
      <w:tr>
        <w:trPr>
          <w:trHeight w:val="157"/>
        </w:trPr>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133,067</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137,124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140,571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167,984</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124,675</w:t>
            </w:r>
          </w:p>
        </w:tc>
      </w:tr>
      <w:tr>
        <w:trPr>
          <w:trHeight w:val="157"/>
        </w:trPr>
        <w:tc>
          <w:tcPr>
            <w:tcW w:w="5060" w:type="dxa"/>
            <w:vAlign w:val="bottom"/>
            <w:gridSpan w:val="2"/>
          </w:tcPr>
          <w:p>
            <w:pPr>
              <w:spacing w:after="0"/>
              <w:rPr>
                <w:sz w:val="20"/>
                <w:szCs w:val="20"/>
                <w:color w:val="auto"/>
              </w:rPr>
            </w:pPr>
            <w:r>
              <w:rPr>
                <w:rFonts w:ascii="Arial" w:cs="Arial" w:eastAsia="Arial" w:hAnsi="Arial"/>
                <w:sz w:val="13"/>
                <w:szCs w:val="13"/>
                <w:color w:val="auto"/>
              </w:rPr>
              <w:t>Unallocated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70,382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70,376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74,752</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91,495</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90,581</w:t>
            </w:r>
          </w:p>
        </w:tc>
      </w:tr>
      <w:tr>
        <w:trPr>
          <w:trHeight w:val="20"/>
        </w:trPr>
        <w:tc>
          <w:tcPr>
            <w:tcW w:w="10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902,941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878,022</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787,904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7"/>
              </w:rPr>
              <w:t>759,439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649,948</w:t>
            </w:r>
          </w:p>
        </w:tc>
      </w:tr>
      <w:tr>
        <w:trPr>
          <w:trHeight w:val="101"/>
        </w:trPr>
        <w:tc>
          <w:tcPr>
            <w:tcW w:w="5060" w:type="dxa"/>
            <w:vAlign w:val="bottom"/>
            <w:gridSpan w:val="2"/>
          </w:tcPr>
          <w:p>
            <w:pPr>
              <w:spacing w:after="0" w:line="101" w:lineRule="exact"/>
              <w:rPr>
                <w:sz w:val="20"/>
                <w:szCs w:val="20"/>
                <w:color w:val="auto"/>
              </w:rPr>
            </w:pPr>
            <w:r>
              <w:rPr>
                <w:rFonts w:ascii="Arial" w:cs="Arial" w:eastAsia="Arial" w:hAnsi="Arial"/>
                <w:sz w:val="10"/>
                <w:szCs w:val="10"/>
                <w:b w:val="1"/>
                <w:bCs w:val="1"/>
                <w:color w:val="auto"/>
              </w:rPr>
              <w:t>As a Percentage of Gross Loans</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15"/>
        </w:trPr>
        <w:tc>
          <w:tcPr>
            <w:tcW w:w="5060" w:type="dxa"/>
            <w:vAlign w:val="bottom"/>
            <w:gridSpan w:val="2"/>
          </w:tcPr>
          <w:p>
            <w:pPr>
              <w:spacing w:after="0"/>
              <w:rPr>
                <w:sz w:val="20"/>
                <w:szCs w:val="20"/>
                <w:color w:val="auto"/>
              </w:rPr>
            </w:pPr>
            <w:r>
              <w:rPr>
                <w:rFonts w:ascii="Arial" w:cs="Arial" w:eastAsia="Arial" w:hAnsi="Arial"/>
                <w:sz w:val="10"/>
                <w:szCs w:val="10"/>
                <w:b w:val="1"/>
                <w:bCs w:val="1"/>
                <w:color w:val="auto"/>
              </w:rPr>
              <w:t>and Leases Outstanding</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7"/>
        </w:trPr>
        <w:tc>
          <w:tcPr>
            <w:tcW w:w="50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Commercial, financial, leasing, etc.</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1.59%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1.79%</w:t>
            </w:r>
          </w:p>
        </w:tc>
      </w:tr>
      <w:tr>
        <w:trPr>
          <w:trHeight w:val="157"/>
        </w:trPr>
        <w:tc>
          <w:tcPr>
            <w:tcW w:w="5060" w:type="dxa"/>
            <w:vAlign w:val="bottom"/>
            <w:gridSpan w:val="2"/>
          </w:tcPr>
          <w:p>
            <w:pPr>
              <w:spacing w:after="0"/>
              <w:rPr>
                <w:sz w:val="20"/>
                <w:szCs w:val="20"/>
                <w:color w:val="auto"/>
              </w:rPr>
            </w:pPr>
            <w:r>
              <w:rPr>
                <w:rFonts w:ascii="Arial" w:cs="Arial" w:eastAsia="Arial" w:hAnsi="Arial"/>
                <w:sz w:val="13"/>
                <w:szCs w:val="13"/>
                <w:color w:val="auto"/>
              </w:rPr>
              <w:t>Real estate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1.79</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1.70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1.04</w:t>
            </w:r>
          </w:p>
        </w:tc>
      </w:tr>
      <w:tr>
        <w:trPr>
          <w:trHeight w:val="157"/>
        </w:trPr>
        <w:tc>
          <w:tcPr>
            <w:tcW w:w="5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1.26</w:t>
            </w:r>
          </w:p>
        </w:tc>
      </w:tr>
    </w:tbl>
    <w:p>
      <w:pPr>
        <w:spacing w:after="0" w:line="76" w:lineRule="exact"/>
        <w:rPr>
          <w:sz w:val="20"/>
          <w:szCs w:val="20"/>
          <w:color w:val="auto"/>
        </w:rPr>
      </w:pPr>
    </w:p>
    <w:p>
      <w:pPr>
        <w:ind w:left="680" w:right="100" w:firstLine="599"/>
        <w:spacing w:after="0" w:line="278" w:lineRule="auto"/>
        <w:rPr>
          <w:sz w:val="20"/>
          <w:szCs w:val="20"/>
          <w:color w:val="auto"/>
        </w:rPr>
      </w:pPr>
      <w:r>
        <w:rPr>
          <w:rFonts w:ascii="Arial" w:cs="Arial" w:eastAsia="Arial" w:hAnsi="Arial"/>
          <w:sz w:val="13"/>
          <w:szCs w:val="13"/>
          <w:color w:val="auto"/>
        </w:rPr>
        <w:t>Management believes that the allowance for credit losses at December 31, 2010 was adequate to absorb credit losses inherent in the portfolio as of that date. The allowance for credit losses was $903 million or 1.74% of total loans and leases at December 31, 2010, compared with $878 million or 1.69% at December 31, 2009 and $788 million or 1.61% at December 31, 2008. The ratio of the allowance to total loans and leases at December 31, 2010 reflects the impact of loans obtained in 2010 associated with the K Bank transaction and in 2009 from the Provident and Bradford acquisition transactions that have been recorded at estimated fair value based on estimated future cash flows expected to be received on those loans. Those cash flows reflect the impact of expected defaults on customer repayment performance. As a result, and as required by GAAP, there was no carry-over of the allowance for credit losses recorded by K Bank, Provident or Bradford. The allowance for credit losses at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70" w:lineRule="auto"/>
        <w:rPr>
          <w:sz w:val="20"/>
          <w:szCs w:val="20"/>
          <w:color w:val="auto"/>
        </w:rPr>
      </w:pPr>
      <w:r>
        <w:rPr>
          <w:rFonts w:ascii="Arial" w:cs="Arial" w:eastAsia="Arial" w:hAnsi="Arial"/>
          <w:sz w:val="13"/>
          <w:szCs w:val="13"/>
          <w:color w:val="auto"/>
        </w:rPr>
        <w:t>December 31, 2010 related to the Company’s legacy loans (that is, total loans excluding loans acquired during 2010 in the K Bank transaction and during 2009 in the Provident and Bradford transactions) expressed as a percentage of such legacy loans was 1.82%, compared with 1.83% at December 31, 2009. The level of the allowance reflects management’s evaluation of the loan and lease portfolio using the methodology and considering the factors as described herein and the Company’s loan charge-off policies.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the end of 2010, 2009 and 2008 was 73%, 66% and 104%, respectively. Given the Company’s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2" w:lineRule="exact"/>
        <w:rPr>
          <w:sz w:val="20"/>
          <w:szCs w:val="20"/>
          <w:color w:val="auto"/>
        </w:rPr>
      </w:pPr>
    </w:p>
    <w:p>
      <w:pPr>
        <w:ind w:left="680" w:right="200" w:firstLine="599"/>
        <w:spacing w:after="0" w:line="249" w:lineRule="auto"/>
        <w:rPr>
          <w:sz w:val="20"/>
          <w:szCs w:val="20"/>
          <w:color w:val="auto"/>
        </w:rPr>
      </w:pPr>
      <w:r>
        <w:rPr>
          <w:rFonts w:ascii="Arial" w:cs="Arial" w:eastAsia="Arial" w:hAnsi="Arial"/>
          <w:sz w:val="14"/>
          <w:szCs w:val="14"/>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ind w:left="1280" w:hanging="190"/>
        <w:spacing w:after="0"/>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consumer loans and leases considered smaller balance homogenous loans and evaluated collectively, a 20 basis point increase in loss factors;</w:t>
      </w:r>
    </w:p>
    <w:p>
      <w:pPr>
        <w:spacing w:after="0" w:line="6" w:lineRule="exact"/>
        <w:rPr>
          <w:rFonts w:ascii="Arial" w:cs="Arial" w:eastAsia="Arial" w:hAnsi="Arial"/>
          <w:sz w:val="9"/>
          <w:szCs w:val="9"/>
          <w:color w:val="auto"/>
        </w:rPr>
      </w:pPr>
    </w:p>
    <w:p>
      <w:pPr>
        <w:ind w:left="1280" w:right="200" w:hanging="190"/>
        <w:spacing w:after="0" w:line="249" w:lineRule="auto"/>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residential real estate loans and home equity loans and lines of credit, also considered smaller balance homogenous loans and evaluated collectively, a 15% increase in estimated inherent losses; and</w:t>
      </w:r>
    </w:p>
    <w:p>
      <w:pPr>
        <w:ind w:left="1280" w:right="440" w:hanging="190"/>
        <w:spacing w:after="0" w:line="263" w:lineRule="auto"/>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commercial loans and commercial real estate loans, which are not similar in nature, a migration of loans to lower-ranked risk grades resulting in a 20% increase in the balance of classified credits in each risk grade.</w:t>
      </w:r>
    </w:p>
    <w:p>
      <w:pPr>
        <w:spacing w:after="0" w:line="57" w:lineRule="exact"/>
        <w:rPr>
          <w:rFonts w:ascii="Arial" w:cs="Arial" w:eastAsia="Arial" w:hAnsi="Arial"/>
          <w:sz w:val="9"/>
          <w:szCs w:val="9"/>
          <w:color w:val="auto"/>
        </w:rPr>
      </w:pPr>
    </w:p>
    <w:p>
      <w:pPr>
        <w:ind w:left="1280"/>
        <w:spacing w:after="0"/>
        <w:rPr>
          <w:rFonts w:ascii="Arial" w:cs="Arial" w:eastAsia="Arial" w:hAnsi="Arial"/>
          <w:sz w:val="9"/>
          <w:szCs w:val="9"/>
          <w:color w:val="auto"/>
        </w:rPr>
      </w:pPr>
      <w:r>
        <w:rPr>
          <w:rFonts w:ascii="Arial" w:cs="Arial" w:eastAsia="Arial" w:hAnsi="Arial"/>
          <w:sz w:val="14"/>
          <w:szCs w:val="14"/>
          <w:color w:val="auto"/>
        </w:rPr>
        <w:t>For possible improvement in credit quality factors, the scenarios assumed were:</w:t>
      </w:r>
    </w:p>
    <w:p>
      <w:pPr>
        <w:spacing w:after="0" w:line="18" w:lineRule="exact"/>
        <w:rPr>
          <w:rFonts w:ascii="Arial" w:cs="Arial" w:eastAsia="Arial" w:hAnsi="Arial"/>
          <w:sz w:val="9"/>
          <w:szCs w:val="9"/>
          <w:color w:val="auto"/>
        </w:rPr>
      </w:pPr>
    </w:p>
    <w:p>
      <w:pPr>
        <w:ind w:left="1280" w:hanging="190"/>
        <w:spacing w:after="0"/>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consumer loans and leases, a 10 basis point decrease in loss factors;</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residential real estate loans and home equity loans and lines of credit, a 5% decrease in estimated inherent losses; and</w:t>
      </w:r>
    </w:p>
    <w:p>
      <w:pPr>
        <w:spacing w:after="0" w:line="6" w:lineRule="exact"/>
        <w:rPr>
          <w:rFonts w:ascii="Arial" w:cs="Arial" w:eastAsia="Arial" w:hAnsi="Arial"/>
          <w:sz w:val="9"/>
          <w:szCs w:val="9"/>
          <w:color w:val="auto"/>
        </w:rPr>
      </w:pPr>
    </w:p>
    <w:p>
      <w:pPr>
        <w:ind w:left="1280" w:right="200" w:hanging="190"/>
        <w:spacing w:after="0" w:line="263" w:lineRule="auto"/>
        <w:tabs>
          <w:tab w:leader="none" w:pos="1280" w:val="left"/>
        </w:tabs>
        <w:numPr>
          <w:ilvl w:val="0"/>
          <w:numId w:val="28"/>
        </w:numPr>
        <w:rPr>
          <w:rFonts w:ascii="Arial" w:cs="Arial" w:eastAsia="Arial" w:hAnsi="Arial"/>
          <w:sz w:val="9"/>
          <w:szCs w:val="9"/>
          <w:color w:val="auto"/>
        </w:rPr>
      </w:pPr>
      <w:r>
        <w:rPr>
          <w:rFonts w:ascii="Arial" w:cs="Arial" w:eastAsia="Arial" w:hAnsi="Arial"/>
          <w:sz w:val="14"/>
          <w:szCs w:val="14"/>
          <w:color w:val="auto"/>
        </w:rPr>
        <w:t>For commercial loans and commercial real estate loans, a migration of loans to higher-ranked risk grades resulting in a 5% decrease in the balance of classified credits in each risk grade.</w:t>
      </w:r>
    </w:p>
    <w:p>
      <w:pPr>
        <w:spacing w:after="0" w:line="58"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The scenario analyses resulted in an additional $79 million that could be identifiable under the assumptions for credit deterioration, whereas under the assumptions for credit improvement a $24 million reduction could occur. These examples are only a few of numerous reasonably possible scenarios that could be utilized in assessing the sensitivity of the allowance for credit losses based on changes in assumptions and other factors.</w:t>
      </w:r>
    </w:p>
    <w:p>
      <w:pPr>
        <w:ind w:left="680" w:right="200" w:firstLine="599"/>
        <w:spacing w:after="0" w:line="249" w:lineRule="auto"/>
        <w:rPr>
          <w:sz w:val="20"/>
          <w:szCs w:val="20"/>
          <w:color w:val="auto"/>
        </w:rPr>
      </w:pPr>
      <w:r>
        <w:rPr>
          <w:rFonts w:ascii="Arial" w:cs="Arial" w:eastAsia="Arial" w:hAnsi="Arial"/>
          <w:sz w:val="14"/>
          <w:szCs w:val="14"/>
          <w:color w:val="auto"/>
        </w:rPr>
        <w:t>Investor-owned commercial real estate loans secured by retail properties in the New York City metropolitan area represented 4% of loans outstanding at December 31, 2010. The Company had no concentrations of credit extended to any specific industry that exceeded 10% of total loans at December 31, 2010. Outstanding loans to foreign borrowers were $107 million at December 31, 2010, or .2% of total loans and leases.</w:t>
      </w:r>
    </w:p>
    <w:p>
      <w:pPr>
        <w:ind w:left="680" w:right="20" w:firstLine="599"/>
        <w:spacing w:after="0" w:line="279" w:lineRule="auto"/>
        <w:rPr>
          <w:sz w:val="20"/>
          <w:szCs w:val="20"/>
          <w:color w:val="auto"/>
        </w:rPr>
      </w:pPr>
      <w:r>
        <w:rPr>
          <w:rFonts w:ascii="Arial" w:cs="Arial" w:eastAsia="Arial" w:hAnsi="Arial"/>
          <w:sz w:val="13"/>
          <w:szCs w:val="13"/>
          <w:color w:val="auto"/>
        </w:rPr>
        <w:t>Real estate and other foreclosed assets totaled to $220 million at December 31, 2010, compared with $95 million at December 31, 2009 and $100 million at December 31, 2008. The increase in 2010 resulted from the second quarter addition of $98 million of the previously discussed commercial real estate property located in New York City, and from higher residential real estate loan defaults and additions from residential real estate development projects. At December 31, 2010, exclusive of that $98 million commercial real estate property, 74% of the remaining $122 million of foreclosed assets were comprised of residential real estate-related properties.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Income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income totaled $1.11 billion in 2010, compared with $1.05 billion in 2009. Reflected in such income were net losses on investment securities (including</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other-than-temporary impairment losses), which totaled to $84 million in 2010 and $137 million in 2009. During 2010, other-than-temporary impairment charges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$86 million were recognized related to certain of the Company’s privately issued CMOs, CDOs and AIB ADSs. Similar charges of $138 million were recognized in 2009</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related to certain of the Company’s privately issued CMOs and CDOs. Also, reflected in noninterest income were the $28 million gain recognized on the K Bank acquisition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transaction in 2010 and the $29 million gain recognized on the Bradford acquisition transaction in 2009. Excluding gains and losses from bank investment securities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those acquisition-related gains, noninterest income was $1.16 billion in each of 2010 and 2009. Higher revenues in 2010 related to commercial mortgage banking, service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charges on deposit accounts, credit-related fees and other revenues from operations were offset by lower revenues from residential mortgage banking, brokerage services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and M&amp;T’s trust business.</w:t>
      </w:r>
    </w:p>
    <w:p>
      <w:pPr>
        <w:spacing w:after="0" w:line="6"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Other income in 2009 was 12% higher than the $939 million earned in 2008. As noted above, reflected in other income in 2009 were net losses from bank investment securities of $137 million, compared with net losses of $148 million in 2008 (including $182 million of other-than-temporary impairment losses). The impairment charges recognized in 2008 related to certain of the Company’s CMOs, CDOs and preferred stock holdings of Fannie Mae and Freddie Mac. Excluding the impact of securities gains and losses from both years and the $29 million gain associated with the Bradford acquisition transaction in 2009, other income of $1.16 billion in 2009 was 6% higher than $1.09 billion in 2008. Contributing to that improvement were higher mortgage banking revenues, service charges on deposit accounts obtained in the 2009 acquisition transactions and a smaller loss related to M&amp;T’s equity in the operations of BLG. Partially offsetting those factors were declines in trust and brokerage services income.</w:t>
      </w:r>
    </w:p>
    <w:p>
      <w:pPr>
        <w:ind w:left="680" w:right="420" w:firstLine="599"/>
        <w:spacing w:after="0" w:line="268" w:lineRule="auto"/>
        <w:rPr>
          <w:sz w:val="20"/>
          <w:szCs w:val="20"/>
          <w:color w:val="auto"/>
        </w:rPr>
      </w:pPr>
      <w:r>
        <w:rPr>
          <w:rFonts w:ascii="Arial" w:cs="Arial" w:eastAsia="Arial" w:hAnsi="Arial"/>
          <w:sz w:val="13"/>
          <w:szCs w:val="13"/>
          <w:color w:val="auto"/>
        </w:rPr>
        <w:t>Mortgage banking revenues were $185 million in 2010, $208 million in 2009 and $156 million in 2008.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ind w:left="680" w:firstLine="599"/>
        <w:spacing w:after="0" w:line="268" w:lineRule="auto"/>
        <w:rPr>
          <w:sz w:val="20"/>
          <w:szCs w:val="20"/>
          <w:color w:val="auto"/>
        </w:rPr>
      </w:pPr>
      <w:r>
        <w:rPr>
          <w:rFonts w:ascii="Arial" w:cs="Arial" w:eastAsia="Arial" w:hAnsi="Arial"/>
          <w:sz w:val="13"/>
          <w:szCs w:val="13"/>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$127 million in 2010, $166 million in 2009 and $117 million in 2008. The decline in such revenues in 2010 from 2009 reflects the impact of lower origination volumes, the Company’s decision to retain for portfolio a higher proportion of originated loans rather than selling them, and increased costs associated with obligations to repurchase certain mortgage loans previously sold. The higher revenues in 2009 as compared with 2008 were attributable to significantly higher origination activity, due largely to refinancing of loans by consumers in response to relatively low interest rates, and wider margins associated with that activity.</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New commitments to originate residential mortgage loans to be sold were approximately $4.1 billion in 2010, compared with $6.1 billion in 2009 and $4.8 billion in 2008. Similarly, closed residential mortgage loans originated for sale to other investors totaled approximately $4.2 billion in 2010, $6.2 billion in 2009 and $4.4 billion in 2008. Realized gains from sales of residential mortgage loans and loan servicing rights (net of the impact of costs associated with obligations to repurchase mortgage loans originated for sale) and recognized net unrealized gains or losses attributable to residential mortgage loans held for sale, commitments to originate loans for sale and commitments to sell loans totaled to a gain of $43 million in 2010, compared with gains of $79 million in 2009 and $31 million in 2008.</w:t>
      </w:r>
    </w:p>
    <w:p>
      <w:pPr>
        <w:spacing w:after="0" w:line="1" w:lineRule="exact"/>
        <w:rPr>
          <w:sz w:val="20"/>
          <w:szCs w:val="20"/>
          <w:color w:val="auto"/>
        </w:rPr>
      </w:pPr>
    </w:p>
    <w:p>
      <w:pPr>
        <w:ind w:left="680" w:firstLine="599"/>
        <w:spacing w:after="0" w:line="253" w:lineRule="auto"/>
        <w:rPr>
          <w:sz w:val="20"/>
          <w:szCs w:val="20"/>
          <w:color w:val="auto"/>
        </w:rPr>
      </w:pPr>
      <w:r>
        <w:rPr>
          <w:rFonts w:ascii="Arial" w:cs="Arial" w:eastAsia="Arial" w:hAnsi="Arial"/>
          <w:sz w:val="14"/>
          <w:szCs w:val="14"/>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80"/>
        <w:spacing w:after="0" w:line="294" w:lineRule="auto"/>
        <w:rPr>
          <w:sz w:val="20"/>
          <w:szCs w:val="20"/>
          <w:color w:val="auto"/>
        </w:rPr>
      </w:pPr>
      <w:r>
        <w:rPr>
          <w:rFonts w:ascii="Arial" w:cs="Arial" w:eastAsia="Arial" w:hAnsi="Arial"/>
          <w:sz w:val="12"/>
          <w:szCs w:val="12"/>
          <w:color w:val="auto"/>
        </w:rPr>
        <w:t>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During 2010 the Company received increased requests from loan purchasers for reimbursement. The Company has considered those requests in assessing the estimated impact on the Company’s consolidated financial statements. Residential mortgage banking revenues during 2010, 2009 and 2008 were reduced by approximately $30 million, $10 million and $4 million, respectively, related to the actual or anticipated settlement of repurchase obligations from loan purchasers.</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Loans held for sale that are secured by residential real estate totaled $341 million and $530 million at December 31, 2010 and 2009, respectively. Commitments to sell residential mortgage loans and commitments to originate residential mortgage loans for sale at pre-determined rates were $458 million and $162 million, respectively, at December 31, 2010, $936 million and $631 million, respectively, at December 31, 2009 and $898 million and $871 million, respectively, at December 31, 2008. Net unrealized gains on residential mortgage loans held for sale, commitments to sell loans, and commitments to originate loans for sale were $11 million and $15 million at December 31, 2010 and 2009, respectively, and $6 million at December 31, 2008. Changes in such net unrealized gains and losses are recorded in mortgage banking revenues and resulted in a net decrease in revenue of $5 million in 2010 and net increases in revenue of $9 million and $13 million in 2009 and 2008, respectively.</w:t>
      </w:r>
    </w:p>
    <w:p>
      <w:pPr>
        <w:spacing w:after="0" w:line="1" w:lineRule="exact"/>
        <w:rPr>
          <w:sz w:val="20"/>
          <w:szCs w:val="20"/>
          <w:color w:val="auto"/>
        </w:rPr>
      </w:pPr>
    </w:p>
    <w:p>
      <w:pPr>
        <w:ind w:left="680" w:right="100" w:firstLine="599"/>
        <w:spacing w:after="0" w:line="268" w:lineRule="auto"/>
        <w:rPr>
          <w:sz w:val="20"/>
          <w:szCs w:val="20"/>
          <w:color w:val="auto"/>
        </w:rPr>
      </w:pPr>
      <w:r>
        <w:rPr>
          <w:rFonts w:ascii="Arial" w:cs="Arial" w:eastAsia="Arial" w:hAnsi="Arial"/>
          <w:sz w:val="13"/>
          <w:szCs w:val="13"/>
          <w:color w:val="auto"/>
        </w:rPr>
        <w:t>Late in the third quarter of 2010, the Company began to originate certain residential real estate loans to be held in its loan portfolio, rather than continuing to sell such loans. The loans conform to Fannie Mae and Freddie Mac underwriting guidelines. Retaining these residential real estate loans is expected to largely offset the impact of the declining investment securities portfolio resulting from maturities and pay-downs of residential mortgage-backed securities while providing high quality assets earning a reasonable yield. That decision resulted in a reduction of residential mortgage banking revenues of approximately $11 million in 2010.</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Revenues from servicing residential mortgage loans for others were $80 million in 2010, compared with $82 million in 2009 and $81 million in 2008. Included in such servicing revenues were amounts related to purchased servicing rights associated with small balance commercial mortgage loans totaling $27 million in 2010 and $29 million in each of 2009 and 2008. Residential mortgage loans serviced for others aggregated $21.1 billion at December 31, 2010, $21.4 billion a year earlier and $21.3 billion at December 31, 2008, including the small balance commercial mortgage loans noted above of approximately $5.2 billion, $5.5 billion and $5.9 billion at December 31, 2010, 2009 and 2008, respectively. Capitalized residential mortgage loan servicing assets, net of any applicable valuation allowance for possible impairment, totaled $118 million at December 31, 2010, compared with $141 million and $143 million at December 31, 2009 and 2008, respectively. The valuation allowance for possible impairment of capitalized residential mortgage servicing assets totaled $50 thousand and $22 million at the 2009 and 2008 year-ends, respectively. There was no similar valuation allowance at December 31, 2010. Included in capitalized residential mortgage servicing assets were purchased servicing rights associated with the small balance commercial mortgage loans noted above of $26 million, $40 million and $58 million at December 31, 2010, 2009 and 2008, respectively. Servicing rights for the small balance commercial mortgage loans were purchased from BLG or its affiliates. In addition, at December 31, 2010 capitalized servicing rights included $9 million of servicing rights for $3.6 billion of residential real estate loans that were purchased from affiliates of BLG. Additional information about the Company’s relationship with BLG and its affiliates is provided in note 25 of Notes to Financial Statements. Additional information about the Company’s capitalized residential mortgage loan servicing assets, including information about the calculation of estimated fair value, is presented in note 7 of Notes to Financial Statements.</w:t>
      </w:r>
    </w:p>
    <w:p>
      <w:pPr>
        <w:spacing w:after="0" w:line="2" w:lineRule="exact"/>
        <w:rPr>
          <w:sz w:val="20"/>
          <w:szCs w:val="20"/>
          <w:color w:val="auto"/>
        </w:rPr>
      </w:pPr>
    </w:p>
    <w:p>
      <w:pPr>
        <w:ind w:left="680" w:right="240" w:firstLine="599"/>
        <w:spacing w:after="0" w:line="253" w:lineRule="auto"/>
        <w:rPr>
          <w:sz w:val="20"/>
          <w:szCs w:val="20"/>
          <w:color w:val="auto"/>
        </w:rPr>
      </w:pPr>
      <w:r>
        <w:rPr>
          <w:rFonts w:ascii="Arial" w:cs="Arial" w:eastAsia="Arial" w:hAnsi="Arial"/>
          <w:sz w:val="14"/>
          <w:szCs w:val="14"/>
          <w:color w:val="auto"/>
        </w:rPr>
        <w:t>Commercial mortgage banking revenues totaled $58 million in 2010, $42 million in 2009 and $39 million in 2008. Revenues from loan origination and sales activities were $40 million in 2010 and $27 million in each of 2009 and 2008. The higher revenues in 2010 reflected higher loan origination volumes. As compared with 2008, improved margins in 2009 were offset by a decline in loan origination volume. Commercial mortgage loans originated for sale to other investors totaled approximately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80"/>
        <w:spacing w:after="0" w:line="272" w:lineRule="auto"/>
        <w:rPr>
          <w:sz w:val="20"/>
          <w:szCs w:val="20"/>
          <w:color w:val="auto"/>
        </w:rPr>
      </w:pPr>
      <w:r>
        <w:rPr>
          <w:rFonts w:ascii="Arial" w:cs="Arial" w:eastAsia="Arial" w:hAnsi="Arial"/>
          <w:sz w:val="13"/>
          <w:szCs w:val="13"/>
          <w:color w:val="auto"/>
        </w:rPr>
        <w:t>$1.6 billion in 2010, compared with $1.1 billion in 2009 and $1.4 billion in 2008. Loan servicing revenues totaled $18 million in 2010, $15 million in 2009 and $12 million in 2008. Capitalized commercial mortgage loan servicing assets aggregated $43 million at December 31, 2010, $33 million at December 31, 2009 and $26 million at December 31, 2008. Commercial mortgage loans serviced for other investors totaled $8.1 billion, $7.1 billion and $6.4 billion at December 31, 2010, 2009 and 2008, respectively, and included $1.6 billion, $1.3 billion and $1.2 billion, respectively, of loan balances for which investors had recourse to the Company if such balances are ultimately uncollectible. Commitments to sell commercial mortgage loans and commitments to originate commercial mortgage loans for sale were $276 million and</w:t>
      </w:r>
    </w:p>
    <w:p>
      <w:pPr>
        <w:jc w:val="both"/>
        <w:ind w:left="680" w:right="300"/>
        <w:spacing w:after="0" w:line="268" w:lineRule="auto"/>
        <w:rPr>
          <w:sz w:val="20"/>
          <w:szCs w:val="20"/>
          <w:color w:val="auto"/>
        </w:rPr>
      </w:pPr>
      <w:r>
        <w:rPr>
          <w:rFonts w:ascii="Arial" w:cs="Arial" w:eastAsia="Arial" w:hAnsi="Arial"/>
          <w:sz w:val="13"/>
          <w:szCs w:val="13"/>
          <w:color w:val="auto"/>
        </w:rPr>
        <w:t>$73 million, respectively, at December 31, 2010, $303 million and $180 million, respectively, at December 31, 2009 and $408 million and $252 million, respectively, at December 31, 2008. Commercial mortgage loans held for sale totaled $204 million, $123 million and $156 million at December 31, 2010, 2009 and 2008, respectively.</w:t>
      </w:r>
    </w:p>
    <w:p>
      <w:pPr>
        <w:ind w:left="680" w:right="20" w:firstLine="599"/>
        <w:spacing w:after="0" w:line="268" w:lineRule="auto"/>
        <w:rPr>
          <w:sz w:val="20"/>
          <w:szCs w:val="20"/>
          <w:color w:val="auto"/>
        </w:rPr>
      </w:pPr>
      <w:r>
        <w:rPr>
          <w:rFonts w:ascii="Arial" w:cs="Arial" w:eastAsia="Arial" w:hAnsi="Arial"/>
          <w:sz w:val="13"/>
          <w:szCs w:val="13"/>
          <w:color w:val="auto"/>
        </w:rPr>
        <w:t>Service charges on deposit accounts rose 2% to $478 million in 2010 from $469 million in 2009. That improvement resulted largely from the full-year impact of 2009 acquisition transactions and increased debit card fees resulting from higher transaction volumes. Those positive factors were partially offset by the impact of new regulations that went into effect during the third quarter of 2010. The Federal Reserve and other bank regulators have adopted regulations requiring expanded disclosure of overdraft and other fees assessed to consumers and have issued guidance that requires consumers to elect to be subject to fees for certain deposit account transactions which began on July 1, 2010 for new customers and on August 15, 2010 for pre-existing customers. The Company engaged in an outreach program to customers, particularly those who are frequent users of overdraft services, to ensure they understood such services and to allow them the opportunity to continue to receive those services. Nevertheless, the Company estimates that these regulations resulted in a reduction of service charges on deposit accounts in 2010 of approximately $35 million and expects that the full-year 2011 impact of the regulations on such revenues will be approximately $65 million to $80 million. Deposit account service charges in 2008 were $431 million. The 9% increase in those revenues in 2009 as compared with 2008 was predominately due to the impact of the Provident acquisition in May 2009. As part of the Dodd-Frank Act, the Federal Reserve has proposed new regulations related to debit card interchange rates that would also have a significant negative impact on revenues earned by financial institutions on debit card transactions. It is difficult to know what the final regulations will require and when they will become effective and, accordingly, the Company cannot estimate the impact that such regulations will have on its results of operations.</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declined 5% to $123 million in 2010 from $129 million in 2009. During 2008, trust income totaled $156 million. Contributing to the lower levels of such income in 2010 and 2009 as compared with 2008 were the impact of lower balances in proprietary mutual funds and the impact of fee waivers by the Company in order to pay customers a yield on their investments in proprietary money-market mutual funds. Those waived fees were approximately $18 million in 2010 and $10 million in 2009. Waived fees in 2008 were not significant. Total trust assets, which include assets under management and assets under administration, aggregated $113.4 billion at December 31, 2010, compared with $111.6 billion at December 31, 2009. Trust assets under management were $13.2 billion and $13.8 billion at December 31, 2010 and 2009, respectively. The Company’s proprietary mutual funds, the MTB Group of Funds, had assets of $7.7 billion and $7.9 billion at December 31, 2010 and 2009, respectively.</w:t>
      </w:r>
    </w:p>
    <w:p>
      <w:pPr>
        <w:spacing w:after="0" w:line="1"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Brokerage services income, which includes revenues from the sale of mutual funds and annuities and securities brokerage fees, aggregated $50 million in 2010, $58 million in 2009 and $64 million in 2008. The decline in such revenues in 2010 as compared with 2009 was attributable to lower sales of annuity products. The decrease in revenues in 2009 as compared with the previous year was largely attributable to lower sales of mutual fund and annuity products. Trading account and foreign exchange activity resulted in gains of $27 million in 2010, $23 million in 2009 and $18 million in 2008. The rise in gains from 2009 to 2010 was due to higher new volumes of interest rate swap agreement transactions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70" w:lineRule="auto"/>
        <w:rPr>
          <w:sz w:val="20"/>
          <w:szCs w:val="20"/>
          <w:color w:val="auto"/>
        </w:rPr>
      </w:pPr>
      <w:r>
        <w:rPr>
          <w:rFonts w:ascii="Arial" w:cs="Arial" w:eastAsia="Arial" w:hAnsi="Arial"/>
          <w:sz w:val="13"/>
          <w:szCs w:val="13"/>
          <w:color w:val="auto"/>
        </w:rPr>
        <w:t>executed on behalf of commercial customers. The higher revenues in 2009 as compared with 2008 were due to increases in market values of trading assets held in connection with deferred compensation plans.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 Trading account revenues related to interest rate and foreign exchange contracts totaled $16 million in 2010, compared with $10 million in 2009 and $21 million in 2008. Those fluctuations related predominantly to changes in new volumes of interest rate swap agreement transactions executed on behalf of commercial customers. Trading account assets held in connection with deferred compensation plans were $35 million and $36 million at December 31, 2010 and 2009, respectively. Trading account revenues resulting from net increases or decreases in the market values of such assets were $3 million and $4 million in 2010 and 2009, respectively, compared with losses of $12 million in 2008. A largely offsetting impact on expenses resulting from corresponding increases or decreases in liabilities related to deferred compensation is included in “other costs of operations.”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Including other-than-temporary impairment losses, the Company recognized net losses on investment securities of $84 million during 2010, compared with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$137 million and $148 million in 2009 and 2008, respectively. Other-than-temporary impairment charges of $86 million, $138 million and $182 million were recorded in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2010, 2009 and 2008, respectively. The Company recognized impairment charges during 2010 of $68 million related to certain privately issued CMOs backed by residential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commercial real estate loans, $6 million related to CDOs backed by trust preferred securities issued by financial institutions and other entities, and a $12 million write-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down of AIB ADSs. The AIB ADSs were obtained in a prior acquisition of a subsidiary of AIB and are held to satisfy options to purchase such shares granted by that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subsidiary to certain of its employees. During 2009, the Company recognized impairment charges on certain privately issued CMOs backed by residential real estate loans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$128 million and CDOs backed by trust preferred securities of $10 million. The impairment charges recognized in 2008 included write-downs of $153 million related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preferred stock issuances of Fannie Mae and Freddie Mac and $29 million related to CMOs and CDOs in the investment securities portfolio, and were partially offset by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gain of $33 million related to the mandatory redemption of common shares of Visa during the first quarter of that year. Each reporting period the Company reviews its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impaired investment securities for other-than-temporary impairment. For equity securities, such as the Company’s holding of AIB ADSs and its investment in the preferred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of Fannie Mae and Freddie Mac, the Company considers various factors to determine if the decline in value is other than temporary, including the duration and extent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decline in value, the factors contributing to the decline in fair value, including the financial condition of the issuer as well as the conditions of the industry in which it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operates, and the prospects for a recovery in fair value of the equity security. For debt securities, the Company analyzes the creditworthiness of the issuer or reviews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performance of the underlying collateral supporting the bond. For debt securities backed by pools of loans, such as privately issued mortgage-backed securities,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estimates the cash flows of the underlying loan collateral using forward-looking assumptions of default rates, loss severities and prepayment speeds. Estimated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collateral cash flows are then utilized to estimate bond-specific cash flows to determine the ultimate collectibility of the bond. If the present value of the cash flows indicates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the Company should not expect to recover the entire amortized cost basis of a bond or if the Company intends to sell the bond or it more likely than not will be required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sell the bond before recovery of its amortized cost basis, an other-than-temporary impairment loss is recognized. If an other-than-temporary impairment loss is deemed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have occurred, the investment security’s cost basis is adjusted, as appropriate for the circumstances. Additional information about other-than-temporary impairment losses is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included herein under the heading “Capital”.</w:t>
      </w:r>
    </w:p>
    <w:p>
      <w:pPr>
        <w:spacing w:after="0" w:line="6" w:lineRule="exact"/>
        <w:rPr>
          <w:sz w:val="20"/>
          <w:szCs w:val="20"/>
          <w:color w:val="auto"/>
        </w:rPr>
      </w:pPr>
    </w:p>
    <w:p>
      <w:pPr>
        <w:ind w:left="680" w:firstLine="599"/>
        <w:spacing w:after="0" w:line="256" w:lineRule="auto"/>
        <w:rPr>
          <w:sz w:val="20"/>
          <w:szCs w:val="20"/>
          <w:color w:val="auto"/>
        </w:rPr>
      </w:pPr>
      <w:r>
        <w:rPr>
          <w:rFonts w:ascii="Arial" w:cs="Arial" w:eastAsia="Arial" w:hAnsi="Arial"/>
          <w:sz w:val="14"/>
          <w:szCs w:val="14"/>
          <w:color w:val="auto"/>
        </w:rPr>
        <w:t>M&amp;T’s share of the operating losses of BLG was $26 million in each of 2010 and 2009, compared with $37 million in 2008. The operating losses of BLG in those years resulted from the disruptions in the privately issued mortgage-backed securities market and higher provisions for losses associated with securitized loans and other loans held by BLG, and costs associated with severance and certain lease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1" w:lineRule="auto"/>
        <w:rPr>
          <w:sz w:val="20"/>
          <w:szCs w:val="20"/>
          <w:color w:val="auto"/>
        </w:rPr>
      </w:pPr>
      <w:r>
        <w:rPr>
          <w:rFonts w:ascii="Arial" w:cs="Arial" w:eastAsia="Arial" w:hAnsi="Arial"/>
          <w:sz w:val="13"/>
          <w:szCs w:val="13"/>
          <w:color w:val="auto"/>
        </w:rPr>
        <w:t>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December 31, 2010, the Company projected no further commercial mortgage origination and securitization activities by BLG. With respect to mortgage assets held by BLG and its affiliates, M&amp;T estimated future cash flows from those assets using various assumptions for future defaults and loss severities to arrive at an expected amount of cash flows that could be available to distribute to M&amp;T. As of December 31, 2010, the weighted-average assumption of projected default percentage on the underlying mortgage loan collateral supporting those mortgage assets was 31% and the weighted-average loss severity assumption was 66%. Lastly, M&amp;T considered different scenarios of projected cash flows that could be generated by the asset management and servicing operations of BLG’s affiliates. M&amp;T is contractually entitled to participate in distributions from those affiliates. Such estimates were derived from company-provided forecasts of financial results and through discussions with their senior management with respect to longer-term projections of growth in assets under management and asset servicing portfolios. M&amp;T then discounted the various projections using discount rates that ranged from 8% to 17%. Upon evaluation of those results, management concluded that M&amp;T’s investment in BLG was not other-than-temporarily impaired at December 31, 2010. Nevertheless, if BLG is not able to realize sufficient cash flows for the benefit of M&amp;T, the Company may be required to recognize an other-than-temporary impairment charge in a future period for some portion of the $220 million book value of its investment in BLG. Information about the Company’s relationship with BLG and its affiliates is included in note 25 of Notes to Financial Statements.</w:t>
      </w:r>
    </w:p>
    <w:p>
      <w:pPr>
        <w:spacing w:after="0" w:line="15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Other revenues from operations totaled $355 million in 2010, compared with $325 million in 2009 and $300 million in 2008. Contributing to the 9% improvement from 2009 to 2010 were a $12 million rise in letter of credit and other credit-related fees and increases in merchant discount and credit card fees, underwriting and investment advisory fees, and other miscellaneous fees and revenues. Reflected in other revenues from operations in 2010 and 2009 were merger-related gains of</w:t>
      </w:r>
    </w:p>
    <w:p>
      <w:pPr>
        <w:ind w:left="680" w:right="180"/>
        <w:spacing w:after="0" w:line="249" w:lineRule="auto"/>
        <w:rPr>
          <w:sz w:val="20"/>
          <w:szCs w:val="20"/>
          <w:color w:val="auto"/>
        </w:rPr>
      </w:pPr>
      <w:r>
        <w:rPr>
          <w:rFonts w:ascii="Arial" w:cs="Arial" w:eastAsia="Arial" w:hAnsi="Arial"/>
          <w:sz w:val="14"/>
          <w:szCs w:val="14"/>
          <w:color w:val="auto"/>
        </w:rPr>
        <w:t>$28 million and $29 million, respectively, related to the K Bank and Bradford transactions. The improvement from 2008 to 2009 reflects the $29 million Bradford-related gain recognized in 2009 offset, in part, by modest declines in other miscellaneous fees and revenues.</w:t>
      </w:r>
    </w:p>
    <w:p>
      <w:pPr>
        <w:ind w:left="1280"/>
        <w:spacing w:after="0"/>
        <w:rPr>
          <w:sz w:val="20"/>
          <w:szCs w:val="20"/>
          <w:color w:val="auto"/>
        </w:rPr>
      </w:pPr>
      <w:r>
        <w:rPr>
          <w:rFonts w:ascii="Arial" w:cs="Arial" w:eastAsia="Arial" w:hAnsi="Arial"/>
          <w:sz w:val="14"/>
          <w:szCs w:val="14"/>
          <w:color w:val="auto"/>
        </w:rPr>
        <w:t>Included in other revenues from operations were the following significant components. Letter of credit and other credit-related fees totaled $112 million,</w:t>
      </w:r>
    </w:p>
    <w:p>
      <w:pPr>
        <w:spacing w:after="0" w:line="6" w:lineRule="exact"/>
        <w:rPr>
          <w:sz w:val="20"/>
          <w:szCs w:val="20"/>
          <w:color w:val="auto"/>
        </w:rPr>
      </w:pPr>
    </w:p>
    <w:p>
      <w:pPr>
        <w:ind w:left="680" w:right="20"/>
        <w:spacing w:after="0" w:line="274" w:lineRule="auto"/>
        <w:rPr>
          <w:sz w:val="20"/>
          <w:szCs w:val="20"/>
          <w:color w:val="auto"/>
        </w:rPr>
      </w:pPr>
      <w:r>
        <w:rPr>
          <w:rFonts w:ascii="Arial" w:cs="Arial" w:eastAsia="Arial" w:hAnsi="Arial"/>
          <w:sz w:val="13"/>
          <w:szCs w:val="13"/>
          <w:color w:val="auto"/>
        </w:rPr>
        <w:t>$100 million and $97 million in 2010, 2009 and 2008, respectively. The rise in such fees from 2009 to 2010 was due largely to higher income from providing letter of credit and loan syndication services. Tax-exempt income earned from bank owned life insurance aggregated $50 million in 2010 and $49 million in each of 2009 and 2008. Such income includes increases in cash surrender value of life insurance policies and benefits received. Revenues from merchant discount and credit card fees were $46 million in 2010 and $40 million in each of 2009 and 2008. The increased revenues in 2010 were largely attributable to higher transaction volumes related to merchant activity and usage of the Company’s commercial credit card product. Insurance-related sales commissions and other revenues totaled $40 million in 2010, $42 million in 2009 and $31 million in 2008. Automated teller machine usage fees aggregated $18 million in 2010, $19 million in 2009 and $17 million in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Expense</w:t>
      </w:r>
    </w:p>
    <w:p>
      <w:pPr>
        <w:spacing w:after="0" w:line="22" w:lineRule="exact"/>
        <w:rPr>
          <w:sz w:val="20"/>
          <w:szCs w:val="20"/>
          <w:color w:val="auto"/>
        </w:rPr>
      </w:pPr>
    </w:p>
    <w:p>
      <w:pPr>
        <w:ind w:left="680" w:right="280"/>
        <w:spacing w:after="0" w:line="256" w:lineRule="auto"/>
        <w:rPr>
          <w:sz w:val="20"/>
          <w:szCs w:val="20"/>
          <w:color w:val="auto"/>
        </w:rPr>
      </w:pPr>
      <w:r>
        <w:rPr>
          <w:rFonts w:ascii="Arial" w:cs="Arial" w:eastAsia="Arial" w:hAnsi="Arial"/>
          <w:sz w:val="14"/>
          <w:szCs w:val="14"/>
          <w:color w:val="auto"/>
        </w:rPr>
        <w:t>Other expense aggregated $1.91 billion in 2010, compared with $1.98 billion in 2009 and $1.73 billion in 2008. Included in such amounts are expenses considered to be “nonoperating” in nature consisting of amortization of core deposit and other intangible assets of $58 million, $64 million and $67 million in 2010, 2009 and 2008, respectively, and merger-related expenses of $771 thousand in 2010, $89 million 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2009 and $4 million in 2008. Exclusive of those nonoperating expenses, noninterest operating expenses were $1.86 billion in 2010, up 2% from $1.83 billion in 2009. That increase was largely attributable to higher costs for professional services, advertising and promotion, occupancy expenses related to the acquired operations of Provident, and a $22 million reduction of the allowance for impairment of capitalized residential mortgage servicing rights in 2009. There was no change to that impairment allowance for the year ended December 31, 2010. Reflected in noninterest operating expenses in 2010 was the full-year impact of the acquired operations of Provident and Bradford. Partially offsetting the higher costs in 2010 were declines in expenses related to foreclosed real estate properties and FDIC assessments. Noninterest operating expenses were $1.66 billion in 2008. The most significant factors for the rise in operating expenses from 2008 to 2009 were costs associated with the acquired operations of Provident and Bradford, a $90 million increase in FDIC assessments (including approximately $9 million relating to deposits from Provident and Bradford) and higher foreclosure-related expenses. The impact of those increases was mitigated by a reversal of the valuation allowance for capitalized residential mortgage servicing rights of $22 million in 2009, as compared with an addition to that valuation allowance of $16 million in 2008.</w:t>
      </w:r>
    </w:p>
    <w:p>
      <w:pPr>
        <w:spacing w:after="0" w:line="2"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Salaries and employee benefits expense totaled $1.00 billion in each of 2010 and 2009, compared with $957 million in 2008. Increased incentive compensation costs and the full-year impact of the 2009 acquisition transactions in 2010 were largely offset by a $10 million decline in merger-related salaries and employee benefits expenses that consisted predominantly of severance expense for Provident employees. The higher expense levels in 2009 as compared with 2008 reflect the impact of the 2009 acquisition transactions. Also contributing to the increased expenses in 2009 were higher costs for providing medical and pension benefits. Stock-based compensation totaled $54 million in each of 2010 and 2009, and $50 million in 2008. The number of full-time equivalent employees was 12,802 at December 31, 2010, compared with 13,639 and 12,978 at December 31, 2009 and 2008, respectively.</w:t>
      </w:r>
    </w:p>
    <w:p>
      <w:pPr>
        <w:ind w:left="680" w:firstLine="599"/>
        <w:spacing w:after="0" w:line="268" w:lineRule="auto"/>
        <w:rPr>
          <w:sz w:val="20"/>
          <w:szCs w:val="20"/>
          <w:color w:val="auto"/>
        </w:rPr>
      </w:pPr>
      <w:r>
        <w:rPr>
          <w:rFonts w:ascii="Arial" w:cs="Arial" w:eastAsia="Arial" w:hAnsi="Arial"/>
          <w:sz w:val="13"/>
          <w:szCs w:val="13"/>
          <w:color w:val="auto"/>
        </w:rPr>
        <w:t>The Company provides pension and other postretirement benefits (including a retirement savings plan) for its employees. Expenses related to such benefits totaled $66 million in 2010, $60 million in 2009 and $52 million in 2008. The Company sponsors both defined benefit and defined contribution pension plans. Pension benefit expense for those plans was $38 million in 2010, $32 million in 2009 and $23 million in 2008. Included in those amounts are $14 million in 2010, $11 million in 2009 and $10 million in 2008 for a defined contribution pension plan that the Company began on January 1, 2006.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2" w:lineRule="exact"/>
        <w:rPr>
          <w:sz w:val="20"/>
          <w:szCs w:val="20"/>
          <w:color w:val="auto"/>
        </w:rPr>
      </w:pPr>
    </w:p>
    <w:p>
      <w:pPr>
        <w:ind w:left="680" w:right="400" w:firstLine="599"/>
        <w:spacing w:after="0" w:line="279" w:lineRule="auto"/>
        <w:rPr>
          <w:sz w:val="20"/>
          <w:szCs w:val="20"/>
          <w:color w:val="auto"/>
        </w:rPr>
      </w:pPr>
      <w:r>
        <w:rPr>
          <w:rFonts w:ascii="Arial" w:cs="Arial" w:eastAsia="Arial" w:hAnsi="Arial"/>
          <w:sz w:val="13"/>
          <w:szCs w:val="13"/>
          <w:color w:val="auto"/>
        </w:rPr>
        <w:t>The Company’s 2010 pension expense for its defined benefit plans was determined using the following assumptions: a long-term rate of return on assets of 6.50%; a rate of future compensation increase of 4.50%; and a discount rate of 5.75%. To demonstrate the sensitivity of pension expense to changes in the Company’s pension plan assumptions, 25 basis point increases in: the rate of return on plan assets would have resulted in a decrease in pension expense of $2 million; the rate of increase in compensation would have resulted in an increase in pension expense of $.3 million; and the discount rate</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2" w:lineRule="auto"/>
        <w:rPr>
          <w:sz w:val="20"/>
          <w:szCs w:val="20"/>
          <w:color w:val="auto"/>
        </w:rPr>
      </w:pPr>
      <w:r>
        <w:rPr>
          <w:rFonts w:ascii="Arial" w:cs="Arial" w:eastAsia="Arial" w:hAnsi="Arial"/>
          <w:sz w:val="13"/>
          <w:szCs w:val="13"/>
          <w:color w:val="auto"/>
        </w:rPr>
        <w:t>would have resulted in a decrease in pension expense of $3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2010, the Company had cumulative unrecognized actuarial losses of approximately</w:t>
      </w:r>
    </w:p>
    <w:p>
      <w:pPr>
        <w:ind w:left="680" w:right="20"/>
        <w:spacing w:after="0" w:line="249" w:lineRule="auto"/>
        <w:rPr>
          <w:sz w:val="20"/>
          <w:szCs w:val="20"/>
          <w:color w:val="auto"/>
        </w:rPr>
      </w:pPr>
      <w:r>
        <w:rPr>
          <w:rFonts w:ascii="Arial" w:cs="Arial" w:eastAsia="Arial" w:hAnsi="Arial"/>
          <w:sz w:val="14"/>
          <w:szCs w:val="14"/>
          <w:color w:val="auto"/>
        </w:rPr>
        <w:t>$233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$14 million in 2010, $10 million in 2009 and $4 million in 2008.</w:t>
      </w:r>
    </w:p>
    <w:p>
      <w:pPr>
        <w:ind w:left="680" w:firstLine="599"/>
        <w:spacing w:after="0" w:line="269" w:lineRule="auto"/>
        <w:rPr>
          <w:sz w:val="20"/>
          <w:szCs w:val="20"/>
          <w:color w:val="auto"/>
        </w:rPr>
      </w:pPr>
      <w:r>
        <w:rPr>
          <w:rFonts w:ascii="Arial" w:cs="Arial" w:eastAsia="Arial" w:hAnsi="Arial"/>
          <w:sz w:val="13"/>
          <w:szCs w:val="13"/>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2010, the combined benefit obligations of the Company’s defined benefit postretirement plans exceeded the fair value of the assets of such plans by approximately $171 million. Of that amount, $43 million was related to qualified defined benefit plans that are periodically funded by the Company and $128 million related to non-qualified pension and other postretirement benefit plans that are generally not funded until benefits are paid. The Company was required to have a net pension and postretirement benefit liability for those plans that was at least equal to $171 million at December 31, 2010. Accordingly, as of December 31, 2010 the Company recorded an additional postretirement benefit liability of $199 million. After applicable tax effect, that liability reduced accumulated other comprehensive income (and thereby shareholders’ equity) by $121 million. The result of this was a year-over-year increase of $6 million to the required minimum postretirement benefit liability from the $193 million recorded at December 31, 2009. After applicable tax effect, the $6 million increase in the minimum required liability decreased accumulated other comprehensive income in 2010 by $4 million from the prior year-end amount of $117 million. The $6 million increase to the liability was the result of losses that occurred during 2010 resulting from actual experience differing from actuarial assumptions and from changes in those assumptions. Those losses reflect a reduction in the discount rate used to measure the benefit obligations of the defined benefit plans at December 31, 2010 as compared with a year earlier, offset by actual investment returns in the qualified defined benefit pension plan that exceeded expected returns. In determining the benefit obligation for defined benefit postretirement plans the Company used a discount rate of 5.25% at December 31, 2010 and 5.75% at December 31, 2009. A 25 basis point decrease in the assumed discount rate as of December 31, 2010 to 5.0% would have resulted in increases in the combined benefit obligations of all defined benefit postretirement plans (including pension and other plans) of $35 million. Under that scenario, the minimum postretirement liability adjustment at December 31, 2010 would have been $234 million, rather than the $199 million that was actually recorded, and the corresponding after tax-effect charge to accumulated other comprehensive income at December 31, 2010 would have been $142 million, rather than the $121 million that was actually recorded. A 25 basis point increase in the assumed discount rate to 5.50% would have decreased the combined benefit obligations of all defined benefit postretirement plans by $33 million. Under this latter scenario, the aggregate minimum liability adjustment at December 31, 2010 would have been $166 million rather than the $199 million actually recorded and the corresponding after tax-effect charge to accumulated other comprehensive income would have been $101 million rather than $121 million. The Company was not required to and did not make any contributions to its qualified defined benefit pension plan in 2010. During the second quarter</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4" w:lineRule="auto"/>
        <w:rPr>
          <w:sz w:val="20"/>
          <w:szCs w:val="20"/>
          <w:color w:val="auto"/>
        </w:rPr>
      </w:pPr>
      <w:r>
        <w:rPr>
          <w:rFonts w:ascii="Arial" w:cs="Arial" w:eastAsia="Arial" w:hAnsi="Arial"/>
          <w:sz w:val="13"/>
          <w:szCs w:val="13"/>
          <w:color w:val="auto"/>
        </w:rPr>
        <w:t>of 2009, the Company elected to contribute 900,000 shares of common stock of M&amp;T having a fair value of $44 million to its qualified defined benefit pension plan. During 2008, the Company made cash contributions to its qualified defined benefit pension plan totaling $140 million. Information about the Company’s pension plans, including significant assumptions utilized in completing actuarial calculations for the plans, is included in note 12 of Notes to Financial Statements.</w:t>
      </w:r>
    </w:p>
    <w:p>
      <w:pPr>
        <w:spacing w:after="0" w:line="1" w:lineRule="exact"/>
        <w:rPr>
          <w:sz w:val="20"/>
          <w:szCs w:val="20"/>
          <w:color w:val="auto"/>
        </w:rPr>
      </w:pPr>
    </w:p>
    <w:p>
      <w:pPr>
        <w:ind w:left="680" w:right="220" w:firstLine="599"/>
        <w:spacing w:after="0" w:line="268" w:lineRule="auto"/>
        <w:rPr>
          <w:sz w:val="20"/>
          <w:szCs w:val="20"/>
          <w:color w:val="auto"/>
        </w:rPr>
      </w:pPr>
      <w:r>
        <w:rPr>
          <w:rFonts w:ascii="Arial" w:cs="Arial" w:eastAsia="Arial" w:hAnsi="Arial"/>
          <w:sz w:val="13"/>
          <w:szCs w:val="13"/>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$25 million in 2010, $24 million in 2009 and $23 million in 2008.</w:t>
      </w:r>
    </w:p>
    <w:p>
      <w:pPr>
        <w:ind w:left="680" w:firstLine="599"/>
        <w:spacing w:after="0" w:line="268" w:lineRule="auto"/>
        <w:rPr>
          <w:sz w:val="20"/>
          <w:szCs w:val="20"/>
          <w:color w:val="auto"/>
        </w:rPr>
      </w:pPr>
      <w:r>
        <w:rPr>
          <w:rFonts w:ascii="Arial" w:cs="Arial" w:eastAsia="Arial" w:hAnsi="Arial"/>
          <w:sz w:val="13"/>
          <w:szCs w:val="13"/>
          <w:color w:val="auto"/>
        </w:rPr>
        <w:t>Expenses associated with the defined benefit and defined contribution pension plans and the RSP totaled $62 million in 2010, $56 million in 2009 and $47 million in 2008. Expense associated with providing medical and other postretirement benefits was $4 million in each of 2010 and 2009 and $5 million in 2008.</w:t>
      </w:r>
    </w:p>
    <w:p>
      <w:pPr>
        <w:ind w:left="680" w:firstLine="599"/>
        <w:spacing w:after="0" w:line="271" w:lineRule="auto"/>
        <w:rPr>
          <w:sz w:val="20"/>
          <w:szCs w:val="20"/>
          <w:color w:val="auto"/>
        </w:rPr>
      </w:pPr>
      <w:r>
        <w:rPr>
          <w:rFonts w:ascii="Arial" w:cs="Arial" w:eastAsia="Arial" w:hAnsi="Arial"/>
          <w:sz w:val="13"/>
          <w:szCs w:val="13"/>
          <w:color w:val="auto"/>
        </w:rPr>
        <w:t>Excluding the nonoperating expense items already noted, nonpersonnel operating expenses totaled $856 million in 2010, up 3% from $835 million in 2009. Contributing to that increase were higher costs for professional services, advertising and promotion, occupancy expenses related to the full-year impact of the acquired operations of Provident, and a $22 million reduction of the allowance for impairment of capitalized residential mortgage servicing rights in 2009. There was no change in such impairment allowance in 2010. Partially offsetting the factors described above were decreased costs related to foreclosed real estate properties and FDIC assessments in 2010. Nonpersonnel operating expenses were $700 million in 2008. Higher FDIC deposit assessments were a significant contributor to the rise in those expenses from 2008 to 2009. In total, FDIC assessments in 2009 were $97 million, including a $33 million special assessment in the second quarter, compared with $7 million in 2008. Also contributing to the higher level of operating expenses in 2009 as compared with 2008 were costs associated with the acquired operations of Provident and Bradford and expenses related to the foreclosure process for residential real estate properties. A $15 million reversal in the first quarter of 2008 of an accrual established in the fourth quarter of 2007 for estimated losses stemming from certain litigation involving Visa also contributed to the year-over-year variance. Partially offsetting those factors was the impact of partial reversals of the valuation allowance for impairment of residential mortgage servicing rights in 2009 of $22 million, compared with additions to the valuation allowance of $16 million in 2008.</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The provision for income taxes was $357 million in 2010, compared with $139 million in 2009 and $184 million in 2008. The effective tax rates were 32.6%, 26.8% and 24.9% in 2010, 2009 and 2008, respectively. Income taxes in 2008 reflect the resolution in that year of previously uncertain tax positions related to the Company’s activities in various jurisdictions during the years 1999-2007 that allowed the Company to reduce its accrual for income taxes in the third quarter of 2008 by $40 million.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although the merger-related expenses incurred during 2009 are predominantly deductible for purposes of computing income tax expense, those charges had an impact on the effective tax rate because they lowered pre-tax income relative to the amounts of tax-exempt income and other permanent differences that impact the effective tax rate. Excluding the impact of (i) other-than-temporary impairment charges in 2010, 2009 and 2008; (ii) net merger-related gains of $27 million in 2010 and net merger-related expenses of $60 million in 2009 and $4 million in 2008; and (iii) the credit to income tax expense noted above of $40 million in 2008, the Company’s effective tax rates for 2010, 2009 and 2008 would have been 33.0%, 30.3%, and 32.1%, respectively.</w:t>
      </w:r>
    </w:p>
    <w:p>
      <w:pPr>
        <w:spacing w:after="0" w:line="2" w:lineRule="exact"/>
        <w:rPr>
          <w:sz w:val="20"/>
          <w:szCs w:val="20"/>
          <w:color w:val="auto"/>
        </w:rPr>
      </w:pPr>
    </w:p>
    <w:p>
      <w:pPr>
        <w:ind w:left="680" w:firstLine="599"/>
        <w:spacing w:after="0" w:line="256" w:lineRule="auto"/>
        <w:rPr>
          <w:sz w:val="20"/>
          <w:szCs w:val="20"/>
          <w:color w:val="auto"/>
        </w:rPr>
      </w:pPr>
      <w:r>
        <w:rPr>
          <w:rFonts w:ascii="Arial" w:cs="Arial" w:eastAsia="Arial" w:hAnsi="Arial"/>
          <w:sz w:val="14"/>
          <w:szCs w:val="14"/>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0"/>
        <w:spacing w:after="0" w:line="280" w:lineRule="auto"/>
        <w:rPr>
          <w:sz w:val="20"/>
          <w:szCs w:val="20"/>
          <w:color w:val="auto"/>
        </w:rPr>
      </w:pPr>
      <w:r>
        <w:rPr>
          <w:rFonts w:ascii="Arial" w:cs="Arial" w:eastAsia="Arial" w:hAnsi="Arial"/>
          <w:sz w:val="14"/>
          <w:szCs w:val="14"/>
          <w:color w:val="auto"/>
        </w:rPr>
        <w:t>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Company’s net investment in international assets totaled $113 million at December 31, 2010 and $62 million at December 31, 2009. Such assets included $107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$55 million, respectively, of loans to foreign borrowers. Deposits in the Company’s branch in the Cayman Islands totaled $1.6 billion at December 31, 2010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 billion at December 31, 2009. The Company uses such deposits to facilitate customer demand and as an alternative to short-term borrowings when the costs of such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deposits seem reasonable. M&amp;T Bank opened a full-service commercial branch in Ontario, Canada during the second quarter of 2010. Loans and deposits at that branch 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of December 31, 2010 were $63 million and $4 million, respectively.</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Liquidity, Market Risk, and Interest Rate Sensitivity</w:t>
      </w:r>
    </w:p>
    <w:p>
      <w:pPr>
        <w:spacing w:after="0" w:line="22" w:lineRule="exact"/>
        <w:rPr>
          <w:sz w:val="20"/>
          <w:szCs w:val="20"/>
          <w:color w:val="auto"/>
        </w:rPr>
      </w:pPr>
    </w:p>
    <w:p>
      <w:pPr>
        <w:jc w:val="both"/>
        <w:ind w:left="680" w:right="80"/>
        <w:spacing w:after="0" w:line="249" w:lineRule="auto"/>
        <w:rPr>
          <w:sz w:val="20"/>
          <w:szCs w:val="20"/>
          <w:color w:val="auto"/>
        </w:rPr>
      </w:pPr>
      <w:r>
        <w:rPr>
          <w:rFonts w:ascii="Arial" w:cs="Arial" w:eastAsia="Arial" w:hAnsi="Arial"/>
          <w:sz w:val="14"/>
          <w:szCs w:val="14"/>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ind w:left="680" w:firstLine="599"/>
        <w:spacing w:after="0" w:line="249" w:lineRule="auto"/>
        <w:rPr>
          <w:sz w:val="20"/>
          <w:szCs w:val="20"/>
          <w:color w:val="auto"/>
        </w:rPr>
      </w:pPr>
      <w:r>
        <w:rPr>
          <w:rFonts w:ascii="Arial" w:cs="Arial" w:eastAsia="Arial" w:hAnsi="Arial"/>
          <w:sz w:val="14"/>
          <w:szCs w:val="14"/>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77% of the Company’s earning assets at December 31, 2010, compared with 72% and 60% at December 31, 2009 and 2008, respectively. The substantial increases in the amount of earning assets financed by core deposits at the 2010 and 2009 year-ends as compared with December 31, 2008 were the result of significantly higher levels of core deposits, largely due to higher noninterest-bearing deposits. Additionally, as of December 31, 2010 the Company changed it definition of core deposits to include time deposits below $250,000, as already noted, to reflect a provision in the Dodd-Frank Act which permanently increased the maximum amount of FDIC insurance for financial institutions to $250,000 per depositor. That maximum had been $100,000 per depositor until 2009, when it was temporarily raised to $250,000 through 2013. The impact of including time deposits with balances of $100,000 to $250,000 added $1.0 billion to the Company’s core deposits total at December 31, 2010.</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The Company supplements funding provided through core deposits with various short-term and long-term wholesale borrowings, including federal funds purchased and securities sold under agreements to repurchase, brokered certificates of deposit, Cayman Islands branch deposits and borrowings from the FHLBs and others. At December 31, 2010, M&amp;T Bank had short-term and long-term credit facilities with the FHLBs aggregating $6.0 billion. Outstanding borrowings under FHLB credit facilities totaled $2.9 billion and $5.4 billion at December 31, 2010 and 2009, respectively. Such borrowings were secured by loans and investment securities. M&amp;T Bank and M&amp;T Bank, N.A. had available lines of credit with the Federal Reserve Bank of New York that totaled approximately $9.9 billion at December 31, 2010. The amounts of those lines are dependent upon the balances of loans and securities pledged as collateral. There were no borrowings outstanding under such lines of credit at December 31, 2010 or December 31, 2009.</w:t>
      </w:r>
    </w:p>
    <w:p>
      <w:pPr>
        <w:jc w:val="both"/>
        <w:ind w:left="680" w:firstLine="599"/>
        <w:spacing w:after="0" w:line="249" w:lineRule="auto"/>
        <w:rPr>
          <w:sz w:val="20"/>
          <w:szCs w:val="20"/>
          <w:color w:val="auto"/>
        </w:rPr>
      </w:pPr>
      <w:r>
        <w:rPr>
          <w:rFonts w:ascii="Arial" w:cs="Arial" w:eastAsia="Arial" w:hAnsi="Arial"/>
          <w:sz w:val="14"/>
          <w:szCs w:val="14"/>
          <w:color w:val="auto"/>
        </w:rPr>
        <w:t>The Company has, from time to time, issued subordinated capital notes and junior subordinated debentures associated with preferred capital securities to provide liquidity and enhance regulatory capital ratios. Such notes qualify for inclusion in the Company’s capital as defined by Federal regulators. Information about the Company’s borrowings is included in note 9 of Notes to Financial Statements.</w:t>
      </w:r>
    </w:p>
    <w:p>
      <w:pPr>
        <w:ind w:left="680" w:right="260" w:firstLine="599"/>
        <w:spacing w:after="0" w:line="263" w:lineRule="auto"/>
        <w:rPr>
          <w:sz w:val="20"/>
          <w:szCs w:val="20"/>
          <w:color w:val="auto"/>
        </w:rPr>
      </w:pPr>
      <w:r>
        <w:rPr>
          <w:rFonts w:ascii="Arial" w:cs="Arial" w:eastAsia="Arial" w:hAnsi="Arial"/>
          <w:sz w:val="14"/>
          <w:szCs w:val="14"/>
          <w:color w:val="auto"/>
        </w:rPr>
        <w:t>The Company has informal and sometimes reciprocal sources of funding available through various arrangements for unsecured short-term borrowings from a wide group of banks and other financial</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900"/>
        <w:spacing w:after="0" w:line="271" w:lineRule="auto"/>
        <w:rPr>
          <w:sz w:val="20"/>
          <w:szCs w:val="20"/>
          <w:color w:val="auto"/>
        </w:rPr>
      </w:pPr>
      <w:r>
        <w:rPr>
          <w:rFonts w:ascii="Arial" w:cs="Arial" w:eastAsia="Arial" w:hAnsi="Arial"/>
          <w:sz w:val="13"/>
          <w:szCs w:val="13"/>
          <w:color w:val="auto"/>
        </w:rPr>
        <w:t>institutions. Short-term federal funds borrowings were $826 million and $2.1 billion at December 31, 2010 and 2009, respectively. In general, those borrowings were unsecured and matured on the next business day. As already noted, Cayman Islands branch deposits and brokered certificates of deposit have been used by the Company as an alternative to short-term borrowings. Cayman Islands branch deposits also generally mature on the next business day and totaled $1.6 billion and $1.1 billion at December 31, 2010 and 2009, respectively. Outstanding brokered time deposits at December 31, 2010 and December 31, 2009 were $485 million and $868 million, respectively. At December 31, 2010, the weighted-average remaining term to maturity of brokered time deposits was 20 months. Certain of these brokered deposits have provisions that allow for early redemption. The Company also had brokered NOW and brokered money-market deposit accounts which aggregated $1.3 billion and</w:t>
      </w:r>
    </w:p>
    <w:p>
      <w:pPr>
        <w:spacing w:after="0" w:line="2" w:lineRule="exact"/>
        <w:rPr>
          <w:sz w:val="20"/>
          <w:szCs w:val="20"/>
          <w:color w:val="auto"/>
        </w:rPr>
      </w:pPr>
    </w:p>
    <w:p>
      <w:pPr>
        <w:ind w:left="680" w:right="860"/>
        <w:spacing w:after="0" w:line="268" w:lineRule="auto"/>
        <w:rPr>
          <w:sz w:val="20"/>
          <w:szCs w:val="20"/>
          <w:color w:val="auto"/>
        </w:rPr>
      </w:pPr>
      <w:r>
        <w:rPr>
          <w:rFonts w:ascii="Arial" w:cs="Arial" w:eastAsia="Arial" w:hAnsi="Arial"/>
          <w:sz w:val="13"/>
          <w:szCs w:val="13"/>
          <w:color w:val="auto"/>
        </w:rPr>
        <w:t>$618 million at December 31, 2010 and 2009, respectively. The higher level of such deposits at the 2010 year-end resulted from higher demand for these deposits due to the unsettled economy and the need for brokerage firms to ensure that customer deposits are fully insured while earning a yield on such deposits.</w:t>
      </w:r>
    </w:p>
    <w:p>
      <w:pPr>
        <w:ind w:left="680" w:right="820" w:firstLine="599"/>
        <w:spacing w:after="0" w:line="251" w:lineRule="auto"/>
        <w:rPr>
          <w:sz w:val="20"/>
          <w:szCs w:val="20"/>
          <w:color w:val="auto"/>
        </w:rPr>
      </w:pPr>
      <w:r>
        <w:rPr>
          <w:rFonts w:ascii="Arial" w:cs="Arial" w:eastAsia="Arial" w:hAnsi="Arial"/>
          <w:sz w:val="14"/>
          <w:szCs w:val="14"/>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15</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DEBT RATINGS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Moody’s</w:t>
            </w: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Standard</w:t>
            </w:r>
          </w:p>
        </w:tc>
        <w:tc>
          <w:tcPr>
            <w:tcW w:w="1280" w:type="dxa"/>
            <w:vAlign w:val="bottom"/>
            <w:gridSpan w:val="2"/>
            <w:vMerge w:val="restart"/>
          </w:tcPr>
          <w:p>
            <w:pPr>
              <w:jc w:val="right"/>
              <w:ind w:right="920"/>
              <w:spacing w:after="0"/>
              <w:rPr>
                <w:sz w:val="20"/>
                <w:szCs w:val="20"/>
                <w:color w:val="auto"/>
              </w:rPr>
            </w:pPr>
            <w:r>
              <w:rPr>
                <w:rFonts w:ascii="Arial" w:cs="Arial" w:eastAsia="Arial" w:hAnsi="Arial"/>
                <w:sz w:val="10"/>
                <w:szCs w:val="10"/>
                <w:b w:val="1"/>
                <w:bCs w:val="1"/>
                <w:color w:val="auto"/>
              </w:rPr>
              <w:t>Fitch</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and Poor’s</w:t>
            </w: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M&amp;T Bank Corporation</w:t>
            </w: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tcPr>
          <w:p>
            <w:pPr>
              <w:ind w:left="140"/>
              <w:spacing w:after="0"/>
              <w:rPr>
                <w:sz w:val="20"/>
                <w:szCs w:val="20"/>
                <w:color w:val="auto"/>
              </w:rPr>
            </w:pPr>
            <w:r>
              <w:rPr>
                <w:rFonts w:ascii="Arial" w:cs="Arial" w:eastAsia="Arial" w:hAnsi="Arial"/>
                <w:sz w:val="13"/>
                <w:szCs w:val="13"/>
                <w:color w:val="auto"/>
              </w:rPr>
              <w:t>Senior debt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A3</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w:t>
            </w:r>
          </w:p>
        </w:tc>
        <w:tc>
          <w:tcPr>
            <w:tcW w:w="480" w:type="dxa"/>
            <w:vAlign w:val="bottom"/>
          </w:tcPr>
          <w:p>
            <w:pPr>
              <w:jc w:val="right"/>
              <w:spacing w:after="0"/>
              <w:rPr>
                <w:sz w:val="20"/>
                <w:szCs w:val="20"/>
                <w:color w:val="auto"/>
              </w:rPr>
            </w:pPr>
            <w:r>
              <w:rPr>
                <w:rFonts w:ascii="Arial" w:cs="Arial" w:eastAsia="Arial" w:hAnsi="Arial"/>
                <w:sz w:val="13"/>
                <w:szCs w:val="13"/>
                <w:color w:val="auto"/>
              </w:rPr>
              <w:t>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Subordinated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Baa1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BBB+</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BBB+</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M&amp;T Bank</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Short-term deposits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Prime-1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A-1</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tcPr>
          <w:p>
            <w:pPr>
              <w:ind w:left="140"/>
              <w:spacing w:after="0"/>
              <w:rPr>
                <w:sz w:val="20"/>
                <w:szCs w:val="20"/>
                <w:color w:val="auto"/>
              </w:rPr>
            </w:pPr>
            <w:r>
              <w:rPr>
                <w:rFonts w:ascii="Arial" w:cs="Arial" w:eastAsia="Arial" w:hAnsi="Arial"/>
                <w:sz w:val="13"/>
                <w:szCs w:val="13"/>
                <w:color w:val="auto"/>
              </w:rPr>
              <w:t>Long-term deposits</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A2</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w:t>
            </w:r>
          </w:p>
        </w:tc>
        <w:tc>
          <w:tcPr>
            <w:tcW w:w="480" w:type="dxa"/>
            <w:vAlign w:val="bottom"/>
          </w:tcPr>
          <w:p>
            <w:pPr>
              <w:jc w:val="right"/>
              <w:spacing w:after="0"/>
              <w:rPr>
                <w:sz w:val="20"/>
                <w:szCs w:val="20"/>
                <w:color w:val="auto"/>
              </w:rPr>
            </w:pPr>
            <w:r>
              <w:rPr>
                <w:rFonts w:ascii="Arial" w:cs="Arial" w:eastAsia="Arial" w:hAnsi="Arial"/>
                <w:sz w:val="13"/>
                <w:szCs w:val="13"/>
                <w:color w:val="auto"/>
              </w:rPr>
              <w:t>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A2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500" w:type="dxa"/>
            <w:vAlign w:val="bottom"/>
          </w:tcPr>
          <w:p>
            <w:pPr>
              <w:ind w:left="140"/>
              <w:spacing w:after="0"/>
              <w:rPr>
                <w:sz w:val="20"/>
                <w:szCs w:val="20"/>
                <w:color w:val="auto"/>
              </w:rPr>
            </w:pPr>
            <w:r>
              <w:rPr>
                <w:rFonts w:ascii="Arial" w:cs="Arial" w:eastAsia="Arial" w:hAnsi="Arial"/>
                <w:sz w:val="13"/>
                <w:szCs w:val="13"/>
                <w:color w:val="auto"/>
              </w:rPr>
              <w:t>Subordinated debt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A3</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A–</w:t>
            </w:r>
          </w:p>
        </w:tc>
        <w:tc>
          <w:tcPr>
            <w:tcW w:w="480" w:type="dxa"/>
            <w:vAlign w:val="bottom"/>
          </w:tcPr>
          <w:p>
            <w:pPr>
              <w:jc w:val="right"/>
              <w:spacing w:after="0"/>
              <w:rPr>
                <w:sz w:val="20"/>
                <w:szCs w:val="20"/>
                <w:color w:val="auto"/>
              </w:rPr>
            </w:pPr>
            <w:r>
              <w:rPr>
                <w:rFonts w:ascii="Arial" w:cs="Arial" w:eastAsia="Arial" w:hAnsi="Arial"/>
                <w:sz w:val="13"/>
                <w:szCs w:val="13"/>
                <w:color w:val="auto"/>
              </w:rPr>
              <w:t>BBB+</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6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5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firstLine="599"/>
        <w:spacing w:after="0" w:line="273" w:lineRule="auto"/>
        <w:rPr>
          <w:sz w:val="20"/>
          <w:szCs w:val="20"/>
          <w:color w:val="auto"/>
        </w:rPr>
      </w:pPr>
      <w:r>
        <w:rPr>
          <w:rFonts w:ascii="Arial" w:cs="Arial" w:eastAsia="Arial" w:hAnsi="Arial"/>
          <w:sz w:val="13"/>
          <w:szCs w:val="13"/>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$107 million and</w:t>
      </w:r>
    </w:p>
    <w:p>
      <w:pPr>
        <w:ind w:left="680" w:right="600"/>
        <w:spacing w:after="0" w:line="263" w:lineRule="auto"/>
        <w:rPr>
          <w:sz w:val="20"/>
          <w:szCs w:val="20"/>
          <w:color w:val="auto"/>
        </w:rPr>
      </w:pPr>
      <w:r>
        <w:rPr>
          <w:rFonts w:ascii="Arial" w:cs="Arial" w:eastAsia="Arial" w:hAnsi="Arial"/>
          <w:sz w:val="14"/>
          <w:szCs w:val="14"/>
          <w:color w:val="auto"/>
        </w:rPr>
        <w:t>$19 million at December 31, 2010 and 2009, respectively. At December 31, 2010 and 2009, the VRDBs outstanding backed by M&amp;T Bank letters of credit totaled $2.0 billion and $1.9 billion, respectively. M&amp;T Bank also serves as remarketing agent for most of those bonds.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16</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MATURITY DISTRIBUTION OF SELECTED LOANS(a)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2010</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Demand</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2011</w:t>
            </w: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6"/>
              </w:rPr>
              <w:t>2012-2015</w:t>
            </w:r>
          </w:p>
        </w:tc>
        <w:tc>
          <w:tcPr>
            <w:tcW w:w="400" w:type="dxa"/>
            <w:vAlign w:val="bottom"/>
          </w:tcPr>
          <w:p>
            <w:pPr>
              <w:spacing w:after="0"/>
              <w:rPr>
                <w:sz w:val="10"/>
                <w:szCs w:val="10"/>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After 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financial, etc.</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5,287,647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1,861,639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4,206,958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473,742</w:t>
            </w: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Real estate — construction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500,909</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1,850,873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1,294,347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207,462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5,788,556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3,712,512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5,501,305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681,204</w:t>
            </w:r>
          </w:p>
        </w:tc>
        <w:tc>
          <w:tcPr>
            <w:tcW w:w="0" w:type="dxa"/>
            <w:vAlign w:val="bottom"/>
          </w:tcPr>
          <w:p>
            <w:pPr>
              <w:spacing w:after="0"/>
              <w:rPr>
                <w:sz w:val="1"/>
                <w:szCs w:val="1"/>
                <w:color w:val="auto"/>
              </w:rPr>
            </w:pPr>
          </w:p>
        </w:tc>
      </w:tr>
      <w:tr>
        <w:trPr>
          <w:trHeight w:val="29"/>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Floating or adjustable interest rates</w:t>
            </w: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3,532,758</w:t>
            </w:r>
          </w:p>
        </w:tc>
        <w:tc>
          <w:tcPr>
            <w:tcW w:w="40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297,805</w:t>
            </w:r>
          </w:p>
        </w:tc>
        <w:tc>
          <w:tcPr>
            <w:tcW w:w="0" w:type="dxa"/>
            <w:vAlign w:val="bottom"/>
          </w:tcPr>
          <w:p>
            <w:pPr>
              <w:spacing w:after="0"/>
              <w:rPr>
                <w:sz w:val="1"/>
                <w:szCs w:val="1"/>
                <w:color w:val="auto"/>
              </w:rPr>
            </w:pPr>
          </w:p>
        </w:tc>
      </w:tr>
      <w:tr>
        <w:trPr>
          <w:trHeight w:val="158"/>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or predetermined interest rates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1,968,547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383,399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5,501,305</w:t>
            </w:r>
          </w:p>
        </w:tc>
        <w:tc>
          <w:tcPr>
            <w:tcW w:w="400" w:type="dxa"/>
            <w:vAlign w:val="bottom"/>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681,204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The data do not include nonaccrual loans.</w:t>
      </w:r>
    </w:p>
    <w:p>
      <w:pPr>
        <w:spacing w:after="0" w:line="92"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The Company enters into contractual obligations in the normal course of business which require future cash payments. The contractual amounts and timing of those payments as of December 31, 2010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17 summarizes the Company’s other commitments as of December 31, 2010 and the timing of the expiration of such commitments.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17</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70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2010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Less Than One</w:t>
            </w:r>
          </w:p>
        </w:tc>
        <w:tc>
          <w:tcPr>
            <w:tcW w:w="80" w:type="dxa"/>
            <w:vAlign w:val="bottom"/>
          </w:tcPr>
          <w:p>
            <w:pPr>
              <w:spacing w:after="0"/>
              <w:rPr>
                <w:sz w:val="10"/>
                <w:szCs w:val="1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7"/>
              </w:rPr>
              <w:t>One to Three</w:t>
            </w:r>
          </w:p>
        </w:tc>
        <w:tc>
          <w:tcPr>
            <w:tcW w:w="8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Three to Five</w:t>
            </w:r>
          </w:p>
        </w:tc>
        <w:tc>
          <w:tcPr>
            <w:tcW w:w="120" w:type="dxa"/>
            <w:vAlign w:val="bottom"/>
          </w:tcPr>
          <w:p>
            <w:pPr>
              <w:spacing w:after="0"/>
              <w:rPr>
                <w:sz w:val="10"/>
                <w:szCs w:val="1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Over Five</w:t>
            </w:r>
          </w:p>
        </w:tc>
        <w:tc>
          <w:tcPr>
            <w:tcW w:w="180" w:type="dxa"/>
            <w:vAlign w:val="bottom"/>
          </w:tcPr>
          <w:p>
            <w:pPr>
              <w:spacing w:after="0"/>
              <w:rPr>
                <w:sz w:val="10"/>
                <w:szCs w:val="10"/>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Year</w:t>
            </w:r>
          </w:p>
        </w:tc>
        <w:tc>
          <w:tcPr>
            <w:tcW w:w="80" w:type="dxa"/>
            <w:vAlign w:val="bottom"/>
          </w:tcPr>
          <w:p>
            <w:pPr>
              <w:spacing w:after="0"/>
              <w:rPr>
                <w:sz w:val="10"/>
                <w:szCs w:val="10"/>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Years</w:t>
            </w:r>
          </w:p>
        </w:tc>
        <w:tc>
          <w:tcPr>
            <w:tcW w:w="8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Years</w:t>
            </w:r>
          </w:p>
        </w:tc>
        <w:tc>
          <w:tcPr>
            <w:tcW w:w="120" w:type="dxa"/>
            <w:vAlign w:val="bottom"/>
          </w:tcPr>
          <w:p>
            <w:pPr>
              <w:spacing w:after="0"/>
              <w:rPr>
                <w:sz w:val="10"/>
                <w:szCs w:val="10"/>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7"/>
              </w:rPr>
              <w:t>Years</w:t>
            </w: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Payments due for contractual obligations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4,663,091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1,006,644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136,879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10,556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5,817,170</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Deposits at Cayman Islands office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1,605,916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1,605,916</w:t>
            </w: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w w:val="92"/>
              </w:rPr>
              <w:t>Federal funds purchased and agreements to repurchase securities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866,555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866,555</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short-term borrowings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80,877</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80,877</w:t>
            </w: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rPr>
              <w:t>Long-term borrowings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1,886,860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1,953,486</w:t>
            </w:r>
          </w:p>
        </w:tc>
        <w:tc>
          <w:tcPr>
            <w:tcW w:w="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7,570</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3,992,235</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7,840,151</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78,325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135,745</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93,234</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137,592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444,896</w:t>
            </w: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68,014</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38,001</w:t>
            </w:r>
          </w:p>
        </w:tc>
        <w:tc>
          <w:tcPr>
            <w:tcW w:w="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13,646</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13,264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132,925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9,249,638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3,133,876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251,329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4,153,647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16,788,490</w:t>
            </w:r>
          </w:p>
        </w:tc>
        <w:tc>
          <w:tcPr>
            <w:tcW w:w="0" w:type="dxa"/>
            <w:vAlign w:val="bottom"/>
          </w:tcPr>
          <w:p>
            <w:pPr>
              <w:spacing w:after="0"/>
              <w:rPr>
                <w:sz w:val="1"/>
                <w:szCs w:val="1"/>
                <w:color w:val="auto"/>
              </w:rPr>
            </w:pPr>
          </w:p>
        </w:tc>
      </w:tr>
      <w:tr>
        <w:trPr>
          <w:trHeight w:val="166"/>
        </w:trPr>
        <w:tc>
          <w:tcPr>
            <w:tcW w:w="3700" w:type="dxa"/>
            <w:vAlign w:val="bottom"/>
          </w:tcPr>
          <w:p>
            <w:pPr>
              <w:spacing w:after="0"/>
              <w:rPr>
                <w:sz w:val="20"/>
                <w:szCs w:val="20"/>
                <w:color w:val="auto"/>
              </w:rPr>
            </w:pPr>
            <w:r>
              <w:rPr>
                <w:rFonts w:ascii="Arial" w:cs="Arial" w:eastAsia="Arial" w:hAnsi="Arial"/>
                <w:sz w:val="13"/>
                <w:szCs w:val="13"/>
                <w:color w:val="auto"/>
              </w:rPr>
              <w:t>Other commitments</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 to extend credit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6,544,241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4,075,968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2,686,143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3,364,843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16,671,195</w:t>
            </w: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rPr>
              <w:t>Standby letters of credit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1,849,732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1,432,641</w:t>
            </w:r>
          </w:p>
        </w:tc>
        <w:tc>
          <w:tcPr>
            <w:tcW w:w="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479,858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155,087</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3,917,318</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letters of credit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73,361</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3,601</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76,962</w:t>
            </w:r>
          </w:p>
        </w:tc>
        <w:tc>
          <w:tcPr>
            <w:tcW w:w="0" w:type="dxa"/>
            <w:vAlign w:val="bottom"/>
          </w:tcPr>
          <w:p>
            <w:pPr>
              <w:spacing w:after="0"/>
              <w:rPr>
                <w:sz w:val="1"/>
                <w:szCs w:val="1"/>
                <w:color w:val="auto"/>
              </w:rPr>
            </w:pPr>
          </w:p>
        </w:tc>
      </w:tr>
      <w:tr>
        <w:trPr>
          <w:trHeight w:val="157"/>
        </w:trPr>
        <w:tc>
          <w:tcPr>
            <w:tcW w:w="3700" w:type="dxa"/>
            <w:vAlign w:val="bottom"/>
          </w:tcPr>
          <w:p>
            <w:pPr>
              <w:ind w:left="140"/>
              <w:spacing w:after="0"/>
              <w:rPr>
                <w:sz w:val="20"/>
                <w:szCs w:val="20"/>
                <w:color w:val="auto"/>
              </w:rPr>
            </w:pPr>
            <w:r>
              <w:rPr>
                <w:rFonts w:ascii="Arial" w:cs="Arial" w:eastAsia="Arial" w:hAnsi="Arial"/>
                <w:sz w:val="13"/>
                <w:szCs w:val="13"/>
                <w:color w:val="auto"/>
              </w:rPr>
              <w:t>Financial guarantees and indemnification contracts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39,036</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312,288</w:t>
            </w:r>
          </w:p>
        </w:tc>
        <w:tc>
          <w:tcPr>
            <w:tcW w:w="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282,027</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976,593</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1,609,944</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 to sell real estate loans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729,327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5,369</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734,696</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9,235,697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5,829,867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3,448,028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4,496,523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23,010,115</w:t>
            </w: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 w:firstLine="599"/>
        <w:spacing w:after="0" w:line="254" w:lineRule="auto"/>
        <w:rPr>
          <w:sz w:val="20"/>
          <w:szCs w:val="20"/>
          <w:color w:val="auto"/>
        </w:rPr>
      </w:pPr>
      <w:r>
        <w:rPr>
          <w:rFonts w:ascii="Arial" w:cs="Arial" w:eastAsia="Arial" w:hAnsi="Arial"/>
          <w:sz w:val="14"/>
          <w:szCs w:val="14"/>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$1.4 billion at December 31, 2010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are included in note 9 of Notes to Financial Statements. M&amp;T also maintains a $30 million line of credit with an unaffiliated commercial bank, of which there were no borrowings outstanding at December 31, 2010. A similar $30 million line of credit was entirely available for borrowing at December 31, 2009.</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18</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auto"/>
        </w:rPr>
        <w:t>MATURITY AND TAXABLE-EQUIVALENT YIELD OF INVESTMENT SECURITIES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December 31, 2010</w:t>
            </w:r>
          </w:p>
        </w:tc>
        <w:tc>
          <w:tcPr>
            <w:tcW w:w="100" w:type="dxa"/>
            <w:vAlign w:val="bottom"/>
          </w:tcPr>
          <w:p>
            <w:pPr>
              <w:spacing w:after="0"/>
              <w:rPr>
                <w:sz w:val="10"/>
                <w:szCs w:val="10"/>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One Year</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5"/>
              </w:rPr>
              <w:t>One to Five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w w:val="94"/>
              </w:rPr>
              <w:t>Five to Ten</w:t>
            </w:r>
          </w:p>
        </w:tc>
        <w:tc>
          <w:tcPr>
            <w:tcW w:w="60" w:type="dxa"/>
            <w:vAlign w:val="bottom"/>
          </w:tcPr>
          <w:p>
            <w:pPr>
              <w:spacing w:after="0"/>
              <w:rPr>
                <w:sz w:val="10"/>
                <w:szCs w:val="1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Over Ten</w:t>
            </w:r>
          </w:p>
        </w:tc>
        <w:tc>
          <w:tcPr>
            <w:tcW w:w="100" w:type="dxa"/>
            <w:vAlign w:val="bottom"/>
          </w:tcPr>
          <w:p>
            <w:pPr>
              <w:spacing w:after="0"/>
              <w:rPr>
                <w:sz w:val="10"/>
                <w:szCs w:val="10"/>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00" w:type="dxa"/>
            <w:vAlign w:val="bottom"/>
            <w:tcBorders>
              <w:bottom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89"/>
              </w:rPr>
              <w:t>or Less</w:t>
            </w: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Years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Years</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Years</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Arial" w:cs="Arial" w:eastAsia="Arial" w:hAnsi="Arial"/>
                <w:sz w:val="10"/>
                <w:szCs w:val="10"/>
                <w:b w:val="1"/>
                <w:bCs w:val="1"/>
                <w:color w:val="auto"/>
                <w:w w:val="83"/>
              </w:rPr>
              <w:t>(Dollars in 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50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Investment securities available for sale(a)</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35,222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24,606</w:t>
            </w:r>
          </w:p>
        </w:tc>
        <w:tc>
          <w:tcPr>
            <w:tcW w:w="2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2,108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1,498</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63,434</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1.51%</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3.27%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4.02%</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4.57%</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2.35%</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2,153</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21,528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8,617</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28,127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60,425</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6.49%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2.74%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6.64%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4.55%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4.27%</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Mortgage-backed securities(b)</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195,673</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738,905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826,369</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1,545,294</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3,306,241</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4.29%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4.39%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4.42%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4.16%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4.28%</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Privately issued residential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33,834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136,246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193,432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1,072,049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1,435,561</w:t>
            </w:r>
          </w:p>
        </w:tc>
        <w:tc>
          <w:tcPr>
            <w:tcW w:w="0" w:type="dxa"/>
            <w:vAlign w:val="bottom"/>
          </w:tcPr>
          <w:p>
            <w:pPr>
              <w:spacing w:after="0"/>
              <w:rPr>
                <w:sz w:val="1"/>
                <w:szCs w:val="1"/>
                <w:color w:val="auto"/>
              </w:rPr>
            </w:pPr>
          </w:p>
        </w:tc>
      </w:tr>
      <w:tr>
        <w:trPr>
          <w:trHeight w:val="108"/>
        </w:trPr>
        <w:tc>
          <w:tcPr>
            <w:tcW w:w="55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3.74%</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3.87%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3.96%</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3.95%</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3.94%</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 commercial</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22,407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22,407</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1.30%</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Other debt securities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2,992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11,092</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13,933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381,639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409,656</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2.58%</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6.03%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8.16%</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5.17%</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5.28%</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115,768</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0.61%</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Total investment securities available for sale</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269,874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932,377</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1,044,459</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3,051,014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5,413,492</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3.86%</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4.26%</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4.40%</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4.19%</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4.15%</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i w:val="1"/>
                <w:iCs w:val="1"/>
                <w:color w:val="auto"/>
              </w:rPr>
              <w:t>Investment securities held to maturity</w:t>
            </w: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28,161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10,628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138,361</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13,969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191,119</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4.69%</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5.50%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5.45%</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9.74%</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5.65%</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Mortgage-backed securities(b)</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44,469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198,946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303,757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260,936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808,108</w:t>
            </w:r>
          </w:p>
        </w:tc>
        <w:tc>
          <w:tcPr>
            <w:tcW w:w="0" w:type="dxa"/>
            <w:vAlign w:val="bottom"/>
          </w:tcPr>
          <w:p>
            <w:pPr>
              <w:spacing w:after="0"/>
              <w:rPr>
                <w:sz w:val="1"/>
                <w:szCs w:val="1"/>
                <w:color w:val="auto"/>
              </w:rPr>
            </w:pPr>
          </w:p>
        </w:tc>
      </w:tr>
      <w:tr>
        <w:trPr>
          <w:trHeight w:val="108"/>
        </w:trPr>
        <w:tc>
          <w:tcPr>
            <w:tcW w:w="55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3.15%</w:t>
            </w:r>
          </w:p>
        </w:tc>
        <w:tc>
          <w:tcPr>
            <w:tcW w:w="6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3.15%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3.15%</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3.15%</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3.15%</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22,050</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81,597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99,905</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108,985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312,537</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2.98%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2.89%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2.67%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3.06%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color w:val="auto"/>
              </w:rPr>
              <w:t>Other debt securities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12,575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12,575</w:t>
            </w: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5.42%</w:t>
            </w:r>
          </w:p>
        </w:tc>
        <w:tc>
          <w:tcPr>
            <w:tcW w:w="100" w:type="dxa"/>
            <w:vAlign w:val="bottom"/>
          </w:tcPr>
          <w:p>
            <w:pPr>
              <w:spacing w:after="0"/>
              <w:rPr>
                <w:sz w:val="9"/>
                <w:szCs w:val="9"/>
                <w:color w:val="auto"/>
              </w:rPr>
            </w:pPr>
          </w:p>
        </w:tc>
        <w:tc>
          <w:tcPr>
            <w:tcW w:w="5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5.42%</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investment securities held to maturity</w:t>
            </w: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94,680</w:t>
            </w:r>
          </w:p>
        </w:tc>
        <w:tc>
          <w:tcPr>
            <w:tcW w:w="60" w:type="dxa"/>
            <w:vAlign w:val="bottom"/>
          </w:tcPr>
          <w:p>
            <w:pPr>
              <w:spacing w:after="0"/>
              <w:rPr>
                <w:sz w:val="9"/>
                <w:szCs w:val="9"/>
                <w:color w:val="auto"/>
              </w:rPr>
            </w:pP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291,171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542,023</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396,465</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1,324,339</w:t>
            </w: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3.57%</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3.16%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3.65%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3.43%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08"/>
        </w:trPr>
        <w:tc>
          <w:tcPr>
            <w:tcW w:w="5500" w:type="dxa"/>
            <w:vAlign w:val="bottom"/>
            <w:gridSpan w:val="2"/>
          </w:tcPr>
          <w:p>
            <w:pPr>
              <w:spacing w:after="0" w:line="108" w:lineRule="exact"/>
              <w:rPr>
                <w:sz w:val="20"/>
                <w:szCs w:val="20"/>
                <w:color w:val="auto"/>
              </w:rPr>
            </w:pPr>
            <w:r>
              <w:rPr>
                <w:rFonts w:ascii="Arial" w:cs="Arial" w:eastAsia="Arial" w:hAnsi="Arial"/>
                <w:sz w:val="10"/>
                <w:szCs w:val="10"/>
                <w:i w:val="1"/>
                <w:iCs w:val="1"/>
                <w:color w:val="auto"/>
              </w:rPr>
              <w:t>Other investment securities</w:t>
            </w: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412,709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Total investment securities</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Carrying value</w:t>
            </w:r>
          </w:p>
        </w:tc>
        <w:tc>
          <w:tcPr>
            <w:tcW w:w="1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364,554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1,223,548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1,586,482</w:t>
            </w:r>
          </w:p>
        </w:tc>
        <w:tc>
          <w:tcPr>
            <w:tcW w:w="6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3,447,479</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7,150,540</w:t>
            </w:r>
          </w:p>
        </w:tc>
        <w:tc>
          <w:tcPr>
            <w:tcW w:w="0" w:type="dxa"/>
            <w:vAlign w:val="bottom"/>
          </w:tcPr>
          <w:p>
            <w:pPr>
              <w:spacing w:after="0"/>
              <w:rPr>
                <w:sz w:val="1"/>
                <w:szCs w:val="1"/>
                <w:color w:val="auto"/>
              </w:rPr>
            </w:pPr>
          </w:p>
        </w:tc>
      </w:tr>
      <w:tr>
        <w:trPr>
          <w:trHeight w:val="118"/>
        </w:trPr>
        <w:tc>
          <w:tcPr>
            <w:tcW w:w="55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Yield</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3.78%</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4.00%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4.14%</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4.09%</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Investment securities available for sale are presented at estimated fair value. Yields on such securities are based on amortized cost.</w:t>
      </w:r>
    </w:p>
    <w:p>
      <w:pPr>
        <w:spacing w:after="0" w:line="47" w:lineRule="exact"/>
        <w:rPr>
          <w:rFonts w:ascii="Arial" w:cs="Arial" w:eastAsia="Arial" w:hAnsi="Arial"/>
          <w:sz w:val="13"/>
          <w:szCs w:val="13"/>
          <w:i w:val="1"/>
          <w:iCs w:val="1"/>
          <w:color w:val="auto"/>
        </w:rPr>
      </w:pPr>
    </w:p>
    <w:p>
      <w:pPr>
        <w:ind w:left="1000" w:right="300" w:hanging="313"/>
        <w:spacing w:after="0" w:line="276" w:lineRule="auto"/>
        <w:tabs>
          <w:tab w:leader="none" w:pos="10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140" w:firstLine="599"/>
        <w:spacing w:after="0" w:line="274" w:lineRule="auto"/>
        <w:rPr>
          <w:sz w:val="20"/>
          <w:szCs w:val="20"/>
          <w:color w:val="auto"/>
        </w:rPr>
      </w:pPr>
      <w:r>
        <w:rPr>
          <w:rFonts w:ascii="Arial" w:cs="Arial" w:eastAsia="Arial" w:hAnsi="Arial"/>
          <w:sz w:val="13"/>
          <w:szCs w:val="13"/>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left="680" w:firstLine="599"/>
        <w:spacing w:after="0" w:line="295" w:lineRule="auto"/>
        <w:rPr>
          <w:sz w:val="20"/>
          <w:szCs w:val="20"/>
          <w:color w:val="auto"/>
        </w:rPr>
      </w:pPr>
      <w:r>
        <w:rPr>
          <w:rFonts w:ascii="Arial" w:cs="Arial" w:eastAsia="Arial" w:hAnsi="Arial"/>
          <w:sz w:val="12"/>
          <w:szCs w:val="12"/>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2010, the aggregate notional amount of interest rate swap agreements entered into for interest rate risk management purposes was $900 million.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19</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1580" w:type="dxa"/>
            <w:vAlign w:val="bottom"/>
          </w:tcPr>
          <w:p>
            <w:pPr>
              <w:spacing w:after="0"/>
              <w:rPr>
                <w:sz w:val="14"/>
                <w:szCs w:val="14"/>
                <w:color w:val="auto"/>
              </w:rPr>
            </w:pPr>
          </w:p>
        </w:tc>
        <w:tc>
          <w:tcPr>
            <w:tcW w:w="71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MATURITY OF DOMESTIC CERTIFICATES OF DEPOSIT AND TIME DEPOSITS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1580" w:type="dxa"/>
            <w:vAlign w:val="bottom"/>
          </w:tcPr>
          <w:p>
            <w:pPr>
              <w:spacing w:after="0"/>
              <w:rPr>
                <w:sz w:val="16"/>
                <w:szCs w:val="16"/>
                <w:color w:val="auto"/>
              </w:rPr>
            </w:pPr>
          </w:p>
        </w:tc>
        <w:tc>
          <w:tcPr>
            <w:tcW w:w="7160" w:type="dxa"/>
            <w:vAlign w:val="bottom"/>
            <w:gridSpan w:val="2"/>
          </w:tcPr>
          <w:p>
            <w:pPr>
              <w:jc w:val="right"/>
              <w:ind w:right="2360"/>
              <w:spacing w:after="0"/>
              <w:rPr>
                <w:sz w:val="20"/>
                <w:szCs w:val="20"/>
                <w:color w:val="auto"/>
              </w:rPr>
            </w:pPr>
            <w:r>
              <w:rPr>
                <w:rFonts w:ascii="Arial" w:cs="Arial" w:eastAsia="Arial" w:hAnsi="Arial"/>
                <w:sz w:val="14"/>
                <w:szCs w:val="14"/>
                <w:b w:val="1"/>
                <w:bCs w:val="1"/>
                <w:color w:val="auto"/>
              </w:rPr>
              <w:t>WITH BALANCES OF $100,000 OR MORE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5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2010</w:t>
            </w:r>
          </w:p>
        </w:tc>
      </w:tr>
      <w:tr>
        <w:trPr>
          <w:trHeight w:val="131"/>
        </w:trPr>
        <w:tc>
          <w:tcPr>
            <w:tcW w:w="158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r>
      <w:tr>
        <w:trPr>
          <w:trHeight w:val="163"/>
        </w:trPr>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Under 3 months</w:t>
            </w:r>
          </w:p>
        </w:tc>
        <w:tc>
          <w:tcPr>
            <w:tcW w:w="7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462,285</w:t>
            </w: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3 to 6 months</w:t>
            </w:r>
          </w:p>
        </w:tc>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318,372</w:t>
            </w:r>
          </w:p>
        </w:tc>
      </w:tr>
      <w:tr>
        <w:trPr>
          <w:trHeight w:val="157"/>
        </w:trPr>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6 to 12 months</w:t>
            </w:r>
          </w:p>
        </w:tc>
        <w:tc>
          <w:tcPr>
            <w:tcW w:w="7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513,970</w:t>
            </w:r>
          </w:p>
        </w:tc>
      </w:tr>
      <w:tr>
        <w:trPr>
          <w:trHeight w:val="157"/>
        </w:trPr>
        <w:tc>
          <w:tcPr>
            <w:tcW w:w="1580" w:type="dxa"/>
            <w:vAlign w:val="bottom"/>
          </w:tcPr>
          <w:p>
            <w:pPr>
              <w:spacing w:after="0"/>
              <w:rPr>
                <w:sz w:val="20"/>
                <w:szCs w:val="20"/>
                <w:color w:val="auto"/>
              </w:rPr>
            </w:pPr>
            <w:r>
              <w:rPr>
                <w:rFonts w:ascii="Arial" w:cs="Arial" w:eastAsia="Arial" w:hAnsi="Arial"/>
                <w:sz w:val="13"/>
                <w:szCs w:val="13"/>
                <w:color w:val="auto"/>
              </w:rPr>
              <w:t>Over 12 months</w:t>
            </w:r>
          </w:p>
        </w:tc>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227,771</w:t>
            </w:r>
          </w:p>
        </w:tc>
      </w:tr>
      <w:tr>
        <w:trPr>
          <w:trHeight w:val="20"/>
        </w:trPr>
        <w:tc>
          <w:tcPr>
            <w:tcW w:w="15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7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1,522,398</w:t>
            </w:r>
          </w:p>
        </w:tc>
      </w:tr>
      <w:tr>
        <w:trPr>
          <w:trHeight w:val="29"/>
        </w:trPr>
        <w:tc>
          <w:tcPr>
            <w:tcW w:w="15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ind w:left="680" w:firstLine="599"/>
        <w:spacing w:after="0" w:line="274" w:lineRule="auto"/>
        <w:rPr>
          <w:sz w:val="20"/>
          <w:szCs w:val="20"/>
          <w:color w:val="auto"/>
        </w:rPr>
      </w:pPr>
      <w:r>
        <w:rPr>
          <w:rFonts w:ascii="Arial" w:cs="Arial" w:eastAsia="Arial" w:hAnsi="Arial"/>
          <w:sz w:val="13"/>
          <w:szCs w:val="13"/>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20"/>
        <w:spacing w:after="0" w:line="258" w:lineRule="auto"/>
        <w:rPr>
          <w:sz w:val="20"/>
          <w:szCs w:val="20"/>
          <w:color w:val="auto"/>
        </w:rPr>
      </w:pPr>
      <w:r>
        <w:rPr>
          <w:rFonts w:ascii="Arial" w:cs="Arial" w:eastAsia="Arial" w:hAnsi="Arial"/>
          <w:sz w:val="14"/>
          <w:szCs w:val="14"/>
          <w:color w:val="auto"/>
        </w:rPr>
        <w:t>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ind w:left="680" w:right="340" w:firstLine="599"/>
        <w:spacing w:after="0" w:line="263" w:lineRule="auto"/>
        <w:rPr>
          <w:sz w:val="20"/>
          <w:szCs w:val="20"/>
          <w:color w:val="auto"/>
        </w:rPr>
      </w:pPr>
      <w:r>
        <w:rPr>
          <w:rFonts w:ascii="Arial" w:cs="Arial" w:eastAsia="Arial" w:hAnsi="Arial"/>
          <w:sz w:val="14"/>
          <w:szCs w:val="14"/>
          <w:color w:val="auto"/>
        </w:rPr>
        <w:t>Table 20 displays as of December 31, 2010 and 2009 the estimated impact on net interest income from non-trading financial instruments in the base scenario described above resulting from parallel changes in interest rates across repricing categories during the first modeling year.</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20</w:t>
      </w:r>
    </w:p>
    <w:p>
      <w:pPr>
        <w:spacing w:after="0" w:line="25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SENSITIVITY OF NET INTEREST INCOME TO CHANGES IN INTEREST RATES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Calculated Increase</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5"/>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(Decrease) in Projected</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5"/>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Net Interest Income</w:t>
            </w:r>
          </w:p>
        </w:tc>
        <w:tc>
          <w:tcPr>
            <w:tcW w:w="0" w:type="dxa"/>
            <w:vAlign w:val="bottom"/>
          </w:tcPr>
          <w:p>
            <w:pPr>
              <w:spacing w:after="0"/>
              <w:rPr>
                <w:sz w:val="1"/>
                <w:szCs w:val="1"/>
                <w:color w:val="auto"/>
              </w:rPr>
            </w:pPr>
          </w:p>
        </w:tc>
      </w:tr>
      <w:tr>
        <w:trPr>
          <w:trHeight w:val="125"/>
        </w:trPr>
        <w:tc>
          <w:tcPr>
            <w:tcW w:w="8100" w:type="dxa"/>
            <w:vAlign w:val="bottom"/>
            <w:vMerge w:val="restart"/>
          </w:tcPr>
          <w:p>
            <w:pPr>
              <w:spacing w:after="0"/>
              <w:rPr>
                <w:sz w:val="20"/>
                <w:szCs w:val="20"/>
                <w:color w:val="auto"/>
              </w:rPr>
            </w:pPr>
            <w:r>
              <w:rPr>
                <w:rFonts w:ascii="Arial" w:cs="Arial" w:eastAsia="Arial" w:hAnsi="Arial"/>
                <w:sz w:val="10"/>
                <w:szCs w:val="10"/>
                <w:b w:val="1"/>
                <w:bCs w:val="1"/>
                <w:color w:val="auto"/>
              </w:rPr>
              <w:t>Changes in Interest Rates</w:t>
            </w:r>
          </w:p>
        </w:tc>
        <w:tc>
          <w:tcPr>
            <w:tcW w:w="200" w:type="dxa"/>
            <w:vAlign w:val="bottom"/>
            <w:vMerge w:val="restart"/>
          </w:tcPr>
          <w:p>
            <w:pPr>
              <w:spacing w:after="0"/>
              <w:rPr>
                <w:sz w:val="10"/>
                <w:szCs w:val="10"/>
                <w:color w:val="auto"/>
              </w:rPr>
            </w:pPr>
          </w:p>
        </w:tc>
        <w:tc>
          <w:tcPr>
            <w:tcW w:w="116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0"/>
                <w:szCs w:val="10"/>
                <w:b w:val="1"/>
                <w:bCs w:val="1"/>
                <w:color w:val="auto"/>
                <w:w w:val="93"/>
              </w:rPr>
              <w:t>December 31</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0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+ 200 basis points</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   67,255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33,974</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+ 100 basis points</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35,594</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19,989</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−100 basis points</w:t>
            </w: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(40,760)</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(37,775)</w:t>
            </w:r>
          </w:p>
        </w:tc>
        <w:tc>
          <w:tcPr>
            <w:tcW w:w="0" w:type="dxa"/>
            <w:vAlign w:val="bottom"/>
          </w:tcPr>
          <w:p>
            <w:pPr>
              <w:spacing w:after="0"/>
              <w:rPr>
                <w:sz w:val="1"/>
                <w:szCs w:val="1"/>
                <w:color w:val="auto"/>
              </w:rPr>
            </w:pPr>
          </w:p>
        </w:tc>
      </w:tr>
      <w:tr>
        <w:trPr>
          <w:trHeight w:val="165"/>
        </w:trPr>
        <w:tc>
          <w:tcPr>
            <w:tcW w:w="8300" w:type="dxa"/>
            <w:vAlign w:val="bottom"/>
            <w:gridSpan w:val="2"/>
          </w:tcPr>
          <w:p>
            <w:pPr>
              <w:spacing w:after="0"/>
              <w:rPr>
                <w:sz w:val="20"/>
                <w:szCs w:val="20"/>
                <w:color w:val="auto"/>
              </w:rPr>
            </w:pPr>
            <w:r>
              <w:rPr>
                <w:rFonts w:ascii="Arial" w:cs="Arial" w:eastAsia="Arial" w:hAnsi="Arial"/>
                <w:sz w:val="13"/>
                <w:szCs w:val="13"/>
                <w:color w:val="auto"/>
              </w:rPr>
              <w:t>−200 basis points</w:t>
            </w: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(61,720)</w:t>
            </w: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(61,729)</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2" w:lineRule="exact"/>
        <w:rPr>
          <w:sz w:val="20"/>
          <w:szCs w:val="20"/>
          <w:color w:val="auto"/>
        </w:rPr>
      </w:pPr>
    </w:p>
    <w:p>
      <w:pPr>
        <w:ind w:left="680" w:right="40" w:firstLine="599"/>
        <w:spacing w:after="0" w:line="276" w:lineRule="auto"/>
        <w:rPr>
          <w:sz w:val="20"/>
          <w:szCs w:val="20"/>
          <w:color w:val="auto"/>
        </w:rPr>
      </w:pPr>
      <w:r>
        <w:rPr>
          <w:rFonts w:ascii="Arial" w:cs="Arial" w:eastAsia="Arial" w:hAnsi="Arial"/>
          <w:sz w:val="13"/>
          <w:szCs w:val="13"/>
          <w:color w:val="auto"/>
        </w:rPr>
        <w:t>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21</w:t>
      </w:r>
    </w:p>
    <w:p>
      <w:pPr>
        <w:spacing w:after="0" w:line="252"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CONTRACTUAL REPRICING DATA</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6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6"/>
              </w:rPr>
              <w:t>Four to Twelve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One to</w:t>
            </w:r>
          </w:p>
        </w:tc>
        <w:tc>
          <w:tcPr>
            <w:tcW w:w="120" w:type="dxa"/>
            <w:vAlign w:val="bottom"/>
          </w:tcPr>
          <w:p>
            <w:pPr>
              <w:spacing w:after="0"/>
              <w:rPr>
                <w:sz w:val="10"/>
                <w:szCs w:val="10"/>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After</w:t>
            </w:r>
          </w:p>
        </w:tc>
        <w:tc>
          <w:tcPr>
            <w:tcW w:w="18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or Less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Months</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1"/>
              </w:rPr>
              <w:t>Five Years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99"/>
              </w:rPr>
              <w:t>Five Years</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0"/>
                <w:szCs w:val="10"/>
                <w:b w:val="1"/>
                <w:bCs w:val="1"/>
                <w:color w:val="auto"/>
                <w:w w:val="94"/>
              </w:rPr>
              <w:t>(Dollars 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Loans and leases, net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27,784,030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4,365,598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11,749,151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8,091,603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51,990,382</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Investment 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2"/>
                <w:szCs w:val="12"/>
                <w:color w:val="auto"/>
              </w:rPr>
              <w:t>1,627,491</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409,068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545,073</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4,568,908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7,150,540</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Other earning assets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292,361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293,157</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rPr>
                <w:sz w:val="20"/>
                <w:szCs w:val="20"/>
                <w:color w:val="auto"/>
              </w:rPr>
            </w:pPr>
            <w:r>
              <w:rPr>
                <w:rFonts w:ascii="Arial" w:cs="Arial" w:eastAsia="Arial" w:hAnsi="Arial"/>
                <w:sz w:val="12"/>
                <w:szCs w:val="12"/>
                <w:i w:val="1"/>
                <w:iCs w:val="1"/>
                <w:color w:val="auto"/>
              </w:rPr>
              <w:t>Total earning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29,703,882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4,775,366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12,294,320</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12,660,511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59,434,079</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NOW accounts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1,393,349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1,393,349</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Savings deposits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2"/>
                <w:szCs w:val="12"/>
                <w:color w:val="auto"/>
              </w:rPr>
              <w:t>26,431,281</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26,431,281</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Time deposits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1,520,052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3,150,092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1,136,470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10,556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5,817,170</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20"/>
                <w:szCs w:val="20"/>
                <w:color w:val="auto"/>
              </w:rPr>
            </w:pPr>
            <w:r>
              <w:rPr>
                <w:rFonts w:ascii="Arial" w:cs="Arial" w:eastAsia="Arial" w:hAnsi="Arial"/>
                <w:sz w:val="12"/>
                <w:szCs w:val="12"/>
                <w:color w:val="auto"/>
              </w:rPr>
              <w:t>Deposits at Cayman Islands office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1,604,252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1,664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1,605,916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6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Total interest-bearing deposits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30,948,934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3,151,756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1,136,470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10,556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35,247,716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2"/>
                <w:szCs w:val="12"/>
                <w:color w:val="auto"/>
              </w:rPr>
              <w:t>Short-term borrowings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947,432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947,432</w:t>
            </w:r>
          </w:p>
        </w:tc>
        <w:tc>
          <w:tcPr>
            <w:tcW w:w="0" w:type="dxa"/>
            <w:vAlign w:val="bottom"/>
          </w:tcPr>
          <w:p>
            <w:pPr>
              <w:spacing w:after="0"/>
              <w:rPr>
                <w:sz w:val="1"/>
                <w:szCs w:val="1"/>
                <w:color w:val="auto"/>
              </w:rPr>
            </w:pPr>
          </w:p>
        </w:tc>
      </w:tr>
      <w:tr>
        <w:trPr>
          <w:trHeight w:val="150"/>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3,153,303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242,707</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958,951</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3,485,190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7,840,151</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rPr>
                <w:sz w:val="20"/>
                <w:szCs w:val="20"/>
                <w:color w:val="auto"/>
              </w:rPr>
            </w:pPr>
            <w:r>
              <w:rPr>
                <w:rFonts w:ascii="Arial" w:cs="Arial" w:eastAsia="Arial" w:hAnsi="Arial"/>
                <w:sz w:val="12"/>
                <w:szCs w:val="12"/>
                <w:i w:val="1"/>
                <w:iCs w:val="1"/>
                <w:color w:val="auto"/>
              </w:rPr>
              <w:t>Total interest-bearing liabilities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35,049,669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3,394,463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2,095,421</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3,495,746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44,035,299</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(900,000)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2"/>
                <w:szCs w:val="12"/>
                <w:color w:val="auto"/>
              </w:rPr>
              <w:t>Periodic gap</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vMerge w:val="continue"/>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2"/>
                <w:szCs w:val="12"/>
                <w:color w:val="auto"/>
              </w:rPr>
              <w:t>(6,245,787)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1,380,903</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10,198,899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10,064,765</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Cumulative gap</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(6,245,787)</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(4,864,884)</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5,334,015</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15,398,780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20"/>
                <w:szCs w:val="20"/>
                <w:color w:val="auto"/>
              </w:rPr>
            </w:pPr>
            <w:r>
              <w:rPr>
                <w:rFonts w:ascii="Arial" w:cs="Arial" w:eastAsia="Arial" w:hAnsi="Arial"/>
                <w:sz w:val="12"/>
                <w:szCs w:val="12"/>
                <w:color w:val="auto"/>
              </w:rPr>
              <w:t>Cumulative gap as a % of total earning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(8.2)%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25.9%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680" w:right="140" w:firstLine="599"/>
        <w:spacing w:after="0" w:line="255" w:lineRule="auto"/>
        <w:rPr>
          <w:sz w:val="20"/>
          <w:szCs w:val="20"/>
          <w:color w:val="auto"/>
        </w:rPr>
      </w:pPr>
      <w:r>
        <w:rPr>
          <w:rFonts w:ascii="Arial" w:cs="Arial" w:eastAsia="Arial" w:hAnsi="Arial"/>
          <w:sz w:val="14"/>
          <w:szCs w:val="14"/>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20 of Notes to Financial Statements.</w:t>
      </w:r>
    </w:p>
    <w:p>
      <w:pPr>
        <w:ind w:left="680" w:firstLine="599"/>
        <w:spacing w:after="0" w:line="268" w:lineRule="auto"/>
        <w:rPr>
          <w:sz w:val="20"/>
          <w:szCs w:val="20"/>
          <w:color w:val="auto"/>
        </w:rPr>
      </w:pPr>
      <w:r>
        <w:rPr>
          <w:rFonts w:ascii="Arial" w:cs="Arial" w:eastAsia="Arial" w:hAnsi="Arial"/>
          <w:sz w:val="13"/>
          <w:szCs w:val="13"/>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is presented in note 18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notional amounts of interest rate contracts entered into for trading purposes aggregated $12.8 billion at December 31, 2010 and $13.9 billion at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2009. The notional amounts of foreign currency and other option and futures contracts entered into for trading purposes totaled $769 million and $608 million at</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2010 and 2009, respectively. Although the notional amounts of these trading contracts are not recorded in the consolidated balance sheet, the fair values of all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instruments used for trading activities are recorded in the consolidated balance sheet. The fair values of trading account assets and liabilities were $524 million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$333 million, respectively, at December 31, 2010 and $387 million and $302 million, respectively, at December 31, 2009. Included in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52" w:lineRule="auto"/>
        <w:rPr>
          <w:sz w:val="20"/>
          <w:szCs w:val="20"/>
          <w:color w:val="auto"/>
        </w:rPr>
      </w:pPr>
      <w:r>
        <w:rPr>
          <w:rFonts w:ascii="Arial" w:cs="Arial" w:eastAsia="Arial" w:hAnsi="Arial"/>
          <w:sz w:val="14"/>
          <w:szCs w:val="14"/>
          <w:color w:val="auto"/>
        </w:rPr>
        <w:t>trading account assets at December 31, 2010 and 2009 were $35 million and $36 million, respectively, of assets related to deferred compensation plans. Changes in the fair value of such assets are recorded as “trading account and foreign exchange gains” in the consolidated statement of income. Included in “other liabilities” in the consolidated balance sheet at December 31, 2010 and 2009 were $36 million and $38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2" w:lineRule="exact"/>
        <w:rPr>
          <w:sz w:val="20"/>
          <w:szCs w:val="20"/>
          <w:color w:val="auto"/>
        </w:rPr>
      </w:pPr>
    </w:p>
    <w:p>
      <w:pPr>
        <w:ind w:left="680" w:right="80" w:firstLine="599"/>
        <w:spacing w:after="0" w:line="253" w:lineRule="auto"/>
        <w:rPr>
          <w:sz w:val="20"/>
          <w:szCs w:val="20"/>
          <w:color w:val="auto"/>
        </w:rPr>
      </w:pPr>
      <w:r>
        <w:rPr>
          <w:rFonts w:ascii="Arial" w:cs="Arial" w:eastAsia="Arial" w:hAnsi="Arial"/>
          <w:sz w:val="14"/>
          <w:szCs w:val="14"/>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18 of Notes to Financial Statements.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Shareholders’ equity was $8.4 billion at December 31, 2010 and represented 12.29% of total assets, compared with $7.8 billion or 11.26% at December 31, 2009 and</w:t>
      </w:r>
    </w:p>
    <w:p>
      <w:pPr>
        <w:spacing w:after="0" w:line="18"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$6.8 billion or 10.31% at December 31, 2008. Included in shareholders’ equity at each of those dates was $600 million of Fixed Rate Cumulative Perpetual Preferred Stock, Series A, and warrants to purchase M&amp;T common stock issued on December 23, 2008 as part of the U.S. Treasury Capital Purchase Program. The financial statement value of that preferred stock was $579 million at December 31, 2010, $573 million at December 31, 2009 and $567 million at December 31, 2008. Provident also participated in that program on November 14, 2008. As a result, Provident’s $151.5 million of preferred stock related thereto was converted to M&amp;T Fixed Rate Cumulative Perpetual Preferred Stock, Series C, with warrants to purchase M&amp;T common stock. The estimated fair value ascribed to the Series C Preferred Stock was $129 million on the</w:t>
      </w:r>
    </w:p>
    <w:p>
      <w:pPr>
        <w:spacing w:after="0" w:line="1"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May 23, 2009 acquisition date. The financial statement value of the Series C Preferred Stock was $135 million and $131 million at December 31, 2010 and December 31, 2009, respectively.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acquisition date fair value of the Series B Preferred Stock was approximately equal to that stock’s $26.5 million redemption value. Further information concerning M&amp;T’s preferred stock can be found in note 10 of Notes to Financial Statements.</w:t>
      </w:r>
    </w:p>
    <w:p>
      <w:pPr>
        <w:spacing w:after="0" w:line="1" w:lineRule="exact"/>
        <w:rPr>
          <w:sz w:val="20"/>
          <w:szCs w:val="20"/>
          <w:color w:val="auto"/>
        </w:rPr>
      </w:pPr>
    </w:p>
    <w:p>
      <w:pPr>
        <w:ind w:left="680" w:right="80" w:firstLine="599"/>
        <w:spacing w:after="0" w:line="268" w:lineRule="auto"/>
        <w:rPr>
          <w:sz w:val="20"/>
          <w:szCs w:val="20"/>
          <w:color w:val="auto"/>
        </w:rPr>
      </w:pPr>
      <w:r>
        <w:rPr>
          <w:rFonts w:ascii="Arial" w:cs="Arial" w:eastAsia="Arial" w:hAnsi="Arial"/>
          <w:sz w:val="13"/>
          <w:szCs w:val="13"/>
          <w:color w:val="auto"/>
        </w:rPr>
        <w:t>Common shareholders’ equity was $7.6 billion, or $63.54 per share, at December 31, 2010, compared with $7.0 billion, or $59.31 per share, at December 31, 2009 and $6.2 billion, or $56.29 per share, at December 31, 2008. Tangible equity per common share, which excludes goodwill and core deposit and other intangible assets and applicable deferred tax balances, was $33.26 at December 31, 2010, compared with $28.27 and $25.94 at December 31, 2009 and 2008, respectively. The Company’s ratio of tangible common equity to tangible assets was 6.19% at December 31, 2010, compared with 5.13% and 4.59% at December 31, 2009 and December 31, 2008, respectively. Reconciliations of total common shareholders’ equity and tangible common equity as of December 31, 2010, 2009 and 2008 are presented in table 2. During 2010, 2009 and 2008, the ratio of average total shareholders’ equity to average total assets was 11.85%, 10.79% and 9.88%, respectively. The ratio of average common shareholders’ equity to average total assets was 10.77%, 9.81% and 9.86% in 2010, 2009 and 2008, respectively.</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4"/>
          <w:szCs w:val="14"/>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adjustments to reflect the funded status of defined benefit pension and other postretirement plans. Net unrealized losses on available-for-sale investment securities, net of applicable tax effect, were $85 million, or $.71 per common share, at December 31, 2010, compared with net unrealized losses of $220 million, or $1.86 per common share, at December 31, 2009, and $557 million, or $5.04 per common share, at December 31, 2008.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December 31, 2010 and 2009 is included in note 3 of Notes to Financial Statements.</w:t>
      </w:r>
    </w:p>
    <w:p>
      <w:pPr>
        <w:ind w:left="680" w:right="140" w:firstLine="599"/>
        <w:spacing w:after="0" w:line="249" w:lineRule="auto"/>
        <w:rPr>
          <w:sz w:val="20"/>
          <w:szCs w:val="20"/>
          <w:color w:val="auto"/>
        </w:rPr>
      </w:pPr>
      <w:r>
        <w:rPr>
          <w:rFonts w:ascii="Arial" w:cs="Arial" w:eastAsia="Arial" w:hAnsi="Arial"/>
          <w:sz w:val="14"/>
          <w:szCs w:val="14"/>
          <w:color w:val="auto"/>
        </w:rPr>
        <w:t>Reflected in net unrealized losses at December 31, 2010 were pre tax-effect unrealized losses of $312 million on available-for-sale investment securities with an amortized cost of $1.7 billion and pre-tax effect unrealized gains of $231 million on securities with an amortized cost of $3.8 billion. The pre-tax effect unrealized losses reflect $252 million of losses on privately issued mortgage-backed securities with an amortized cost of $1.4 billion and an estimated fair value of $1.1 billion (considered Level 3 valuations) and $38 million of losses on trust preferred securities issued by financial institutions having an amortized cost of $127 million and an estimated fair value of $89 million (generally considered Level 2 valuations).</w:t>
      </w:r>
    </w:p>
    <w:p>
      <w:pPr>
        <w:ind w:left="680" w:right="100" w:firstLine="599"/>
        <w:spacing w:after="0" w:line="256" w:lineRule="auto"/>
        <w:rPr>
          <w:sz w:val="20"/>
          <w:szCs w:val="20"/>
          <w:color w:val="auto"/>
        </w:rPr>
      </w:pPr>
      <w:r>
        <w:rPr>
          <w:rFonts w:ascii="Arial" w:cs="Arial" w:eastAsia="Arial" w:hAnsi="Arial"/>
          <w:sz w:val="14"/>
          <w:szCs w:val="14"/>
          <w:color w:val="auto"/>
        </w:rPr>
        <w:t>The Company’s privately issued residential mortgage-backed securities classified as available for sale are generally collateralized by prime and Alt-A residential mortgage loans as depicted in table 22. Information in the table is as of December 31, 2010. As with any accounting estimate or other data, changes in fair values and investment ratings may occur at any time.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22</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PRIVATELY ISSUED MORTGAGE-BACKED SECURITIES CLASSIFIED AS AVAILABLE FOR SALE (a)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8"/>
              </w:rPr>
              <w:t>Amortized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right"/>
              <w:ind w:right="448"/>
              <w:spacing w:after="0"/>
              <w:rPr>
                <w:sz w:val="20"/>
                <w:szCs w:val="20"/>
                <w:color w:val="auto"/>
              </w:rPr>
            </w:pPr>
            <w:r>
              <w:rPr>
                <w:rFonts w:ascii="Arial" w:cs="Arial" w:eastAsia="Arial" w:hAnsi="Arial"/>
                <w:sz w:val="10"/>
                <w:szCs w:val="10"/>
                <w:b w:val="1"/>
                <w:bCs w:val="1"/>
                <w:color w:val="auto"/>
                <w:w w:val="97"/>
              </w:rPr>
              <w:t>Net Unrealized</w:t>
            </w: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As a Percentage of Carrying Value</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Collateral Type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Fair Value</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0"/>
                <w:szCs w:val="10"/>
                <w:b w:val="1"/>
                <w:bCs w:val="1"/>
                <w:color w:val="auto"/>
              </w:rPr>
              <w:t>AAA Rated</w:t>
            </w:r>
          </w:p>
        </w:tc>
        <w:tc>
          <w:tcPr>
            <w:tcW w:w="10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Investment</w:t>
            </w:r>
          </w:p>
        </w:tc>
        <w:tc>
          <w:tcPr>
            <w:tcW w:w="98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Senior Tranche</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10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Cost</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w w:val="94"/>
              </w:rPr>
              <w:t>Gains (Losses)</w:t>
            </w:r>
          </w:p>
        </w:tc>
        <w:tc>
          <w:tcPr>
            <w:tcW w:w="38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Grade</w:t>
            </w:r>
          </w:p>
        </w:tc>
        <w:tc>
          <w:tcPr>
            <w:tcW w:w="40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080" w:type="dxa"/>
            <w:vAlign w:val="bottom"/>
            <w:gridSpan w:val="2"/>
          </w:tcPr>
          <w:p>
            <w:pPr>
              <w:jc w:val="right"/>
              <w:ind w:right="442"/>
              <w:spacing w:after="0"/>
              <w:rPr>
                <w:sz w:val="20"/>
                <w:szCs w:val="20"/>
                <w:color w:val="auto"/>
              </w:rPr>
            </w:pPr>
            <w:r>
              <w:rPr>
                <w:rFonts w:ascii="Arial" w:cs="Arial" w:eastAsia="Arial" w:hAnsi="Arial"/>
                <w:sz w:val="10"/>
                <w:szCs w:val="10"/>
                <w:b w:val="1"/>
                <w:bCs w:val="1"/>
                <w:color w:val="auto"/>
                <w:w w:val="85"/>
              </w:rPr>
              <w:t>in thousands)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00" w:type="dxa"/>
            <w:vAlign w:val="bottom"/>
            <w:gridSpan w:val="3"/>
            <w:shd w:val="clear" w:color="auto" w:fill="CCEEFF"/>
          </w:tcPr>
          <w:p>
            <w:pPr>
              <w:spacing w:after="0" w:line="124" w:lineRule="exact"/>
              <w:rPr>
                <w:sz w:val="20"/>
                <w:szCs w:val="20"/>
                <w:color w:val="auto"/>
              </w:rPr>
            </w:pPr>
            <w:r>
              <w:rPr>
                <w:rFonts w:ascii="Arial" w:cs="Arial" w:eastAsia="Arial" w:hAnsi="Arial"/>
                <w:sz w:val="12"/>
                <w:szCs w:val="12"/>
                <w:color w:val="auto"/>
              </w:rPr>
              <w:t>Residential Mortgage Loans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Prime — Fixed</w:t>
            </w:r>
          </w:p>
        </w:tc>
        <w:tc>
          <w:tcPr>
            <w:tcW w:w="17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2"/>
                <w:szCs w:val="12"/>
                <w:color w:val="auto"/>
              </w:rPr>
              <w:t>93,104</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2"/>
                <w:szCs w:val="12"/>
                <w:color w:val="auto"/>
              </w:rPr>
              <w:t>98,665</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CCEEFF"/>
            </w:tcBorders>
            <w:gridSpan w:val="2"/>
          </w:tcPr>
          <w:p>
            <w:pPr>
              <w:jc w:val="right"/>
              <w:ind w:right="328"/>
              <w:spacing w:after="0"/>
              <w:rPr>
                <w:sz w:val="20"/>
                <w:szCs w:val="20"/>
                <w:color w:val="auto"/>
              </w:rPr>
            </w:pPr>
            <w:r>
              <w:rPr>
                <w:rFonts w:ascii="Arial" w:cs="Arial" w:eastAsia="Arial" w:hAnsi="Arial"/>
                <w:sz w:val="12"/>
                <w:szCs w:val="12"/>
                <w:color w:val="auto"/>
              </w:rPr>
              <w:t>5,561</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2"/>
                <w:szCs w:val="12"/>
                <w:color w:val="auto"/>
              </w:rPr>
              <w:t>67%</w:t>
            </w:r>
          </w:p>
        </w:tc>
        <w:tc>
          <w:tcPr>
            <w:tcW w:w="138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2"/>
                <w:szCs w:val="12"/>
                <w:color w:val="auto"/>
              </w:rPr>
              <w:t>69%</w:t>
            </w:r>
          </w:p>
        </w:tc>
        <w:tc>
          <w:tcPr>
            <w:tcW w:w="1080" w:type="dxa"/>
            <w:vAlign w:val="bottom"/>
            <w:tcBorders>
              <w:top w:val="single" w:sz="8" w:color="CCEEFF"/>
            </w:tcBorders>
            <w:gridSpan w:val="2"/>
          </w:tcPr>
          <w:p>
            <w:pPr>
              <w:jc w:val="right"/>
              <w:spacing w:after="0"/>
              <w:rPr>
                <w:sz w:val="20"/>
                <w:szCs w:val="20"/>
                <w:color w:val="auto"/>
              </w:rPr>
            </w:pPr>
            <w:r>
              <w:rPr>
                <w:rFonts w:ascii="Arial" w:cs="Arial" w:eastAsia="Arial" w:hAnsi="Arial"/>
                <w:sz w:val="12"/>
                <w:szCs w:val="12"/>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Prime — Hybrid ARMs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1,397,365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1,212,048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(185 ,317)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55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tcPr>
          <w:p>
            <w:pPr>
              <w:spacing w:after="0"/>
              <w:rPr>
                <w:sz w:val="20"/>
                <w:szCs w:val="20"/>
                <w:color w:val="auto"/>
              </w:rPr>
            </w:pPr>
            <w:r>
              <w:rPr>
                <w:rFonts w:ascii="Arial" w:cs="Arial" w:eastAsia="Arial" w:hAnsi="Arial"/>
                <w:sz w:val="12"/>
                <w:szCs w:val="12"/>
                <w:color w:val="auto"/>
              </w:rPr>
              <w:t>Prime — 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1,751</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1,576</w:t>
            </w:r>
          </w:p>
        </w:tc>
        <w:tc>
          <w:tcPr>
            <w:tcW w:w="80" w:type="dxa"/>
            <w:vAlign w:val="bottom"/>
          </w:tcPr>
          <w:p>
            <w:pPr>
              <w:spacing w:after="0"/>
              <w:rPr>
                <w:sz w:val="12"/>
                <w:szCs w:val="12"/>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2"/>
                <w:szCs w:val="12"/>
                <w:color w:val="auto"/>
              </w:rPr>
              <w:t>(175)</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Alt-A — Fixed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7,797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8,978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1,181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tcPr>
          <w:p>
            <w:pPr>
              <w:spacing w:after="0"/>
              <w:rPr>
                <w:sz w:val="20"/>
                <w:szCs w:val="20"/>
                <w:color w:val="auto"/>
              </w:rPr>
            </w:pPr>
            <w:r>
              <w:rPr>
                <w:rFonts w:ascii="Arial" w:cs="Arial" w:eastAsia="Arial" w:hAnsi="Arial"/>
                <w:sz w:val="12"/>
                <w:szCs w:val="12"/>
                <w:color w:val="auto"/>
              </w:rPr>
              <w:t>Alt-A — Hybrid ARMs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171,608</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111,055</w:t>
            </w:r>
          </w:p>
        </w:tc>
        <w:tc>
          <w:tcPr>
            <w:tcW w:w="80" w:type="dxa"/>
            <w:vAlign w:val="bottom"/>
          </w:tcPr>
          <w:p>
            <w:pPr>
              <w:spacing w:after="0"/>
              <w:rPr>
                <w:sz w:val="12"/>
                <w:szCs w:val="12"/>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2"/>
                <w:szCs w:val="12"/>
                <w:color w:val="auto"/>
              </w:rPr>
              <w:t>(60,553)</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2"/>
                <w:szCs w:val="12"/>
                <w:color w:val="auto"/>
              </w:rPr>
              <w:t>47</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Alt-A — Option ARMs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216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00" w:type="dxa"/>
            <w:vAlign w:val="bottom"/>
            <w:gridSpan w:val="3"/>
          </w:tcPr>
          <w:p>
            <w:pPr>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5,223</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3,089</w:t>
            </w:r>
          </w:p>
        </w:tc>
        <w:tc>
          <w:tcPr>
            <w:tcW w:w="80" w:type="dxa"/>
            <w:vAlign w:val="bottom"/>
          </w:tcPr>
          <w:p>
            <w:pPr>
              <w:spacing w:after="0"/>
              <w:rPr>
                <w:sz w:val="12"/>
                <w:szCs w:val="12"/>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2"/>
                <w:szCs w:val="12"/>
                <w:color w:val="auto"/>
              </w:rPr>
              <w:t>(2,134)</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1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Subtotal</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1,677,064</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1,435,561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(241,503)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spacing w:after="0"/>
              <w:rPr>
                <w:sz w:val="20"/>
                <w:szCs w:val="20"/>
                <w:color w:val="auto"/>
              </w:rPr>
            </w:pPr>
            <w:r>
              <w:rPr>
                <w:rFonts w:ascii="Arial" w:cs="Arial" w:eastAsia="Arial" w:hAnsi="Arial"/>
                <w:sz w:val="12"/>
                <w:szCs w:val="12"/>
                <w:color w:val="auto"/>
              </w:rPr>
              <w:t>Commercial Mortgage Loans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w:t>
            </w:r>
          </w:p>
        </w:tc>
        <w:tc>
          <w:tcPr>
            <w:tcW w:w="1380" w:type="dxa"/>
            <w:vAlign w:val="bottom"/>
            <w:gridSpan w:val="3"/>
            <w:vMerge w:val="restart"/>
          </w:tcPr>
          <w:p>
            <w:pPr>
              <w:jc w:val="right"/>
              <w:ind w:right="300"/>
              <w:spacing w:after="0"/>
              <w:rPr>
                <w:sz w:val="20"/>
                <w:szCs w:val="20"/>
                <w:color w:val="auto"/>
              </w:rPr>
            </w:pPr>
            <w:r>
              <w:rPr>
                <w:rFonts w:ascii="Arial" w:cs="Arial" w:eastAsia="Arial" w:hAnsi="Arial"/>
                <w:sz w:val="12"/>
                <w:szCs w:val="12"/>
                <w:color w:val="auto"/>
              </w:rPr>
              <w:t>100%</w:t>
            </w: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line="20" w:lineRule="exact"/>
              <w:rPr>
                <w:sz w:val="1"/>
                <w:szCs w:val="1"/>
                <w:color w:val="auto"/>
              </w:rPr>
            </w:pPr>
          </w:p>
        </w:tc>
      </w:tr>
      <w:tr>
        <w:trPr>
          <w:trHeight w:val="144"/>
        </w:trPr>
        <w:tc>
          <w:tcPr>
            <w:tcW w:w="3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25,357</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color w:val="auto"/>
              </w:rPr>
              <w:t>22,407</w:t>
            </w:r>
          </w:p>
        </w:tc>
        <w:tc>
          <w:tcPr>
            <w:tcW w:w="80" w:type="dxa"/>
            <w:vAlign w:val="bottom"/>
          </w:tcPr>
          <w:p>
            <w:pPr>
              <w:spacing w:after="0"/>
              <w:rPr>
                <w:sz w:val="12"/>
                <w:szCs w:val="12"/>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2"/>
                <w:szCs w:val="12"/>
                <w:color w:val="auto"/>
              </w:rPr>
              <w:t>(2,950)</w:t>
            </w:r>
          </w:p>
        </w:tc>
        <w:tc>
          <w:tcPr>
            <w:tcW w:w="8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1,702,421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1,457,968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(244,453)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31"/>
        </w:numPr>
        <w:rPr>
          <w:rFonts w:ascii="Arial" w:cs="Arial" w:eastAsia="Arial" w:hAnsi="Arial"/>
          <w:sz w:val="13"/>
          <w:szCs w:val="13"/>
          <w:i w:val="1"/>
          <w:iCs w:val="1"/>
          <w:color w:val="auto"/>
        </w:rPr>
      </w:pPr>
      <w:r>
        <w:rPr>
          <w:rFonts w:ascii="Arial" w:cs="Arial" w:eastAsia="Arial" w:hAnsi="Arial"/>
          <w:sz w:val="13"/>
          <w:szCs w:val="13"/>
          <w:i w:val="1"/>
          <w:iCs w:val="1"/>
          <w:color w:val="auto"/>
        </w:rPr>
        <w:t>All information is as of December 31, 2010.</w:t>
      </w:r>
    </w:p>
    <w:p>
      <w:pPr>
        <w:spacing w:after="0" w:line="92"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Reflecting the credit stress associated with residential mortgage loans, trading activity for privately issued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relative inactivity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December 31, 2010 and December 31, 2009. In April 2009, guidance was provided by the FASB for estimating fair value when the volume and level of trading activity for an asset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69" w:lineRule="auto"/>
        <w:rPr>
          <w:sz w:val="20"/>
          <w:szCs w:val="20"/>
          <w:color w:val="auto"/>
        </w:rPr>
      </w:pPr>
      <w:r>
        <w:rPr>
          <w:rFonts w:ascii="Arial" w:cs="Arial" w:eastAsia="Arial" w:hAnsi="Arial"/>
          <w:sz w:val="13"/>
          <w:szCs w:val="13"/>
          <w:color w:val="auto"/>
        </w:rPr>
        <w:t>or liability have significantly decreased. In consideration of that guidance, the Company performed internal modeling to estimate the cash flows and fair value of privately issued residential mortgage-backed securities with an amortized cost basis of $1.5 billion at December 31, 2010 and $1.9 billion at December 31, 2009.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at December 31, 2010 was 34%, compared with a 66% weighting on valuations provided by the independent sources. Generally, the range of weights placed on internal valuations was between 0% and 40%. Further information concerning the Company’s valuations of privately issued mortgage-backed securities can be found in note 20 of Notes to Financial Statements.</w:t>
      </w:r>
    </w:p>
    <w:p>
      <w:pPr>
        <w:spacing w:after="0" w:line="6"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During 2010 the Company recognized $86 million (pre-tax) of other-than-temporary impairment losses including $63 million related to privately issued residential mortgage-backed securities with an amortized cost basis (before impairment charge) of $585 million, $6 million related to securities backed largely by trust preferred securities issued by financial institutions with an amortized cost basis (before impairment charge) of $13 million, $5 million related to commercial mortgage-backed CMOs with an amortized cost basis (before impairment charge) of $9 million, and $12 million related to AIB ADSs with an amortized cost basis (before impairment charge) of $13 million. In assessing impairment losses for debt securities, the Company performed internal modeling to estimate bond-specific cash flows, which considered the placement of the bond in the overall securitization structure and the remaining levels of subordination. For privately issued residential mortgage-backed securities, the model utilized assumptions about the underlying performance of the mortgage loan collateral considering recent collateral performance and future assumptions regarding default and loss severity. At December 31, 2010, projected model default percentages on the underlying mortgage loan collateral ranged from 1% to 43% and loss severities ranged from 10% to 71%. For bonds in which the Company has recognized an other-than-temporary impairment charge, the weighted-average percentage of defaulted collateral was 25% and the weighted-average loss severity was 49%. For bonds without other-than-temporary impairment losses, the weighted-average default percentage and loss severity were 11% and 39%, respectively. Underlying mortgage loan collateral cash flows, after considering the impact of estimated credit losses, were distributed by the model to the various securities within the securitization structure to determine the timing and extent of losses at the bond-level, if any. Despite continuing high levels of delinquencies and losses in the underlying residential mortgage loan collateral, given credit enhancements resulting from the structures of individual bonds, the Company has concluded that as of December 31, 2010 its remaining privately issued mortgage-backed securities were not other-than-temporarily impaired. Nevertheless, given recent market conditions, it is possible that adverse changes in repayment performance and fair value could occur in 2011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 Information comparing the amortized cost and fair value of investment securities is included in note 3 of Notes to Financial Statements.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firstLine="599"/>
        <w:spacing w:after="0" w:line="271" w:lineRule="auto"/>
        <w:rPr>
          <w:sz w:val="20"/>
          <w:szCs w:val="20"/>
          <w:color w:val="auto"/>
        </w:rPr>
      </w:pPr>
      <w:r>
        <w:rPr>
          <w:rFonts w:ascii="Arial" w:cs="Arial" w:eastAsia="Arial" w:hAnsi="Arial"/>
          <w:sz w:val="13"/>
          <w:szCs w:val="13"/>
          <w:color w:val="auto"/>
        </w:rPr>
        <w:t>At December 31, 2010, the Company also had net pre-tax unrealized gains of $5 million on $410 million of trust preferred securities issued by financial institutions, securities backed by trust preferred securities issued by financial institutions and other entities, and other debt securities (including $16 million of net unrealized gains on $111 million of securities using a Level 3 valuation and $11 million of net unrealized losses on $299 million of securities classified as Level 2 valuations). Pre-tax unrealized losses of $29 million existed on $384 million of such securities at December 31, 2009. After evaluating the expected repayment performance of financial institutions where trust preferred securities were held directly by the Company or were within CDOs backed by trust preferred securities obtained in acquisitions, the Company, during 2010 and 2009, recognized pre-tax other-than-temporary impairment losses of $6 million and $8 million, respectively, related to those securities.</w:t>
      </w:r>
    </w:p>
    <w:p>
      <w:pPr>
        <w:spacing w:after="0" w:line="2"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The Company also holds municipal bonds, mortgage-backed securities guaranteed by government agencies and certain CMOs securitized by Bayview Financial Holdings, L.P. (together with its affiliates, “Bayview Financial”), a privately-held specialty mortgage finance company and the majority investor of BLG, in its held-to-maturity investment securities portfolio. The Company purchased certain private placement CMOs during 2008 that had been securitized by Bayview Financial. Given the Company’s relationship with Bayview Financial and related entities at that time, the Company reconsidered its intention to hold other CMOs securitized by Bayview Financial with a cost basis of $385 million and a fair value of $298 million and transferred such securities from its available-for-sale investment securities portfolio to its held-to-maturity investment securities portfolio. During 2010, the Company recognized a $5 million (pre-tax) other-than-temporary impairment loss related to CMOs in the held-to-maturity portfolio having an amortized cost (before impairment charge) of $9 million. Similar to its evaluation of privately issued residential mortgage-backed securities, the Company assessed impairment losses on these CMOs by performing internal modeling to estimate bond-specific cash flows, which considered the placement of the bond in the overall securitization structure and the remaining subordination levels. In total, at December 31, 2010 and 2009, the Company had in its held-to-maturity portfolio CMOs with an amortized cost basis of $313 million (after impairment charge) and $352 million, respectively, and a fair value of $198 million and $201 million, respectively. At December 31, 2010, the amortized cost and fair value of CMOs securitized by Bayview Financial in the Company’s available-for-sale investment securities portfolio were $25 million and $22 million, respectively, and at December 31, 2009 were $33 million and $25 million, respectively. Given the credit enhancements within each of the individual bond structures, the Company has determined that the remaining private CMOs securitized by Bayview Financial were not other-than-temporarily impaired at December 31, 2010.</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AIB ADSs were obtained in a 2003 acquisition and are held to satisfy options to purchase such shares granted by the acquired entity to certain employees. Factors contributing to the $12 million other-than-temporary impairment charge in 2010 related to the AIB ADSs included mounting credit and other losses incurred by AIB, the issuance of AIB common stock in lieu of dividend payments on certain preferred stock issuances held by the Irish government resulting in significant dilution of AIB common shareholders, and public announcements by Irish government officials suggesting that increased government support, which could further dilute AIB common shareholders, may be necessary.</w:t>
      </w:r>
    </w:p>
    <w:p>
      <w:pPr>
        <w:ind w:left="680" w:right="60" w:firstLine="599"/>
        <w:spacing w:after="0" w:line="249" w:lineRule="auto"/>
        <w:rPr>
          <w:sz w:val="20"/>
          <w:szCs w:val="20"/>
          <w:color w:val="auto"/>
        </w:rPr>
      </w:pPr>
      <w:r>
        <w:rPr>
          <w:rFonts w:ascii="Arial" w:cs="Arial" w:eastAsia="Arial" w:hAnsi="Arial"/>
          <w:sz w:val="14"/>
          <w:szCs w:val="14"/>
          <w:color w:val="auto"/>
        </w:rPr>
        <w:t>During 2009 the Company recognized $138 million (pre-tax) of other-than-temporary losses, including $128 million related to CMOs backed by privately issued mortgage-backed securities with an amortized cost basis (before impairment charge) of $486 million and $10 million related to CDOs backed largely by trust preferred securities issued by financial institutions with an amortized cost basis (before impairment charge) of $18 million. During 2008 the Company recognized $182 million (pre-tax) of other-than-temporary losses, $18 million of which related to privately issued mortgage-backed securities with an amortized cost basis (before impairment charge) of $20 million and $11 million related to securities backed by trust preferred securities issued by financial institutions with an amortized cost basis (before impairment charge) of $12 million. The remaining $153 million of other-than-temporary impairment in 2008 related to the Company’s holdings of preferred stock of Fannie Mae and Freddie Mac with an amortized cost basis (before impairment charge) of $162 million.</w:t>
      </w:r>
    </w:p>
    <w:p>
      <w:pPr>
        <w:ind w:left="680" w:right="20" w:firstLine="599"/>
        <w:spacing w:after="0" w:line="263" w:lineRule="auto"/>
        <w:rPr>
          <w:sz w:val="20"/>
          <w:szCs w:val="20"/>
          <w:color w:val="auto"/>
        </w:rPr>
      </w:pPr>
      <w:r>
        <w:rPr>
          <w:rFonts w:ascii="Arial" w:cs="Arial" w:eastAsia="Arial" w:hAnsi="Arial"/>
          <w:sz w:val="14"/>
          <w:szCs w:val="14"/>
          <w:color w:val="auto"/>
        </w:rPr>
        <w:t>As of December 31, 2010, based on a review of each of the remaining securities in the investment securities portfolio, the Company concluded that the declines in the values of those securities were temporary and that any additional other-than-temporary impairment charges were not appropriate. As of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140"/>
        <w:spacing w:after="0" w:line="270" w:lineRule="auto"/>
        <w:rPr>
          <w:sz w:val="20"/>
          <w:szCs w:val="20"/>
          <w:color w:val="auto"/>
        </w:rPr>
      </w:pPr>
      <w:r>
        <w:rPr>
          <w:rFonts w:ascii="Arial" w:cs="Arial" w:eastAsia="Arial" w:hAnsi="Arial"/>
          <w:sz w:val="13"/>
          <w:szCs w:val="13"/>
          <w:color w:val="auto"/>
        </w:rPr>
        <w:t>that date, the Company did not intend to sell nor is it anticipated that it would be required to sell any of its impaired securities, that is, where fair value is less than the cost basis of the security. The Company intends to continue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Adjustments to reflect the funded status of defined benefit pension and other postretirement plans, net of applicable tax effect, reduced accumulated other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comprehensive income by $121 million, or $1.01 per common share, at December 31, 2010, $117 million, or $.99 per common share, at December 31, 2009,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$174 million, or $1.58 per common share, at December 31, 2008. The decrease in such adjustment at December 31, 2009 as compared with December 31, 2008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predominantly the result of actual investment performance of assets held by the Company’s qualified pension plans being significantly better than assumed for actuarial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purposes. During the second quarter of 2009, the Company contributed 900,000 shares of M&amp;T common stock having a then fair value of $44 million to the Company’s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qualified defined benefit pension plan. Those shares were issued from previously held treasury stock. Information about the funded status of the Company’s pension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postretirement benefit plans is included in note 12 of Notes to Financial Statements.</w:t>
      </w:r>
    </w:p>
    <w:p>
      <w:pPr>
        <w:spacing w:after="0" w:line="6"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Cash dividends declared on M&amp;T’s common stock totaled $336 million in 2010, compared with $327 million and $309 million in 2009 and 2008, respectively. Dividends per common share totaled $2.80 in each of 2010, 2009 and 2008. During 2010, cash dividends of $38 million, or $50.00 per share, were declared and paid to the U.S. Treasury on M&amp;T’s Series A ($30 million) and Series C ($8 million) Preferred Stock. Similar dividends of $31 million were declared and paid in 2009. Cash dividends of $3 million and $1 million ($100.00 per share and $50.00 per share) were declared and paid during 2010 and 2009, respectively, on M&amp;T’s Series B Preferred Stock. The Series B and Series C Preferred Stock were created in connection with the Provident transaction. The Company did not repurchase any of its common stock in 2010, 2009 or 2008.</w:t>
      </w:r>
    </w:p>
    <w:p>
      <w:pPr>
        <w:ind w:left="680" w:right="60" w:firstLine="599"/>
        <w:spacing w:after="0" w:line="251" w:lineRule="auto"/>
        <w:rPr>
          <w:sz w:val="20"/>
          <w:szCs w:val="20"/>
          <w:color w:val="auto"/>
        </w:rPr>
      </w:pPr>
      <w:r>
        <w:rPr>
          <w:rFonts w:ascii="Arial" w:cs="Arial" w:eastAsia="Arial" w:hAnsi="Arial"/>
          <w:sz w:val="14"/>
          <w:szCs w:val="14"/>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At December 31, 2010, Tier 1 capital included $1.1 billion of trust preferred securities as described in note 9 of Notes to Financial Statements and total capital further included $1.5 billion of subordinated capital notes. Pursuant to the Dodd-Frank Act, trust preferred securities will be phased-out of the definition of Tier 1 capital of bank holding companies. The capital ratios of the Company and its banking subsidiaries as of December 31, 2010 and 2009 are presented in note 23 of Notes to Financial Statements.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Fourth Quarter Results</w:t>
      </w:r>
    </w:p>
    <w:p>
      <w:pPr>
        <w:spacing w:after="0" w:line="22"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Net income during the fourth quarter of 2010 rose 49% to $204 million from $137 million in the year-earlier quarter. Diluted and basic earnings per common share were each $1.59 in the final 2010 quarter, 53% and 51% higher than $1.04 and $1.05 of diluted and basic earnings per common share, respectively, in the corresponding quarter of 2009. The annualized rates of return on average assets and average common shareholders’ equity for the recently completed quarter were 1.18% and 10.03%, respectively, compared with .79% and 7.09%, respectively, in the fourth quarter of 2009.</w:t>
      </w:r>
    </w:p>
    <w:p>
      <w:pPr>
        <w:ind w:left="680" w:right="320" w:firstLine="599"/>
        <w:spacing w:after="0" w:line="263" w:lineRule="auto"/>
        <w:rPr>
          <w:sz w:val="20"/>
          <w:szCs w:val="20"/>
          <w:color w:val="auto"/>
        </w:rPr>
      </w:pPr>
      <w:r>
        <w:rPr>
          <w:rFonts w:ascii="Arial" w:cs="Arial" w:eastAsia="Arial" w:hAnsi="Arial"/>
          <w:sz w:val="14"/>
          <w:szCs w:val="14"/>
          <w:color w:val="auto"/>
        </w:rPr>
        <w:t>Net operating income totaled $196 million in the recent quarter, compared with $151 million in the fourth quarter of 2009. Diluted net operating earnings per common share were $1.52 in the final 2010 quarter, compared with $1.16 in the year-earlier quarter. The annualized net operating returns on</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40"/>
        <w:spacing w:after="0" w:line="271" w:lineRule="auto"/>
        <w:rPr>
          <w:sz w:val="20"/>
          <w:szCs w:val="20"/>
          <w:color w:val="auto"/>
        </w:rPr>
      </w:pPr>
      <w:r>
        <w:rPr>
          <w:rFonts w:ascii="Arial" w:cs="Arial" w:eastAsia="Arial" w:hAnsi="Arial"/>
          <w:sz w:val="13"/>
          <w:szCs w:val="13"/>
          <w:color w:val="auto"/>
        </w:rPr>
        <w:t>average tangible assets and average tangible common equity in the fourth quarter of 2010 were 1.20% and 18.43%, respectively, compared with .92% and 16.73%, respectively, in the similar 2009 quarter. Core deposit and other intangible asset amortization, after tax effect, totaled $8 million and $10 million in the fourth quarters of 2010 and 2009 ($.07 and $.09 per diluted common share, respectively). The after-tax impact of merger-related expenses and the gain associated with the K Bank acquisition transaction totaled to a net gain of $16 million ($27 million pre-tax) or $.14 of diluted earnings per common share in the fourth quarter of 2010. The after-tax impact of merger-related expenses related to the Provident and Bradford acquisition transactions was $4 million ($6 million pre-tax) or $.03 of diluted earnings per common share in the final quarter of 2009. Reconciliations of GAAP results with non-GAAP results for the quarterly periods of 2010 and 2009 are provided in table 24.</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Taxable-equivalent net interest income increased 3% to $580 million in the fourth quarter of 2010 from $565 million in the year-earlier quarter. That growth reflects a 14 basis point widening of the Company’s net interest margin. The yield on earning assets was 4.58% in each of the fourth quarters of 2010 and 2009. The rate paid on interest-bearing liabilities declined 16 basis points to .97% in the final quarter of 2010 from 1.13% in the corresponding quarter of 2009. The resulting net interest spread was 3.61% in the recent quarter, up 16 basis points from 3.45% in the fourth quarter of 2009. That improvement was largely due to lower interest rates paid on deposits. The contribution of net interest-free funds to the Company’s net interest margin was .24% in the recent quarter, down slightly from .26% in the year-earlier quarter. That decline reflects the impact of lower interest rates on interest-bearing liabilities used to value such contribution. As a result, the Company’s net interest margin widened to 3.85% in the final 2010 quarter from 3.71% in the similar quarter of 2009. Average earning assets in the fourth quarter of 2010 totaled $59.7 billion, down 1% from $60.5 billion in the year-earlier quarter. That decline resulted from lower average loans and leases, which decreased 2% to $51.1 billion in the recent quarter from</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$52.1 billion in 2009’s final quarter. Average commercial loan and lease balances were $13.0 billion in the recent quarter, down $514 million or 4% from $13.5 billion in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fourth quarter of 2009. That decline was the result of generally lower demand for commercial loans throughout most of 2010. Commercial real estate loans averaged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$20.6 billion in the fourth quarter of 2010, down $326 million from $21.0 billion in the year-earlier quarter. Average residential real estate loans outstanding rose 8% 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$453 million to $5.9 billion in the recent quarter from $5.5 billion in the fourth quarter of 2009. That increase was predominantly the result of the impact of adopting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already discussed new accounting rules on January 1, 2010 related to non-recourse securitization transactions using qualified special-purpose trusts. Included in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residential real estate loan portfolio were loans held for sale, which averaged $556 million and $497 million in the fourth quarters of 2010 and 2009, respectively. Consumer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averaged $11.6 billion in the recent quarter, down $558 million, or 5%, from $12.1 billion in the final 2009 quarter. That decline was largely due to lower outstanding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automobile and home equity loan balances. Despite sluggish loan demand throughout much of 2010, total loans increased $1.2 billion to $52.0 billion at December 31, 2010</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from $50.8 billion at September 30, 2010. That growth was largely attributable to December increases in commercial loans and commercial real estate loans.</w:t>
      </w:r>
    </w:p>
    <w:p>
      <w:pPr>
        <w:spacing w:after="0" w:line="6" w:lineRule="exact"/>
        <w:rPr>
          <w:sz w:val="20"/>
          <w:szCs w:val="20"/>
          <w:color w:val="auto"/>
        </w:rPr>
      </w:pPr>
    </w:p>
    <w:p>
      <w:pPr>
        <w:ind w:left="680" w:right="100" w:firstLine="599"/>
        <w:spacing w:after="0" w:line="249" w:lineRule="auto"/>
        <w:rPr>
          <w:sz w:val="20"/>
          <w:szCs w:val="20"/>
          <w:color w:val="auto"/>
        </w:rPr>
      </w:pPr>
      <w:r>
        <w:rPr>
          <w:rFonts w:ascii="Arial" w:cs="Arial" w:eastAsia="Arial" w:hAnsi="Arial"/>
          <w:sz w:val="14"/>
          <w:szCs w:val="14"/>
          <w:color w:val="auto"/>
        </w:rPr>
        <w:t>The provision for credit losses was $85 million in the three-month period ended December 31, 2010, compared with $145 million in the year-earlier period. Net charge-offs of loans were $77 million in the final quarter of 2010, representing an annualized .60% of average loans and leases outstanding, compared with $135 million or 1.03% during the year-earlier quarter. Net charge-offs included: residential real estate loans of $15 million in the recently completed quarter, compared with $21 million a year earlier; loans to builders and developers of residential real estate properties of $22 million, compared with $40 million in the fourth quarter of 2009; other commercial real estate loans of $13 million, compared with $11 million a year earlier; commercial loans of $5 million, compared with $31 million in 2009; and consumer loans of $22 million, compared with $32 million in the prior year’s fourth quarter.</w:t>
      </w:r>
    </w:p>
    <w:p>
      <w:pPr>
        <w:ind w:left="680" w:right="60" w:firstLine="599"/>
        <w:spacing w:after="0" w:line="253" w:lineRule="auto"/>
        <w:rPr>
          <w:sz w:val="20"/>
          <w:szCs w:val="20"/>
          <w:color w:val="auto"/>
        </w:rPr>
      </w:pPr>
      <w:r>
        <w:rPr>
          <w:rFonts w:ascii="Arial" w:cs="Arial" w:eastAsia="Arial" w:hAnsi="Arial"/>
          <w:sz w:val="14"/>
          <w:szCs w:val="14"/>
          <w:color w:val="auto"/>
        </w:rPr>
        <w:t>Other income totaled $287 million in the recent quarter, up 8% from $266 million in the year-earlier quarter. Net losses on investment securities (including other-than-temporary impairment charges) were $27 million during the fourth quarter of 2010, compared with $34 million in the year-earlier quarter. The losses were predominantly due to other-than-temporary impairment charges related to certain of the Company’s privately issued CMOs. Reflected in other income for the fourth quarter of 2010 was the $28 million gain recorded on the K Bank acquisition transaction. Excluding net losses 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investment securities and the merger-related gain, other income was $286 million, down 5% from $300 million in the year-earlier quarter. The most significant contributors to that decline were lower residential mortgage banking revenues and service charges on deposit accounts, partially offset by higher trading account and foreign exchange gains and letter of credit and other credit-related fees. The decline in residential mortgage banking revenues in the recent quarter reflects lower origination volumes, the Company’s decision to retain for portfolio a higher proportion of originated loans rather than selling them, and increased settlements related to obligations to repurchase previously sold loans. Charges against mortgage banking revenues related to such repurchase obligations were $14 million in the recent quarter and $6 million in the fourth quarter of 2009. The lower service charges on deposit accounts reflect the new regulations that went into effect in the third quarter of 2010. The Federal Reserve and other regulators have adopted regulations requiring expanded disclosure of overdraft and other fees assessed to consumers and issued guidance that requires consumers to elect to be subject to fees for certain deposit account transactions that began July 1, 2010 for new customers and August 15, 2010 for pre-existing customers. The Company estimates that these new regulations resulted in a decrease in deposit account service charges of approximately $16 million in the fourth quarter of 2010.</w:t>
      </w:r>
    </w:p>
    <w:p>
      <w:pPr>
        <w:spacing w:after="0" w:line="2" w:lineRule="exact"/>
        <w:rPr>
          <w:sz w:val="20"/>
          <w:szCs w:val="20"/>
          <w:color w:val="auto"/>
        </w:rPr>
      </w:pPr>
    </w:p>
    <w:p>
      <w:pPr>
        <w:ind w:left="680" w:right="20" w:firstLine="599"/>
        <w:spacing w:after="0" w:line="273" w:lineRule="auto"/>
        <w:rPr>
          <w:sz w:val="20"/>
          <w:szCs w:val="20"/>
          <w:color w:val="auto"/>
        </w:rPr>
      </w:pPr>
      <w:r>
        <w:rPr>
          <w:rFonts w:ascii="Arial" w:cs="Arial" w:eastAsia="Arial" w:hAnsi="Arial"/>
          <w:sz w:val="13"/>
          <w:szCs w:val="13"/>
          <w:color w:val="auto"/>
        </w:rPr>
        <w:t>Other expense in the fourth quarter of 2010 totaled $469 million, compared with $478 million in the year-earlier quarter. Included in such amounts are expenses considered to be “nonoperating” in nature consisting of amortization of core deposit and other intangible assets of $13 million and $17 million in the final quarters of 2010 and 2009, respectively, and merger-related expenses of $771 thousand and $6 million in the fourth quarters of 2010 and 2009, respectively. Exclusive of those nonoperating expenses, noninterest operating expenses were $455 million in each of the fourth quarters of 2010 and 2009. As compared with the fourth quarter of 2009, higher costs for professional services and advertising and promotion in the recent quarter were offset by lower expenses for salaries and employee benefits, equipment and occupancy, and other operating costs. The Company’s efficiency ratio during the fourth quarter of 2010 and 2009 was 52.5% and 52.7%, respectively. Table 24 includes a reconciliation of other expense to noninterest operating expense for each of the quarters of 2010 and 2009.</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ind w:left="680" w:right="80"/>
        <w:spacing w:after="0" w:line="249" w:lineRule="auto"/>
        <w:rPr>
          <w:sz w:val="20"/>
          <w:szCs w:val="20"/>
          <w:color w:val="auto"/>
        </w:rPr>
      </w:pPr>
      <w:r>
        <w:rPr>
          <w:rFonts w:ascii="Arial" w:cs="Arial" w:eastAsia="Arial" w:hAnsi="Arial"/>
          <w:sz w:val="14"/>
          <w:szCs w:val="14"/>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ind w:left="680" w:right="80" w:firstLine="599"/>
        <w:spacing w:after="0" w:line="268" w:lineRule="auto"/>
        <w:rPr>
          <w:sz w:val="20"/>
          <w:szCs w:val="20"/>
          <w:color w:val="auto"/>
        </w:rPr>
      </w:pPr>
      <w:r>
        <w:rPr>
          <w:rFonts w:ascii="Arial" w:cs="Arial" w:eastAsia="Arial" w:hAnsi="Arial"/>
          <w:sz w:val="13"/>
          <w:szCs w:val="13"/>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1" w:lineRule="exact"/>
        <w:rPr>
          <w:sz w:val="20"/>
          <w:szCs w:val="20"/>
          <w:color w:val="auto"/>
        </w:rPr>
      </w:pPr>
    </w:p>
    <w:p>
      <w:pPr>
        <w:ind w:left="680" w:firstLine="599"/>
        <w:spacing w:after="0" w:line="251" w:lineRule="auto"/>
        <w:rPr>
          <w:sz w:val="20"/>
          <w:szCs w:val="20"/>
          <w:color w:val="auto"/>
        </w:rPr>
      </w:pPr>
      <w:r>
        <w:rPr>
          <w:rFonts w:ascii="Arial" w:cs="Arial" w:eastAsia="Arial" w:hAnsi="Arial"/>
          <w:sz w:val="14"/>
          <w:szCs w:val="14"/>
          <w:color w:val="auto"/>
        </w:rPr>
        <w:t>The Business Banking segment provides a wide range of services to small businesses and professionals through the Company’s branch network, business banking centers and other delivery channels such as telephone banking, Internet banking and automated teller machines within markets served by the Company.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contributed net income of $99 million in 2010, 21% lower than the $124 million recorded in 2009. That decline was predominately due to a $33 million increase in the provision for credit losses, the result of increased net charge-offs of loans. Net income earned in 2008 totaled $120 million. The favorable performance in 2009 as compared with 2008 was due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140"/>
        <w:spacing w:after="0" w:line="274" w:lineRule="auto"/>
        <w:rPr>
          <w:sz w:val="20"/>
          <w:szCs w:val="20"/>
          <w:color w:val="auto"/>
        </w:rPr>
      </w:pPr>
      <w:r>
        <w:rPr>
          <w:rFonts w:ascii="Arial" w:cs="Arial" w:eastAsia="Arial" w:hAnsi="Arial"/>
          <w:sz w:val="13"/>
          <w:szCs w:val="13"/>
          <w:color w:val="auto"/>
        </w:rPr>
        <w:t>to higher net interest income of $33 million, largely attributable to higher average deposit and loan balances of $869 million and $416 million, respectively, partially offset by a $20 million increase in total noninterest expenses, reflecting higher FDIC assessments of $10 million, and an $8 million increase in the provision for credit losses, the result of higher net charge-offs of loans. Approximately three-fourths of the higher net interest income was due to the Provident transaction.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Commercial Banking segment provides a wide range of credit products and banking services for middle-market and large commercial customers, mainly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within the markets served by the Company. Services provided by this segment include commercial lending and leasing, letters of credit, deposit products, and cash</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management services. The Commercial Banking segment earned $314 million in 2010, up 31% from $239 million in 2009. The increase in net income in 2010 as compared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2009 reflects a $60 million decline in the provision for credit losses, due to lower net loan charge-offs, as well as a $51 million rise in net interest income, due to 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 billion increase in average deposit balances and a 26 basis point widening of the net interest margin on loans. Net income contributed by this segment in 2008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$213 million. The higher net income in 2009 as compared with 2008 reflects a $98 million increase in net interest income, primarily due to a $3.0 billion increase in average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deposit balances. Approximately 15% of the increase in net interest income was due to the Provident acquisition. Partially offsetting that increase were a $31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increase in the provision for credit losses, predominately due to higher net charge-offs of loans, and a $15 million rise in FDIC assessments.</w:t>
      </w:r>
    </w:p>
    <w:p>
      <w:pPr>
        <w:spacing w:after="0" w:line="6"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Net income for the Commercial Real Estate segment improved 31% to $203 million in 2010 from $155 million in 2009. Factors contributing to the significant rise in net income include: a $39 million decline in the provision for credit losses, mainly due to lower net charge-offs of loans; a $38 million increase in net interest income; and higher revenues from mortgage banking activities of $13 million, the result of increased loan origination and sales activities. The rise in net interest income was attributable to a 28 basis point expansion of the net interest margin on loans and increases in average deposit and loan balances of $430 million and $249 million, respectively, partially offset by a 57 basis point narrowing of the net interest margin on deposits. Partially offsetting the favorable factors were higher noninterest expenses, which include increased personnel-related costs and foreclosure-related expenses of $8 million and $5 million, respectively. In 2008, net income for the Commercial Real Estate segment was $164 million. Factors contributing to the 5% decline in net income in 2009 when compared with 2008 were a $69 million increase in the provision for credit losses, primarily due to higher net charge-offs of loans, and higher noninterest expenses of $15 million, including increased FDIC assessments of $4 million. Those increased costs were partially offset by higher net interest income of $59 million, largely attributable to higher average loan and deposit balances of $1.4 billion and $489 million, respectively, and an 18 basis point widening of the net interest margin on loans. Approximately one-half of the increase in net interest income was due to the Provident acquisition.</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Discretionary Portfolio segment includes investment and trading securities, residential mortgage loans and other assets; short-term and long-term borrowed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funds; brokered certificates of deposit and interest rate swap agreements related thereto; and Cayman Islands branch deposits. This segment also provides foreign exchange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services to customers. Included in the assets of the Discretionary Portfolio segment are most of the investment securities for which the Company has recognized</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other-than-temporary impairment charges in each of the last three years and the portfolio of Alt-A mortgage loans. The Discretionary Portfolio segment incurred net losses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$39 million, $28 million and $48 million in 2010, 2009 and 2008, respectively. Included in this segment’s results were other-than-temporary impairment charges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$74 million in 2010, $138 million in 2009 and $182 million in 2008. The impairment charges recorded in 2010 and 2009 predominately related to privately issued CMOs,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while the 2008 impairment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charges were largely from the Company’s holdings of preferred stock issuances of Fannie Mae and Freddie Mac. In addition to the impact of impairment charges, the higher net loss incurred in 2010 as compared with 2009 reflects a decrease in net interest income of $114 million, resulting from a 42 basis point narrowing of this segment’s net interest margin, offset, in part, by a $27 million reduction in the provision for credit losses, due to lower net charge-offs of loans. Factors contributing to this segment’s lower net loss in 2009 as compared with 2008 were a $44 million decline in other-than-temporary impairment charges, the impact of a partial reversal of the valuation allowance for capitalized residential mortgage servicing rights of $6 million in 2009, compared with an addition to the valuation allowance of $6 million in 2008, and lower foreclosure-related costs of $10 million. Partially offsetting those favorable factors were a $14 million increase in the provision for credit losses, driven by higher net charge-offs, and a $7 million decline in net interest income, reflecting lower average balances of investment securities and loans of $529 million and $290 million, respectively.</w:t>
      </w:r>
    </w:p>
    <w:p>
      <w:pPr>
        <w:spacing w:after="0" w:line="2"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Residential Mortgage Banking segment originates and services residential mortgage loans and sells substantially all of those loans in the secondary market to investors or to the Discretionary Portfolio segment. This segment also originates and services loans to developers of residential real estate properties, although that origination activity has been significantly curtailed. In addition to the geographic regions served by or contiguous with the Company’s branch network, the Company maintains mortgage loan origination offices in several states throughout the western United States. The Company also periodically purchases the rights to service mortgage loans. Residential mortgage loans held for sale are included in this segment. This segment recorded net income of $11 million in 2010, compared with net losses of</w:t>
      </w:r>
    </w:p>
    <w:p>
      <w:pPr>
        <w:spacing w:after="0" w:line="1" w:lineRule="exact"/>
        <w:rPr>
          <w:sz w:val="20"/>
          <w:szCs w:val="20"/>
          <w:color w:val="auto"/>
        </w:rPr>
      </w:pPr>
    </w:p>
    <w:p>
      <w:pPr>
        <w:ind w:left="680" w:right="80"/>
        <w:spacing w:after="0" w:line="268" w:lineRule="auto"/>
        <w:rPr>
          <w:sz w:val="20"/>
          <w:szCs w:val="20"/>
          <w:color w:val="auto"/>
        </w:rPr>
      </w:pPr>
      <w:r>
        <w:rPr>
          <w:rFonts w:ascii="Arial" w:cs="Arial" w:eastAsia="Arial" w:hAnsi="Arial"/>
          <w:sz w:val="13"/>
          <w:szCs w:val="13"/>
          <w:color w:val="auto"/>
        </w:rPr>
        <w:t>$13 million and $48 million in 2009 and 2008, respectively. The net losses incurred in 2009 and 2008 reflect significant net charge-offs of loans to builders and developers of residential real estate. The improvement of this segment’s results in 2010 as compared with 2009 was attributable to the following: a $49 million reduction in the provision for credit losses, including a decline in net charge-offs of loans to builders and developers of residential real estate; lower foreclosure-related expenses of</w:t>
      </w:r>
    </w:p>
    <w:p>
      <w:pPr>
        <w:ind w:left="680"/>
        <w:spacing w:after="0" w:line="268" w:lineRule="auto"/>
        <w:rPr>
          <w:sz w:val="20"/>
          <w:szCs w:val="20"/>
          <w:color w:val="auto"/>
        </w:rPr>
      </w:pPr>
      <w:r>
        <w:rPr>
          <w:rFonts w:ascii="Arial" w:cs="Arial" w:eastAsia="Arial" w:hAnsi="Arial"/>
          <w:sz w:val="13"/>
          <w:szCs w:val="13"/>
          <w:color w:val="auto"/>
        </w:rPr>
        <w:t>$20 million, the result of updated appraised values on certain previously foreclosed-upon residential real estate development projects in 2009; and an $8 million decrease in personnel-related expenses. Partially offsetting those favorable factors were a $16 million partial reversal of the capitalized mortgage servicing rights valuation allowance in 2009 (as compared with no change in such allowance in 2010) and a decline in revenues relating to residential mortgage origination and sales activities of $19 million. The lower residential mortgage revenues in 2010 reflect lower origination volumes and increased settlements related to the Company’s obligation to repurchase previously sold loans. The lower net loss in 2009 as compared with 2008 was due to: a $55 million rise in noninterest revenues from residential mortgage loan origination activities, due to increased volume and wider margins; the impact of a partial reversal of the capitalized mortgage servicing rights valuation allowance of $16 million in 2009, compared with a $10 million addition to such allowance in 2008; and a $13 million increase in net interest income, partly due to a 68 basis point widening of the net interest margin on loans. A rise in total noninterest expenses of $43 million (excluding the capitalized mortgage servicing rights valuation allowance reversal), reflecting higher foreclosure-related costs of $23 million, partially offset those favorable factors.</w:t>
      </w:r>
    </w:p>
    <w:p>
      <w:pPr>
        <w:spacing w:after="0" w:line="1"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Delaware and New Jersey. The Retail Banking segment also offers certain deposit products on a nationwide basis through the delivery channels of M&amp;T Bank, N.A.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contributed by the Retail Banking segment aggregated $225 million in 2010, down from $237 million in 2009. Lower net interest income of $39 million, the result of a 25 basis point narrowing of the net interest margin on deposits, and an $8 million rise in net occupancy expenses contributed to the decline in net income. Those factors were partially offset by a decrease in the provision for credit losses of $21 million (due to lower net charge-offs of loans), a decline in FDIC assessments of $7 million, and higher fees earned for</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jc w:val="both"/>
        <w:ind w:left="680" w:right="340"/>
        <w:spacing w:after="0" w:line="274" w:lineRule="auto"/>
        <w:rPr>
          <w:sz w:val="20"/>
          <w:szCs w:val="20"/>
          <w:color w:val="auto"/>
        </w:rPr>
      </w:pPr>
      <w:r>
        <w:rPr>
          <w:rFonts w:ascii="Arial" w:cs="Arial" w:eastAsia="Arial" w:hAnsi="Arial"/>
          <w:sz w:val="13"/>
          <w:szCs w:val="13"/>
          <w:color w:val="auto"/>
        </w:rPr>
        <w:t>providing deposit account services of $5 million. Net income for this segment decreased 5% in 2009 from the $250 million earned in 2008. Factors contributing to that decline included: a $42 million increase in FDIC assessments; a rise in the provision for credit losses of $32 million, resulting from higher net charge-offs of consumer loans; and increases in personnel and net occupancy costs of $17 million and $16 million, respectively, related to the operations added with the Provident acquisition.</w:t>
      </w:r>
    </w:p>
    <w:p>
      <w:pPr>
        <w:spacing w:after="0" w:line="1"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Partially offsetting those unfavorable factors were a $48 million increase in net interest income and a $34 million rise in fees earned for providing deposit account services to Provident customers. The higher net interest income was due to a $2.4 billion increase in average deposit balances (approximately 60 percent of which was due to the impact of the Provident acquisition) and a 26 basis point widening of the net interest margin on loans, offset, in part, by a 26 basis point narrowing of the deposit net interest margin.</w:t>
      </w:r>
    </w:p>
    <w:p>
      <w:pPr>
        <w:ind w:left="680" w:right="40" w:firstLine="599"/>
        <w:spacing w:after="0" w:line="270" w:lineRule="auto"/>
        <w:rPr>
          <w:sz w:val="20"/>
          <w:szCs w:val="20"/>
          <w:color w:val="auto"/>
        </w:rPr>
      </w:pPr>
      <w:r>
        <w:rPr>
          <w:rFonts w:ascii="Arial" w:cs="Arial" w:eastAsia="Arial" w:hAnsi="Arial"/>
          <w:sz w:val="13"/>
          <w:szCs w:val="13"/>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various components of the “All Other” category resulted in net losses of $78 million, $335 million and $95 million in 2010, 2009 and 2008, respectively. The improved performance in 2010 as compared with 2009 was largely due to the favorable impact from the Company’s allocation methodologies for internal transfers for funding charges and credits associated with the earning assets and interest-bearing liabilities of the Company’s reportable segments and the provision for credit losses and a net merger-related gain in 2010 of $27 million, compared with net merger-related expenses in 2009 totaling $60 million. The following unfavorable factors contributed to the higher net loss in 2009 as compared with 2008: the impact from the Company’s allocation methodologies for internal transfers for funding charges and credits associated with the earning assets and interest-bearing liabilities of the Company’s reportable segments and the provision for credit losses; $60 million of net merger-related expenses associated with the Provident and Bradford acquisitions recorded in 2009, compared with $4 million of merger-related expenses in 2008 related to acquisition transactions completed in the fourth quarter of 2007; Visa-related transactions that were recorded in the first quarter of 2008, including a $33 million gain realized from the mandatory partial redemption of Visa stock owned by M&amp;T Bank and $15 million related to the reversal of Visa litigation-related accruals initially recorded in 2007’s fourth quarter; increased personnel costs associated with the business and support units included in the “All Other” category of $35 million, including higher costs for medical, pension and post-retirement benefits; the impact of a $40 million reduction of income tax expense recorded in 2008’s third quarter relating to M&amp;T’s resolution of certain tax issues from its activities in various jurisdictions during the years 1999-2007; lower trust income of $28 million; a $16 million increase in FDIC assessments; and a $6 million increase in charitable contributions made to the M&amp;T Charitable Foundation. A $13 million (pre-tax) improvement from M&amp;T’s share of the operating results of BLG (inclusive of interest expense to fund that investment) partially offset the favorable factors.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Accounting Developments</w:t>
      </w:r>
    </w:p>
    <w:p>
      <w:pPr>
        <w:spacing w:after="0" w:line="22"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became effective as of January 1, 2010.</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Also in June 2009, the FASB issued amended accounting guidance relating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 discussed in the previous paragraph.</w:t>
      </w:r>
    </w:p>
    <w:p>
      <w:pPr>
        <w:spacing w:after="0" w:line="2"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Effective January 1, 2010, the Company included in its consolidated financial statements one-to-four family residential mortgage loans that were included in two separate non-recourse securitization transactions using qualified special-purpose trusts. The effect of that consolidation was to increase loans receivable by $424 million, decrease the amortized cost of available-for-sale investment securities by $360 million (fair value of $355 million), and increase borrowings by $65 million as of January 1, 2010. Information concerning these securitization transactions is included in note 19 of Notes to Financial Statements.</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In January 2010, the FASB amended fair value measurement and disclosure guidance to require disclosure of significant transfers in and out of Level 1 and Level 2 fair value measurements and the reasons for the transfers and to require separate presentation of information about purchases, sales, issuances and settlements in the rollforward of activity in Level 3 fair value measurements. The amended guidance also clarifies existing requirements that (i) fair value measurement disclosures should be disaggregated for each class of asset and liability and (ii) disclosures about valuation techniques and inputs for both recurring and nonrecurring Level 2 and Level 3 fair value measurements should be provided. The guidance is effective for interim and annual periods beginning after December 15, 2009, except for the disclosures about purchases, sales, issuances and settlements in the rollforward of activity in Level 3 fair value measurements, which are effective for fiscal years beginning after December 15, 2010 and for interim periods within those years. The adoption of this guidance did not impact the Company’s financial position or results of operations.</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In March 2010, the FASB amended accounting guidance relating to a scope exception for derivative accounting to clarify that only embedded credit derivative features related to the transfer of credit risk in the form of subordination of one financial instrument to another should not be analyzed for potential bifurcation from the host contract and separate accounting as a derivative. Embedded credit derivative features in a form other than subordination do not qualify for the scope exception, even if their effects are allocated according to subordination provisions. The guidance was effective at the beginning of the first quarter beginning after June 15, 2010. The adoption of this guidance did not have a significant impact on the reporting of the Company’s financial position or results of operations.</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In April 2010, the FASB issued amended accounting guidance relating to the effect of a loan modification when the loan is part of a pool that is accounted for as a single asset under the guidance for loans and debt securities acquired with deteriorated credit quality. The amended guidance requires modifications of loans that are accounted for within a pool to remain in the pool even if the modification would be considered a troubled debt restructuring. Companies are required to continue to review the pool of assets in which the modified loan is included to determine whether the pool is impaired if the expected cash flows for the pool change. The guidance was effective for prospective modifications of loans accounted for within pools occurring in the first interim or annual period ending on or after July 15, 2010. The adoption of this guidance did not have a significant impact on the reporting of the Company’s financial position or results of operations.</w:t>
      </w:r>
    </w:p>
    <w:p>
      <w:pPr>
        <w:spacing w:after="0" w:line="1" w:lineRule="exact"/>
        <w:rPr>
          <w:sz w:val="20"/>
          <w:szCs w:val="20"/>
          <w:color w:val="auto"/>
        </w:rPr>
      </w:pPr>
    </w:p>
    <w:p>
      <w:pPr>
        <w:ind w:left="680" w:right="300" w:firstLine="599"/>
        <w:spacing w:after="0" w:line="253" w:lineRule="auto"/>
        <w:rPr>
          <w:sz w:val="20"/>
          <w:szCs w:val="20"/>
          <w:color w:val="auto"/>
        </w:rPr>
      </w:pPr>
      <w:r>
        <w:rPr>
          <w:rFonts w:ascii="Arial" w:cs="Arial" w:eastAsia="Arial" w:hAnsi="Arial"/>
          <w:sz w:val="14"/>
          <w:szCs w:val="14"/>
          <w:color w:val="auto"/>
        </w:rPr>
        <w:t>In July 2010, the FASB issued amended disclosure guidance relating to credit risk inherent in an entity’s portfolio of financing receivables and the related allowance for credit losses. The amended disclosures are required at two disaggregated levels. One level of disaggregation is the portfolio segment which represents the level at which an entity develops and documents a systematic method for determining its allowance for credit losses. The second level of disaggregation is the class of financing receivables which generally represents a disaggregation of a portfolio segment. The amended disclosures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include a rollforward of the allowance for credit losses by portfolio segment with the ending balance further disaggregated on the basis of the impairment method, the related recorded investment in each portfolio segment, the nonaccrual status of financing receivables by class, the impaired financing receivables by class, the credit quality indicators of financing receivables at the end of the reporting period by class, the aging of past due financing receivables at the end of the reporting period by class, the nature and extent of troubled debt restructurings that occurred during the period by class and their effect on the allowance for credit losses, the nature and extent of financing receivables modified as troubled debt restructurings within the previous twelve months that defaulted during the reporting period by class and their effect on the allowance for credit losses, and the significant purchases and sales of financing receivables during the reporting period by portfolio segment. The disclosures as of the end of a reporting period are effective for interim and annual reporting periods ending on or after December 15, 2010 and the disclosures about activity that occurs during a reporting period are effective for interim and annual reporting periods beginning on or after December 15, 2010. Upon initial application, the disclosures are not required for earlier periods that are presented for comparative purposes. The Company has complied with the disclosures required as of December 31, 2010 and intends to comply with the remaining disclosure requirements when they become effective.</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In October 2010, the FASB issued amended accounting guidance relating to the goodwill impairment test for reporting units with zero or negative carrying amounts. For those reporting units with zero or negative carrying amounts, an entity is required to perform “Step Two”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guidance is effective for fiscal years, and interim periods within those years, beginning after December 15, 2010. The Company does not anticipate that the adoption of this guidance will have a significant impact on the reporting of its financial position or results of its operations.</w:t>
      </w:r>
    </w:p>
    <w:p>
      <w:pPr>
        <w:ind w:left="680" w:right="100" w:firstLine="599"/>
        <w:spacing w:after="0" w:line="276" w:lineRule="auto"/>
        <w:rPr>
          <w:sz w:val="20"/>
          <w:szCs w:val="20"/>
          <w:color w:val="auto"/>
        </w:rPr>
      </w:pPr>
      <w:r>
        <w:rPr>
          <w:rFonts w:ascii="Arial" w:cs="Arial" w:eastAsia="Arial" w:hAnsi="Arial"/>
          <w:sz w:val="13"/>
          <w:szCs w:val="13"/>
          <w:color w:val="auto"/>
        </w:rPr>
        <w:t>In December 2010, the FASB issued amended disclosure guidance relating to the pro forma information for business combinations that occurred in the current reporting period. The amended disclosure states that if an entity presents comparative financial statements, the entity should disclose revenue and earnings of the combined entity as though the business combination(s) that occurred during the current year had occurred as of the beginning of the comparable prior annual reporting period. The guidance is effective prospectively for business combinations for which the acquisition date is on or after the beginning of the first annual reporting period beginning on or after December 15, 2010. The Company intends to comply with the disclosure requirements when they become effective.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Forward-Looking Statements</w:t>
      </w:r>
    </w:p>
    <w:p>
      <w:pPr>
        <w:spacing w:after="0" w:line="22"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ind w:left="680" w:right="20" w:firstLine="599"/>
        <w:spacing w:after="0" w:line="273" w:lineRule="auto"/>
        <w:rPr>
          <w:sz w:val="20"/>
          <w:szCs w:val="20"/>
          <w:color w:val="auto"/>
        </w:rPr>
      </w:pPr>
      <w:r>
        <w:rPr>
          <w:rFonts w:ascii="Arial" w:cs="Arial" w:eastAsia="Arial" w:hAnsi="Arial"/>
          <w:sz w:val="13"/>
          <w:szCs w:val="13"/>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color w:val="auto"/>
        </w:rPr>
        <w:t>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jc w:val="both"/>
        <w:ind w:left="680" w:right="100" w:firstLine="599"/>
        <w:spacing w:after="0" w:line="285" w:lineRule="auto"/>
        <w:rPr>
          <w:sz w:val="20"/>
          <w:szCs w:val="20"/>
          <w:color w:val="auto"/>
        </w:rPr>
      </w:pPr>
      <w:r>
        <w:rPr>
          <w:rFonts w:ascii="Arial" w:cs="Arial" w:eastAsia="Arial" w:hAnsi="Arial"/>
          <w:sz w:val="13"/>
          <w:szCs w:val="13"/>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23</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QUARTERLY TRENDS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2010</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2009</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5280" w:type="dxa"/>
            <w:vAlign w:val="bottom"/>
          </w:tcPr>
          <w:p>
            <w:pPr>
              <w:spacing w:after="0" w:line="88" w:lineRule="exact"/>
              <w:rPr>
                <w:sz w:val="20"/>
                <w:szCs w:val="20"/>
                <w:color w:val="auto"/>
              </w:rPr>
            </w:pPr>
            <w:r>
              <w:rPr>
                <w:rFonts w:ascii="Arial" w:cs="Arial" w:eastAsia="Arial" w:hAnsi="Arial"/>
                <w:sz w:val="9"/>
                <w:szCs w:val="9"/>
                <w:b w:val="1"/>
                <w:bCs w:val="1"/>
                <w:color w:val="auto"/>
              </w:rPr>
              <w:t>Earnings and dividends</w:t>
            </w: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First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jc w:val="right"/>
              <w:ind w:right="54"/>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29"/>
        </w:trPr>
        <w:tc>
          <w:tcPr>
            <w:tcW w:w="5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Amounts in thousands, except per share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Interest income (taxable-equivalent basis)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688,855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691,765</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690,889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682,309</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698,556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706,388</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682,637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659,445</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Interest expense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108,628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116,032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117,557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120,052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133,950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152,938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175,856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206,705</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interest income</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580,227</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575,733</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573,332</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ind w:left="40"/>
              <w:spacing w:after="0" w:line="98" w:lineRule="exact"/>
              <w:rPr>
                <w:sz w:val="20"/>
                <w:szCs w:val="20"/>
                <w:color w:val="auto"/>
              </w:rPr>
            </w:pPr>
            <w:r>
              <w:rPr>
                <w:rFonts w:ascii="Arial" w:cs="Arial" w:eastAsia="Arial" w:hAnsi="Arial"/>
                <w:sz w:val="9"/>
                <w:szCs w:val="9"/>
                <w:color w:val="auto"/>
                <w:w w:val="79"/>
              </w:rPr>
              <w:t>562,257</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564,606</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553,450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506,781</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452,740</w:t>
            </w: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Less: provision for credit losses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85,000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93,000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85,000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105,000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145,000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154,000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147,000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158,000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Other income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286,938</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289,899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273,557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257,706</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265,890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278,226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271,649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232,341</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Less: other expense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469,274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480,133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476,068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489,362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478,451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500,056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563,710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438,346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Income before income taxes</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312,891</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292,499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285,821</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ind w:left="40"/>
              <w:spacing w:after="0" w:line="98" w:lineRule="exact"/>
              <w:rPr>
                <w:sz w:val="20"/>
                <w:szCs w:val="20"/>
                <w:color w:val="auto"/>
              </w:rPr>
            </w:pPr>
            <w:r>
              <w:rPr>
                <w:rFonts w:ascii="Arial" w:cs="Arial" w:eastAsia="Arial" w:hAnsi="Arial"/>
                <w:sz w:val="9"/>
                <w:szCs w:val="9"/>
                <w:color w:val="auto"/>
                <w:w w:val="79"/>
              </w:rPr>
              <w:t>225,601</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207,045</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177,620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67,720</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88,735</w:t>
            </w: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Applicable income taxes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102,319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94,619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90,967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68,723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64,340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44,161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11,318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19,581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Taxable-equivalent adjustment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6,130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5,865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6,105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5,923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5,887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5,795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5,214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4,933</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204,442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192,015</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188,749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150,955</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136,818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127,664</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51,188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64,221</w:t>
            </w:r>
          </w:p>
        </w:tc>
      </w:tr>
      <w:tr>
        <w:trPr>
          <w:trHeight w:val="108"/>
        </w:trPr>
        <w:tc>
          <w:tcPr>
            <w:tcW w:w="5280" w:type="dxa"/>
            <w:vAlign w:val="bottom"/>
          </w:tcPr>
          <w:p>
            <w:pPr>
              <w:spacing w:after="0"/>
              <w:rPr>
                <w:sz w:val="20"/>
                <w:szCs w:val="20"/>
                <w:color w:val="auto"/>
              </w:rPr>
            </w:pPr>
            <w:r>
              <w:rPr>
                <w:rFonts w:ascii="Arial" w:cs="Arial" w:eastAsia="Arial" w:hAnsi="Arial"/>
                <w:sz w:val="9"/>
                <w:szCs w:val="9"/>
                <w:color w:val="auto"/>
              </w:rPr>
              <w:t>Net income available to common shareholders-diluted</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189,678</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2"/>
              </w:rPr>
              <w:t>176,789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173,597</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9"/>
                <w:szCs w:val="9"/>
                <w:color w:val="auto"/>
                <w:w w:val="79"/>
              </w:rPr>
              <w:t>136,431</w:t>
            </w:r>
          </w:p>
        </w:tc>
        <w:tc>
          <w:tcPr>
            <w:tcW w:w="2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122,910</w:t>
            </w:r>
          </w:p>
        </w:tc>
        <w:tc>
          <w:tcPr>
            <w:tcW w:w="20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2"/>
              </w:rPr>
              <w:t>113,894</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40,516</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54,618</w:t>
            </w:r>
          </w:p>
        </w:tc>
        <w:tc>
          <w:tcPr>
            <w:tcW w:w="100" w:type="dxa"/>
            <w:vAlign w:val="bottom"/>
          </w:tcPr>
          <w:p>
            <w:pPr>
              <w:spacing w:after="0"/>
              <w:rPr>
                <w:sz w:val="9"/>
                <w:szCs w:val="9"/>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Per common share data</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 earnings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1.49</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1.47</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1.16</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.97</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 earnings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.49</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common shares outstanding</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118,613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118,320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118,054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117,765</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117,506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117,370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113,218</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110,439</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119,503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119,155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118,878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118,256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117,672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117,547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113,521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110,439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Performance ratios, annualized</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Return on</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assets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1.18%</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1.12%</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1.11%</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.89%</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.73%</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.31%</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.40%</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common shareholders’ equity</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10.03%</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9.56%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9.67%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7.86%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7.09%</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6.72%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2.53%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3.61%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interest margin on average earning assets (taxable-equivalent basis)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3.85%</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3.87%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3.84%</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3.78%</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3.71%</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3.61%</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3.43%</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3.19%</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Nonaccrual loans to total 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2.38%</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2.16%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2.60%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2.56%</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2.35%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2.05%</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54.08%</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54.95%</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54.77%</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57.82%</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54.62%</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57.21%</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61.93%</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60.82%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Net operating (tangible) results(b)</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operating income (in thousands)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196,235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200,225</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197,752</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160,953</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150,776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128,761</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100,805</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75,034</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Diluted net operating income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1.55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Annualized return 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1.20%</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1.24%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1.23%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1.00%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.92%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.78%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.64%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tangible common shareholders’ equity</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18.43%</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19.58%</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20.36%</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17.34%</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16.73%</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14.87%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12.08%</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9.36%</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52.55%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53.40%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53.06%</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55.88%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52.69%</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55.21%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60.03%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58.68%</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Balance sheet data</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In millions, except per share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Average balances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68,502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67,811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68,334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68,883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68,919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69,154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66,984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64,766</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64,869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64,167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64,679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65,216</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65,240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65,462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63,500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61,420</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59,737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59,066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59,811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60,331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60,451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60,900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59,297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57,509</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7,541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7,993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8,376</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8,172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8,197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8,420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8,508</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8,490</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51,141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50,835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51,278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51,948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52,087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52,320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50,554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48,824</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49,271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47,530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47,932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47,394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47,365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46,720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43,846</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41,487</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Common shareholders’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7,582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7,444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7,302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7,136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6,957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6,794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6,491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6,212</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Tangible common shareholders’ equity(c)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3,949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3,800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3,647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3,469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3,278</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3,102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3,007</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2,866</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At end of quarter</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68,021</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68,247</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68,154</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68,439</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68,880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68,997</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69,913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64,883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64,393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64,609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64,505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64,778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65,208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65,312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66,215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61,544</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59,434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59,388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59,368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59,741</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59,928</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59,993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61,044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56,823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7,151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7,663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8,098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8,105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7,781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7,634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8,155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7,687</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51,990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50,792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51,061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51,444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51,937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52,204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52,715</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48,918</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49,805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48,655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47,523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47,538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47,450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46,862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46,755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42,477</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Common shareholders’ equity, net of undeclared preferred dividends(c)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7,611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7,488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7,360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7,177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7,017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6,879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6,669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6,329</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common shareholders’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3,983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3,850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3,711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3,516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3,345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2,971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2,990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Equity per common share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63.54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62.69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61.77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60.40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59.31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58.22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56.51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56.95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equity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33.26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32.23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29.59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28.27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27.03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25.17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26.90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Market price per common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High</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87.87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95.00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96.15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85.00</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69.89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67.46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61.87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59.08</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Low</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72.03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81.08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74.11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66.32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59.09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50.33</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43.50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29.11</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Closing</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87.05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81.81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84.95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79.38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66.89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62.32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50.93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32"/>
        </w:numPr>
        <w:rPr>
          <w:rFonts w:ascii="Arial" w:cs="Arial" w:eastAsia="Arial" w:hAnsi="Arial"/>
          <w:sz w:val="9"/>
          <w:szCs w:val="9"/>
          <w:i w:val="1"/>
          <w:iCs w:val="1"/>
          <w:color w:val="auto"/>
        </w:rPr>
      </w:pPr>
      <w:r>
        <w:rPr>
          <w:rFonts w:ascii="Arial" w:cs="Arial" w:eastAsia="Arial" w:hAnsi="Arial"/>
          <w:sz w:val="9"/>
          <w:szCs w:val="9"/>
          <w:i w:val="1"/>
          <w:iCs w:val="1"/>
          <w:color w:val="auto"/>
        </w:rPr>
        <w:t>Excludes impact of merger-related gains and expenses and net securities transactions.</w:t>
      </w:r>
    </w:p>
    <w:p>
      <w:pPr>
        <w:spacing w:after="0" w:line="2" w:lineRule="exact"/>
        <w:rPr>
          <w:rFonts w:ascii="Arial" w:cs="Arial" w:eastAsia="Arial" w:hAnsi="Arial"/>
          <w:sz w:val="9"/>
          <w:szCs w:val="9"/>
          <w:i w:val="1"/>
          <w:iCs w:val="1"/>
          <w:color w:val="auto"/>
        </w:rPr>
      </w:pPr>
    </w:p>
    <w:p>
      <w:pPr>
        <w:ind w:left="1000" w:right="180" w:hanging="313"/>
        <w:spacing w:after="0" w:line="227" w:lineRule="auto"/>
        <w:tabs>
          <w:tab w:leader="none" w:pos="1000" w:val="left"/>
        </w:tabs>
        <w:numPr>
          <w:ilvl w:val="0"/>
          <w:numId w:val="32"/>
        </w:numPr>
        <w:rPr>
          <w:rFonts w:ascii="Arial" w:cs="Arial" w:eastAsia="Arial" w:hAnsi="Arial"/>
          <w:sz w:val="9"/>
          <w:szCs w:val="9"/>
          <w:i w:val="1"/>
          <w:iCs w:val="1"/>
          <w:color w:val="auto"/>
        </w:rPr>
      </w:pPr>
      <w:r>
        <w:rPr>
          <w:rFonts w:ascii="Arial" w:cs="Arial" w:eastAsia="Arial" w:hAnsi="Arial"/>
          <w:sz w:val="9"/>
          <w:szCs w:val="9"/>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24.</w:t>
      </w:r>
    </w:p>
    <w:p>
      <w:pPr>
        <w:ind w:left="1000" w:right="120" w:hanging="313"/>
        <w:spacing w:after="0" w:line="238" w:lineRule="auto"/>
        <w:tabs>
          <w:tab w:leader="none" w:pos="1000" w:val="left"/>
        </w:tabs>
        <w:numPr>
          <w:ilvl w:val="0"/>
          <w:numId w:val="32"/>
        </w:numPr>
        <w:rPr>
          <w:rFonts w:ascii="Arial" w:cs="Arial" w:eastAsia="Arial" w:hAnsi="Arial"/>
          <w:sz w:val="9"/>
          <w:szCs w:val="9"/>
          <w:i w:val="1"/>
          <w:iCs w:val="1"/>
          <w:color w:val="auto"/>
        </w:rPr>
      </w:pPr>
      <w:r>
        <w:rPr>
          <w:rFonts w:ascii="Arial" w:cs="Arial" w:eastAsia="Arial" w:hAnsi="Arial"/>
          <w:sz w:val="9"/>
          <w:szCs w:val="9"/>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24.</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24</w:t>
      </w:r>
    </w:p>
    <w:p>
      <w:pPr>
        <w:spacing w:after="0" w:line="252"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RECONCILIATION OF QUARTERLY GAAP TO NON-GAAP MEASURES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2010</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2009</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5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jc w:val="right"/>
              <w:ind w:right="54"/>
              <w:spacing w:after="0" w:line="88" w:lineRule="exact"/>
              <w:rPr>
                <w:sz w:val="20"/>
                <w:szCs w:val="20"/>
                <w:color w:val="auto"/>
              </w:rPr>
            </w:pPr>
            <w:r>
              <w:rPr>
                <w:rFonts w:ascii="Arial" w:cs="Arial" w:eastAsia="Arial" w:hAnsi="Arial"/>
                <w:sz w:val="9"/>
                <w:szCs w:val="9"/>
                <w:b w:val="1"/>
                <w:bCs w:val="1"/>
                <w:color w:val="auto"/>
              </w:rPr>
              <w:t>First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jc w:val="right"/>
              <w:ind w:right="54"/>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29"/>
        </w:trPr>
        <w:tc>
          <w:tcPr>
            <w:tcW w:w="5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Income statement data</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i w:val="1"/>
                <w:iCs w:val="1"/>
                <w:color w:val="auto"/>
              </w:rPr>
              <w:t>In thousands, except per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Net income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204,442</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192,015</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188,749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150,955</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136,818</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127,664</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51,188</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64,221</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8,054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8,210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9,003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9,998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10,152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10,270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9,247</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9,337</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Merger-related gains(a)</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(16,730)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(17,684)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Merger-related expenses(a)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469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3,806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8,511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40,370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1,476</w:t>
            </w:r>
          </w:p>
        </w:tc>
      </w:tr>
      <w:tr>
        <w:trPr>
          <w:trHeight w:val="112"/>
        </w:trPr>
        <w:tc>
          <w:tcPr>
            <w:tcW w:w="5280" w:type="dxa"/>
            <w:vAlign w:val="bottom"/>
          </w:tcPr>
          <w:p>
            <w:pPr>
              <w:spacing w:after="0" w:line="98" w:lineRule="exact"/>
              <w:rPr>
                <w:sz w:val="20"/>
                <w:szCs w:val="20"/>
                <w:color w:val="auto"/>
              </w:rPr>
            </w:pPr>
            <w:r>
              <w:rPr>
                <w:rFonts w:ascii="Arial" w:cs="Arial" w:eastAsia="Arial" w:hAnsi="Arial"/>
                <w:sz w:val="9"/>
                <w:szCs w:val="9"/>
                <w:color w:val="auto"/>
              </w:rPr>
              <w:t>Net operating income</w:t>
            </w: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196,235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200,225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197,752</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160,953</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150,776</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128,761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100,805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75,034</w:t>
            </w:r>
          </w:p>
        </w:tc>
        <w:tc>
          <w:tcPr>
            <w:tcW w:w="100" w:type="dxa"/>
            <w:vAlign w:val="bottom"/>
          </w:tcPr>
          <w:p>
            <w:pPr>
              <w:spacing w:after="0"/>
              <w:rPr>
                <w:sz w:val="9"/>
                <w:szCs w:val="9"/>
                <w:color w:val="auto"/>
              </w:rPr>
            </w:pPr>
          </w:p>
        </w:tc>
      </w:tr>
      <w:tr>
        <w:trPr>
          <w:trHeight w:val="103"/>
        </w:trPr>
        <w:tc>
          <w:tcPr>
            <w:tcW w:w="52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Earnings per common share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Diluted earnings per common share</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1.59</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1.48</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1.15</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1.04</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.97</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.09</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Merger-related gains(a)</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(.15)</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Merger-related expenses(a)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.01</w:t>
            </w:r>
          </w:p>
        </w:tc>
      </w:tr>
      <w:tr>
        <w:trPr>
          <w:trHeight w:val="112"/>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Diluted net operating earnings per common share</w:t>
            </w: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1.52</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1.23</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1.16</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.79</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w:t>
            </w:r>
          </w:p>
        </w:tc>
        <w:tc>
          <w:tcPr>
            <w:tcW w:w="100" w:type="dxa"/>
            <w:vAlign w:val="bottom"/>
          </w:tcPr>
          <w:p>
            <w:pPr>
              <w:spacing w:after="0"/>
              <w:rPr>
                <w:sz w:val="9"/>
                <w:szCs w:val="9"/>
                <w:color w:val="auto"/>
              </w:rPr>
            </w:pPr>
          </w:p>
        </w:tc>
      </w:tr>
      <w:tr>
        <w:trPr>
          <w:trHeight w:val="103"/>
        </w:trPr>
        <w:tc>
          <w:tcPr>
            <w:tcW w:w="52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Other expense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Other expense</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469,274</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480,133</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476,068</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489,362</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478,451</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500,056</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563,710</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438,346</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(13,269)</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(13,526)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(14,833)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(16,475)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(16,730)</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(16,924)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(15,231)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(15,370)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Merger-related expenses</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(771)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(6,264)</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(14,010)</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(66,457)</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(2,426)</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Noninterest operating expense</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455,234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466,607</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461,235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472,887</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455,457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469,122</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482,022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420,550</w:t>
            </w:r>
          </w:p>
        </w:tc>
      </w:tr>
      <w:tr>
        <w:trPr>
          <w:trHeight w:val="108"/>
        </w:trPr>
        <w:tc>
          <w:tcPr>
            <w:tcW w:w="5280" w:type="dxa"/>
            <w:vAlign w:val="bottom"/>
          </w:tcPr>
          <w:p>
            <w:pPr>
              <w:spacing w:after="0"/>
              <w:rPr>
                <w:sz w:val="20"/>
                <w:szCs w:val="20"/>
                <w:color w:val="auto"/>
              </w:rPr>
            </w:pPr>
            <w:r>
              <w:rPr>
                <w:rFonts w:ascii="Arial" w:cs="Arial" w:eastAsia="Arial" w:hAnsi="Arial"/>
                <w:sz w:val="9"/>
                <w:szCs w:val="9"/>
                <w:b w:val="1"/>
                <w:bCs w:val="1"/>
                <w:color w:val="auto"/>
              </w:rPr>
              <w:t>Merger-related expenses</w:t>
            </w: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Salaries and employee benefits</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870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8,768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Equipment and net occupancy</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1,845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Printing, postage and supplies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629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2,514</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Other costs of operations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646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5,105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10,666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54,594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2,110</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771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6,264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14,010</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66,457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2,426</w:t>
            </w:r>
          </w:p>
        </w:tc>
      </w:tr>
      <w:tr>
        <w:trPr>
          <w:trHeight w:val="108"/>
        </w:trPr>
        <w:tc>
          <w:tcPr>
            <w:tcW w:w="5280" w:type="dxa"/>
            <w:vAlign w:val="bottom"/>
          </w:tcPr>
          <w:p>
            <w:pPr>
              <w:spacing w:after="0"/>
              <w:rPr>
                <w:sz w:val="20"/>
                <w:szCs w:val="20"/>
                <w:color w:val="auto"/>
              </w:rPr>
            </w:pPr>
            <w:r>
              <w:rPr>
                <w:rFonts w:ascii="Arial" w:cs="Arial" w:eastAsia="Arial" w:hAnsi="Arial"/>
                <w:sz w:val="9"/>
                <w:szCs w:val="9"/>
                <w:b w:val="1"/>
                <w:bCs w:val="1"/>
                <w:color w:val="auto"/>
              </w:rPr>
              <w:t>Balance sheet data</w:t>
            </w: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In millions</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Average assets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assets</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68,502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67,811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68,334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68,883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68,919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69,154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66,984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64,766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(3,326)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(146)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(176)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(191)</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(208)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(176)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Deferred taxes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assets</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64,869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64,167</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64,679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65,216</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65,240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65,462</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63,500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61,420</w:t>
            </w:r>
          </w:p>
        </w:tc>
      </w:tr>
      <w:tr>
        <w:trPr>
          <w:trHeight w:val="108"/>
        </w:trPr>
        <w:tc>
          <w:tcPr>
            <w:tcW w:w="5280" w:type="dxa"/>
            <w:vAlign w:val="bottom"/>
          </w:tcPr>
          <w:p>
            <w:pPr>
              <w:spacing w:after="0"/>
              <w:rPr>
                <w:sz w:val="20"/>
                <w:szCs w:val="20"/>
                <w:color w:val="auto"/>
              </w:rPr>
            </w:pPr>
            <w:r>
              <w:rPr>
                <w:rFonts w:ascii="Arial" w:cs="Arial" w:eastAsia="Arial" w:hAnsi="Arial"/>
                <w:sz w:val="9"/>
                <w:szCs w:val="9"/>
                <w:b w:val="1"/>
                <w:bCs w:val="1"/>
                <w:color w:val="auto"/>
              </w:rPr>
              <w:t>Average common equity</w:t>
            </w: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total equity</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8,322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8,181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8,036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7,868</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7,686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7,521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7,127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6,780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Preferred stock</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(740)</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(737)</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(734)</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(732)</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(729)</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(727)</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(636)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(568)</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common equity</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7,582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7,444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7,302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7,136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6,957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6,794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6,491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6,212</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(3,326)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(146)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(176)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(191)</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(208)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(176)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Deferred taxes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34</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common equity</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3,949</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3,800</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3,647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3,469</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3,278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3,102</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3,007</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2,866</w:t>
            </w:r>
          </w:p>
        </w:tc>
      </w:tr>
      <w:tr>
        <w:trPr>
          <w:trHeight w:val="108"/>
        </w:trPr>
        <w:tc>
          <w:tcPr>
            <w:tcW w:w="5280" w:type="dxa"/>
            <w:vAlign w:val="bottom"/>
          </w:tcPr>
          <w:p>
            <w:pPr>
              <w:spacing w:after="0"/>
              <w:rPr>
                <w:sz w:val="20"/>
                <w:szCs w:val="20"/>
                <w:color w:val="auto"/>
              </w:rPr>
            </w:pPr>
            <w:r>
              <w:rPr>
                <w:rFonts w:ascii="Arial" w:cs="Arial" w:eastAsia="Arial" w:hAnsi="Arial"/>
                <w:sz w:val="9"/>
                <w:szCs w:val="9"/>
                <w:b w:val="1"/>
                <w:bCs w:val="1"/>
                <w:color w:val="auto"/>
              </w:rPr>
              <w:t>At end of quarter</w:t>
            </w: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Total assets</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68,021</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68,247</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68,154</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68,439</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68,880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68,997</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69,913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64,883</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Goodwill</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(126)</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(139)</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(152)</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(167)</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(199)</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(216)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(168)</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taxes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w:t>
            </w:r>
          </w:p>
        </w:tc>
      </w:tr>
      <w:tr>
        <w:trPr>
          <w:trHeight w:val="112"/>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tangible assets</w:t>
            </w: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64,393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64,609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64,505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64,778</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65,208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65,312</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66,215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61,544</w:t>
            </w:r>
          </w:p>
        </w:tc>
        <w:tc>
          <w:tcPr>
            <w:tcW w:w="100" w:type="dxa"/>
            <w:vAlign w:val="bottom"/>
          </w:tcPr>
          <w:p>
            <w:pPr>
              <w:spacing w:after="0"/>
              <w:rPr>
                <w:sz w:val="9"/>
                <w:szCs w:val="9"/>
                <w:color w:val="auto"/>
              </w:rPr>
            </w:pPr>
          </w:p>
        </w:tc>
      </w:tr>
      <w:tr>
        <w:trPr>
          <w:trHeight w:val="103"/>
        </w:trPr>
        <w:tc>
          <w:tcPr>
            <w:tcW w:w="52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Total common equity</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Total equity</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8,358</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8,232</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8,102</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7,916</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7,753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7,612</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7,400</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6,902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Preferred stock</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(741)</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(738)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(735)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(733)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(730)</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(728)</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(725)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(568)</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Undeclared dividends — preferred stock</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(6)</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(5)</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equity, net of undeclared preferred dividends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7,611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7,488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7,360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7,177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7,017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6,879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6,669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6,329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520" w:type="dxa"/>
            <w:vAlign w:val="bottom"/>
            <w:gridSpan w:val="3"/>
          </w:tcPr>
          <w:p>
            <w:pPr>
              <w:jc w:val="right"/>
              <w:ind w:right="114"/>
              <w:spacing w:after="0" w:line="98" w:lineRule="exact"/>
              <w:rPr>
                <w:sz w:val="20"/>
                <w:szCs w:val="20"/>
                <w:color w:val="auto"/>
              </w:rPr>
            </w:pPr>
            <w:r>
              <w:rPr>
                <w:rFonts w:ascii="Arial" w:cs="Arial" w:eastAsia="Arial" w:hAnsi="Arial"/>
                <w:sz w:val="9"/>
                <w:szCs w:val="9"/>
                <w:color w:val="auto"/>
              </w:rPr>
              <w:t>(3,525)</w:t>
            </w:r>
          </w:p>
        </w:tc>
        <w:tc>
          <w:tcPr>
            <w:tcW w:w="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(3,192)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Core deposit and other intangible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(126)</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(139)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(152)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(199)</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(168)</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Deferred taxes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43</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21</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tangible common equity</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3,983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3,850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3,711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3,516</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3,345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2,971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2,990</w:t>
            </w:r>
          </w:p>
        </w:tc>
      </w:tr>
      <w:tr>
        <w:trPr>
          <w:trHeight w:val="29"/>
        </w:trPr>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0"/>
          <w:szCs w:val="10"/>
          <w:i w:val="1"/>
          <w:iCs w:val="1"/>
          <w:color w:val="auto"/>
        </w:rPr>
      </w:pPr>
      <w:r>
        <w:rPr>
          <w:rFonts w:ascii="Arial" w:cs="Arial" w:eastAsia="Arial" w:hAnsi="Arial"/>
          <w:sz w:val="10"/>
          <w:szCs w:val="10"/>
          <w:i w:val="1"/>
          <w:iCs w:val="1"/>
          <w:color w:val="auto"/>
        </w:rPr>
        <w:t>After any related tax effect.</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9" w:lineRule="exact"/>
        <w:rPr>
          <w:sz w:val="20"/>
          <w:szCs w:val="20"/>
          <w:color w:val="auto"/>
        </w:rPr>
      </w:pPr>
    </w:p>
    <w:p>
      <w:pPr>
        <w:ind w:left="680" w:right="140"/>
        <w:spacing w:after="0" w:line="280" w:lineRule="auto"/>
        <w:rPr>
          <w:sz w:val="20"/>
          <w:szCs w:val="20"/>
          <w:color w:val="auto"/>
        </w:rPr>
      </w:pPr>
      <w:r>
        <w:rPr>
          <w:rFonts w:ascii="Arial" w:cs="Arial" w:eastAsia="Arial" w:hAnsi="Arial"/>
          <w:sz w:val="14"/>
          <w:szCs w:val="14"/>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12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99" w:lineRule="exact"/>
        <w:rPr>
          <w:sz w:val="20"/>
          <w:szCs w:val="20"/>
          <w:color w:val="auto"/>
        </w:rPr>
      </w:pPr>
    </w:p>
    <w:p>
      <w:pPr>
        <w:ind w:left="680" w:right="360"/>
        <w:spacing w:after="0" w:line="280" w:lineRule="auto"/>
        <w:rPr>
          <w:sz w:val="20"/>
          <w:szCs w:val="20"/>
          <w:color w:val="auto"/>
        </w:rPr>
      </w:pPr>
      <w:r>
        <w:rPr>
          <w:rFonts w:ascii="Arial" w:cs="Arial" w:eastAsia="Arial" w:hAnsi="Arial"/>
          <w:sz w:val="14"/>
          <w:szCs w:val="14"/>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78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Schedules</w:t>
            </w:r>
          </w:p>
        </w:tc>
        <w:tc>
          <w:tcPr>
            <w:tcW w:w="920" w:type="dxa"/>
            <w:vAlign w:val="bottom"/>
          </w:tcPr>
          <w:p>
            <w:pPr>
              <w:spacing w:after="0"/>
              <w:rPr>
                <w:sz w:val="14"/>
                <w:szCs w:val="14"/>
                <w:color w:val="auto"/>
              </w:rPr>
            </w:pPr>
          </w:p>
        </w:tc>
      </w:tr>
      <w:tr>
        <w:trPr>
          <w:trHeight w:val="158"/>
        </w:trPr>
        <w:tc>
          <w:tcPr>
            <w:tcW w:w="278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101">
              <w:r>
                <w:rPr>
                  <w:rFonts w:ascii="Arial" w:cs="Arial" w:eastAsia="Arial" w:hAnsi="Arial"/>
                  <w:sz w:val="13"/>
                  <w:szCs w:val="13"/>
                  <w:color w:val="0000EE"/>
                  <w:w w:val="92"/>
                </w:rPr>
                <w:t>Report on Internal Control Over Financial Reporting</w:t>
              </w:r>
            </w:hyperlink>
          </w:p>
        </w:tc>
        <w:tc>
          <w:tcPr>
            <w:tcW w:w="6000" w:type="dxa"/>
            <w:vAlign w:val="bottom"/>
            <w:gridSpan w:val="6"/>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37"/>
        </w:trPr>
        <w:tc>
          <w:tcPr>
            <w:tcW w:w="3080" w:type="dxa"/>
            <w:vAlign w:val="bottom"/>
            <w:tcBorders>
              <w:bottom w:val="single" w:sz="8" w:color="0000EE"/>
            </w:tcBorders>
            <w:gridSpan w:val="3"/>
          </w:tcPr>
          <w:p>
            <w:pPr>
              <w:spacing w:after="0" w:line="138" w:lineRule="exact"/>
              <w:rPr>
                <w:rFonts w:ascii="Arial" w:cs="Arial" w:eastAsia="Arial" w:hAnsi="Arial"/>
                <w:sz w:val="13"/>
                <w:szCs w:val="13"/>
                <w:color w:val="0000EE"/>
                <w:w w:val="92"/>
              </w:rPr>
            </w:pPr>
            <w:hyperlink w:anchor="page102">
              <w:r>
                <w:rPr>
                  <w:rFonts w:ascii="Arial" w:cs="Arial" w:eastAsia="Arial" w:hAnsi="Arial"/>
                  <w:sz w:val="13"/>
                  <w:szCs w:val="13"/>
                  <w:color w:val="0000EE"/>
                  <w:w w:val="92"/>
                </w:rPr>
                <w:t>Report of Independent Registered Public Accounting Firm</w:t>
              </w:r>
            </w:hyperlink>
          </w:p>
        </w:tc>
        <w:tc>
          <w:tcPr>
            <w:tcW w:w="5700" w:type="dxa"/>
            <w:vAlign w:val="bottom"/>
            <w:gridSpan w:val="5"/>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101</w:t>
            </w:r>
          </w:p>
        </w:tc>
      </w:tr>
      <w:tr>
        <w:trPr>
          <w:trHeight w:val="137"/>
        </w:trPr>
        <w:tc>
          <w:tcPr>
            <w:tcW w:w="8780" w:type="dxa"/>
            <w:vAlign w:val="bottom"/>
            <w:gridSpan w:val="8"/>
          </w:tcPr>
          <w:p>
            <w:pPr>
              <w:spacing w:after="0" w:line="138" w:lineRule="exact"/>
              <w:rPr>
                <w:rFonts w:ascii="Arial" w:cs="Arial" w:eastAsia="Arial" w:hAnsi="Arial"/>
                <w:sz w:val="13"/>
                <w:szCs w:val="13"/>
                <w:color w:val="0000EE"/>
              </w:rPr>
            </w:pPr>
            <w:hyperlink w:anchor="page103">
              <w:r>
                <w:rPr>
                  <w:rFonts w:ascii="Arial" w:cs="Arial" w:eastAsia="Arial" w:hAnsi="Arial"/>
                  <w:sz w:val="13"/>
                  <w:szCs w:val="13"/>
                  <w:color w:val="0000EE"/>
                </w:rPr>
                <w:t>Consolidated Balance Sheet — December 31, 2010 and 2009</w:t>
              </w:r>
            </w:hyperlink>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102</w:t>
            </w:r>
          </w:p>
        </w:tc>
      </w:tr>
      <w:tr>
        <w:trPr>
          <w:trHeight w:val="20"/>
        </w:trPr>
        <w:tc>
          <w:tcPr>
            <w:tcW w:w="158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7"/>
        </w:trPr>
        <w:tc>
          <w:tcPr>
            <w:tcW w:w="8780" w:type="dxa"/>
            <w:vAlign w:val="bottom"/>
            <w:gridSpan w:val="8"/>
          </w:tcPr>
          <w:p>
            <w:pPr>
              <w:spacing w:after="0" w:line="138" w:lineRule="exact"/>
              <w:rPr>
                <w:rFonts w:ascii="Arial" w:cs="Arial" w:eastAsia="Arial" w:hAnsi="Arial"/>
                <w:sz w:val="13"/>
                <w:szCs w:val="13"/>
                <w:color w:val="0000EE"/>
              </w:rPr>
            </w:pPr>
            <w:hyperlink w:anchor="page104">
              <w:r>
                <w:rPr>
                  <w:rFonts w:ascii="Arial" w:cs="Arial" w:eastAsia="Arial" w:hAnsi="Arial"/>
                  <w:sz w:val="13"/>
                  <w:szCs w:val="13"/>
                  <w:color w:val="0000EE"/>
                </w:rPr>
                <w:t>Consolidated Statement of Income — Years ended December 31, 2010, 2009 and 2008</w:t>
              </w:r>
            </w:hyperlink>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103</w:t>
            </w:r>
          </w:p>
        </w:tc>
      </w:tr>
      <w:tr>
        <w:trPr>
          <w:trHeight w:val="20"/>
        </w:trPr>
        <w:tc>
          <w:tcPr>
            <w:tcW w:w="158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7"/>
        </w:trPr>
        <w:tc>
          <w:tcPr>
            <w:tcW w:w="8780" w:type="dxa"/>
            <w:vAlign w:val="bottom"/>
            <w:gridSpan w:val="8"/>
          </w:tcPr>
          <w:p>
            <w:pPr>
              <w:spacing w:after="0" w:line="138" w:lineRule="exact"/>
              <w:rPr>
                <w:rFonts w:ascii="Arial" w:cs="Arial" w:eastAsia="Arial" w:hAnsi="Arial"/>
                <w:sz w:val="13"/>
                <w:szCs w:val="13"/>
                <w:color w:val="0000EE"/>
              </w:rPr>
            </w:pPr>
            <w:hyperlink w:anchor="page105">
              <w:r>
                <w:rPr>
                  <w:rFonts w:ascii="Arial" w:cs="Arial" w:eastAsia="Arial" w:hAnsi="Arial"/>
                  <w:sz w:val="13"/>
                  <w:szCs w:val="13"/>
                  <w:color w:val="0000EE"/>
                </w:rPr>
                <w:t>Consolidated Statement of Cash Flows — Years ended December 31, 2010, 2009 and 2008</w:t>
              </w:r>
            </w:hyperlink>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104</w:t>
            </w:r>
          </w:p>
        </w:tc>
      </w:tr>
      <w:tr>
        <w:trPr>
          <w:trHeight w:val="20"/>
        </w:trPr>
        <w:tc>
          <w:tcPr>
            <w:tcW w:w="1580" w:type="dxa"/>
            <w:vAlign w:val="bottom"/>
            <w:shd w:val="clear" w:color="auto" w:fill="0000EE"/>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7"/>
        </w:trPr>
        <w:tc>
          <w:tcPr>
            <w:tcW w:w="590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106">
              <w:r>
                <w:rPr>
                  <w:rFonts w:ascii="Arial" w:cs="Arial" w:eastAsia="Arial" w:hAnsi="Arial"/>
                  <w:sz w:val="13"/>
                  <w:szCs w:val="13"/>
                  <w:color w:val="0000EE"/>
                  <w:w w:val="90"/>
                </w:rPr>
                <w:t>Consolidated Statement of Changes in Shareholders’ Equity — Years ended December 31, 2010, 2009 and 2008</w:t>
              </w:r>
            </w:hyperlink>
          </w:p>
        </w:tc>
        <w:tc>
          <w:tcPr>
            <w:tcW w:w="288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105</w:t>
            </w:r>
          </w:p>
        </w:tc>
      </w:tr>
      <w:tr>
        <w:trPr>
          <w:trHeight w:val="137"/>
        </w:trPr>
        <w:tc>
          <w:tcPr>
            <w:tcW w:w="1580" w:type="dxa"/>
            <w:vAlign w:val="bottom"/>
            <w:tcBorders>
              <w:bottom w:val="single" w:sz="8" w:color="0000EE"/>
            </w:tcBorders>
          </w:tcPr>
          <w:p>
            <w:pPr>
              <w:spacing w:after="0" w:line="138" w:lineRule="exact"/>
              <w:rPr>
                <w:rFonts w:ascii="Arial" w:cs="Arial" w:eastAsia="Arial" w:hAnsi="Arial"/>
                <w:sz w:val="13"/>
                <w:szCs w:val="13"/>
                <w:color w:val="0000EE"/>
                <w:w w:val="89"/>
              </w:rPr>
            </w:pPr>
            <w:hyperlink w:anchor="page107">
              <w:r>
                <w:rPr>
                  <w:rFonts w:ascii="Arial" w:cs="Arial" w:eastAsia="Arial" w:hAnsi="Arial"/>
                  <w:sz w:val="13"/>
                  <w:szCs w:val="13"/>
                  <w:color w:val="0000EE"/>
                  <w:w w:val="89"/>
                </w:rPr>
                <w:t>Notes to Financial Statements</w:t>
              </w:r>
            </w:hyperlink>
          </w:p>
        </w:tc>
        <w:tc>
          <w:tcPr>
            <w:tcW w:w="7200" w:type="dxa"/>
            <w:vAlign w:val="bottom"/>
            <w:gridSpan w:val="7"/>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106-168</w:t>
            </w:r>
          </w:p>
        </w:tc>
      </w:tr>
    </w:tbl>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on Internal Control Over Financial Reporting</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2010 based on criteria described in “Internal Control — Integrated Framework” issued by the Committee of Sponsoring Organizations of the Treadway Commission. Based on that assessment, management concluded that the Company maintained effective internal control over financial reporting as of December 31, 2010.</w:t>
      </w:r>
    </w:p>
    <w:p>
      <w:pPr>
        <w:ind w:left="680" w:right="20" w:firstLine="399"/>
        <w:spacing w:after="0" w:line="256" w:lineRule="auto"/>
        <w:rPr>
          <w:sz w:val="20"/>
          <w:szCs w:val="20"/>
          <w:color w:val="auto"/>
        </w:rPr>
      </w:pPr>
      <w:r>
        <w:rPr>
          <w:rFonts w:ascii="Arial" w:cs="Arial" w:eastAsia="Arial" w:hAnsi="Arial"/>
          <w:sz w:val="14"/>
          <w:szCs w:val="14"/>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217805</wp:posOffset>
            </wp:positionV>
            <wp:extent cx="1784985" cy="287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498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18" w:lineRule="exact"/>
        <w:rPr>
          <w:sz w:val="20"/>
          <w:szCs w:val="20"/>
          <w:color w:val="auto"/>
        </w:rPr>
      </w:pPr>
    </w:p>
    <w:p>
      <w:pPr>
        <w:ind w:left="6640"/>
        <w:spacing w:after="0"/>
        <w:rPr>
          <w:sz w:val="20"/>
          <w:szCs w:val="20"/>
          <w:color w:val="auto"/>
        </w:rPr>
      </w:pPr>
      <w:r>
        <w:rPr>
          <w:rFonts w:ascii="Arial" w:cs="Arial" w:eastAsia="Arial" w:hAnsi="Arial"/>
          <w:sz w:val="14"/>
          <w:szCs w:val="14"/>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210185</wp:posOffset>
            </wp:positionV>
            <wp:extent cx="935990" cy="480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5990"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Shareholders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M&amp;T Bank Corporation</w:t>
      </w:r>
    </w:p>
    <w:p>
      <w:pPr>
        <w:spacing w:after="0" w:line="85"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 xml:space="preserve">In our opinion, the consolidated financial statements listed in the accompanying index present fairly, in all material respects, the financial position of M&amp;T Bank Corporation and its subsidiaries (the “Company”) at December 31, 2010 and 2009, and the results of its operations and its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4" w:lineRule="exact"/>
        <w:rPr>
          <w:sz w:val="20"/>
          <w:szCs w:val="20"/>
          <w:color w:val="auto"/>
        </w:rPr>
      </w:pPr>
    </w:p>
    <w:p>
      <w:pPr>
        <w:ind w:left="680" w:right="60"/>
        <w:spacing w:after="0" w:line="254"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ind w:left="680" w:right="40"/>
        <w:spacing w:after="0" w:line="26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143510</wp:posOffset>
            </wp:positionV>
            <wp:extent cx="1460500"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Buffalo, New York</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February 18, 2011</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Balance Sheet</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20"/>
                <w:szCs w:val="20"/>
                <w:color w:val="auto"/>
              </w:rPr>
            </w:pPr>
            <w:r>
              <w:rPr>
                <w:rFonts w:ascii="Arial" w:cs="Arial" w:eastAsia="Arial" w:hAnsi="Arial"/>
                <w:sz w:val="10"/>
                <w:szCs w:val="10"/>
                <w:b w:val="1"/>
                <w:bCs w:val="1"/>
                <w:color w:val="auto"/>
              </w:rPr>
              <w:t>(Dollars in thousands, except per share)</w:t>
            </w: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December 31</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908,755</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1,226,223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101,222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133,335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Federal funds sold</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25,000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20,119</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523,834</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386,984</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Investment securities (includes pledged securities that can be sold or repledged of $1,937,817 in 2010; $1,797,701 in 2009)</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 for sale (cost: $5,494,377 in 2010; $6,997,009 in 2009)</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5,413,492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6,704,378</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Held to maturity (fair value: $1,225,253 in 2010; $416,483 in 2009)</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1,324,339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567,607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(fair value: $412,709 in 2010; $508,624 in 2009)</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412,709</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508,624</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investment securities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7,150,540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7,780,609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Loans and leases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52,315,942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52,306,457</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Unearned discount</w:t>
            </w:r>
          </w:p>
        </w:tc>
        <w:tc>
          <w:tcPr>
            <w:tcW w:w="1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(325,560)</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(369,771)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and leases, net of unearned discount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51,990,382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51,936,686</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Allowance for credit losses</w:t>
            </w:r>
          </w:p>
        </w:tc>
        <w:tc>
          <w:tcPr>
            <w:tcW w:w="1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(902,941)</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(878,022)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and leases, net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51,087,441</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51,058,664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Premises and equipment</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435,837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435,845</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3,524,625</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3,524,625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125,917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182,418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and other assets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4,138,092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4,131,577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68,021,263</w:t>
            </w:r>
          </w:p>
        </w:tc>
        <w:tc>
          <w:tcPr>
            <w:tcW w:w="40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68,880,399</w:t>
            </w:r>
          </w:p>
        </w:tc>
        <w:tc>
          <w:tcPr>
            <w:tcW w:w="0" w:type="dxa"/>
            <w:vAlign w:val="bottom"/>
          </w:tcPr>
          <w:p>
            <w:pPr>
              <w:spacing w:after="0"/>
              <w:rPr>
                <w:sz w:val="1"/>
                <w:szCs w:val="1"/>
                <w:color w:val="auto"/>
              </w:rPr>
            </w:pPr>
          </w:p>
        </w:tc>
      </w:tr>
      <w:tr>
        <w:trPr>
          <w:trHeight w:val="165"/>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Noninterest-bearing deposits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14,557,568</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13,794,636</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NOW accounts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1,393,349</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1,396,471</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Savings deposits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26,431,281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23,676,798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Time deposits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5,817,170</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7,531,495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Deposits at Cayman Islands office</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1,605,916</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1,050,438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deposits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49,805,284</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47,449,838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Federal funds purchased and agreements to repurchase securities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866,555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2,211,692</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short-term borrowings</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80,877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230,890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Accrued interest and other liabilities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1,070,701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995,056</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7,840,151</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10,240,016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59,663,568</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61,127,492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line="149" w:lineRule="exact"/>
              <w:rPr>
                <w:sz w:val="20"/>
                <w:szCs w:val="20"/>
                <w:color w:val="auto"/>
              </w:rPr>
            </w:pPr>
            <w:r>
              <w:rPr>
                <w:rFonts w:ascii="Arial" w:cs="Arial" w:eastAsia="Arial" w:hAnsi="Arial"/>
                <w:sz w:val="13"/>
                <w:szCs w:val="13"/>
                <w:color w:val="auto"/>
                <w:w w:val="96"/>
              </w:rPr>
              <w:t>Preferred stock, $1.00 par, 1,000,000 shares authorized, 778,000 shares issued and outstanding in 2010 and 2009 (liquidation preference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00" w:type="dxa"/>
            <w:vAlign w:val="bottom"/>
          </w:tcPr>
          <w:p>
            <w:pPr>
              <w:ind w:left="140"/>
              <w:spacing w:after="0"/>
              <w:rPr>
                <w:sz w:val="20"/>
                <w:szCs w:val="20"/>
                <w:color w:val="auto"/>
              </w:rPr>
            </w:pPr>
            <w:r>
              <w:rPr>
                <w:rFonts w:ascii="Arial" w:cs="Arial" w:eastAsia="Arial" w:hAnsi="Arial"/>
                <w:sz w:val="13"/>
                <w:szCs w:val="13"/>
                <w:color w:val="auto"/>
              </w:rPr>
              <w:t>$1,000 per share)</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740,657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730,235</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Common stock, $.50 par, 250,000,000 shares authorized, 120,396,611 shares issued in 2010 and 2009</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60,198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60,198</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Common stock issuable, 71,345 shares in 2010; 75,170 shares in 2009</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4,189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4,342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2,398,615</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2,442,947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Retained earnings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5,426,701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5,076,884</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(loss), net</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(205,220)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(335,997)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Treasury stock — common, at cost — 693,974 shares in 2010; 2,173,916 shares in 2009</w:t>
            </w:r>
          </w:p>
        </w:tc>
        <w:tc>
          <w:tcPr>
            <w:tcW w:w="1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(67,445)</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(225,702)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shareholders’ equity</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8,357,695</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7,752,907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68,021,263</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68,880,399</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Income</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20"/>
                <w:szCs w:val="20"/>
                <w:color w:val="auto"/>
              </w:rPr>
            </w:pPr>
            <w:r>
              <w:rPr>
                <w:rFonts w:ascii="Arial" w:cs="Arial" w:eastAsia="Arial" w:hAnsi="Arial"/>
                <w:sz w:val="10"/>
                <w:szCs w:val="10"/>
                <w:b w:val="1"/>
                <w:bCs w:val="1"/>
                <w:color w:val="auto"/>
              </w:rPr>
              <w:t>(In thousands, except per share)</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98"/>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Loans and leases, including fees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2,394,082</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2,326,748</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2,825,587</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Deposits at banks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Federal funds sold</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42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Agreements to resell securities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1,817</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Trading account</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615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534</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 securities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240"/>
              <w:spacing w:after="0"/>
              <w:rPr>
                <w:sz w:val="20"/>
                <w:szCs w:val="20"/>
                <w:color w:val="auto"/>
              </w:rPr>
            </w:pPr>
            <w:r>
              <w:rPr>
                <w:rFonts w:ascii="Arial" w:cs="Arial" w:eastAsia="Arial" w:hAnsi="Arial"/>
                <w:sz w:val="12"/>
                <w:szCs w:val="12"/>
                <w:color w:val="auto"/>
              </w:rPr>
              <w:t>Fully taxable</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324,695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389,268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438,409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Exempt from federal taxes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8,484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9,946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2"/>
                <w:szCs w:val="12"/>
                <w:color w:val="auto"/>
              </w:rPr>
              <w:t>Total interest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2,729,795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2,725,197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3,277,591</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expense</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NOW accounts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850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1,122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2,894</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Savings deposits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85,226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112,550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248,083</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Time deposits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100,241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206,220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330,389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Deposits at Cayman Islands office</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1,368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2,391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84,483</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Short-term borrowings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3,006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7,129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142,627</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borrowings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271,578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340,037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529,319</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2"/>
                <w:szCs w:val="12"/>
                <w:color w:val="auto"/>
              </w:rPr>
              <w:t>Total interest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462,269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669,449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1,337,795</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Net interest income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2,267,526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2,055,748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1,939,796</w:t>
            </w:r>
          </w:p>
        </w:tc>
        <w:tc>
          <w:tcPr>
            <w:tcW w:w="0" w:type="dxa"/>
            <w:vAlign w:val="bottom"/>
          </w:tcPr>
          <w:p>
            <w:pPr>
              <w:spacing w:after="0"/>
              <w:rPr>
                <w:sz w:val="1"/>
                <w:szCs w:val="1"/>
                <w:color w:val="auto"/>
              </w:rPr>
            </w:pP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Provision for credit losses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368,000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604,000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412,000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interest income after provision for credit losses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1,899,526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1,451,748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1,527,796</w:t>
            </w:r>
          </w:p>
        </w:tc>
        <w:tc>
          <w:tcPr>
            <w:tcW w:w="0" w:type="dxa"/>
            <w:vAlign w:val="bottom"/>
          </w:tcPr>
          <w:p>
            <w:pPr>
              <w:spacing w:after="0"/>
              <w:rPr>
                <w:sz w:val="1"/>
                <w:szCs w:val="1"/>
                <w:color w:val="auto"/>
              </w:rPr>
            </w:pPr>
          </w:p>
        </w:tc>
      </w:tr>
      <w:tr>
        <w:trPr>
          <w:trHeight w:val="144"/>
        </w:trPr>
        <w:tc>
          <w:tcPr>
            <w:tcW w:w="7000" w:type="dxa"/>
            <w:vAlign w:val="bottom"/>
          </w:tcPr>
          <w:p>
            <w:pPr>
              <w:spacing w:after="0"/>
              <w:rPr>
                <w:sz w:val="20"/>
                <w:szCs w:val="20"/>
                <w:color w:val="auto"/>
              </w:rPr>
            </w:pPr>
            <w:r>
              <w:rPr>
                <w:rFonts w:ascii="Arial" w:cs="Arial" w:eastAsia="Arial" w:hAnsi="Arial"/>
                <w:sz w:val="12"/>
                <w:szCs w:val="12"/>
                <w:b w:val="1"/>
                <w:bCs w:val="1"/>
                <w:color w:val="auto"/>
              </w:rPr>
              <w:t>Other income</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Mortgage banking revenues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184,625</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207,561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156,012</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Service charges on deposit accounts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478,133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469,195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430,532</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Trust income</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122,613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128,568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156,149</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Brokerage services income</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49,669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57,611</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64,186</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Trading account and foreign exchange gains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27,286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23,125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17,630</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Gain on bank investment securities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2,770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1,165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34,471</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other-than-temporary impairment (“OTTI”) losses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(115,947)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(264,363)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(182,222)</w:t>
            </w:r>
          </w:p>
        </w:tc>
        <w:tc>
          <w:tcPr>
            <w:tcW w:w="0" w:type="dxa"/>
            <w:vAlign w:val="bottom"/>
          </w:tcPr>
          <w:p>
            <w:pPr>
              <w:spacing w:after="0"/>
              <w:rPr>
                <w:sz w:val="1"/>
                <w:szCs w:val="1"/>
                <w:color w:val="auto"/>
              </w:rPr>
            </w:pPr>
          </w:p>
        </w:tc>
      </w:tr>
      <w:tr>
        <w:trPr>
          <w:trHeight w:val="140"/>
        </w:trPr>
        <w:tc>
          <w:tcPr>
            <w:tcW w:w="7000" w:type="dxa"/>
            <w:vAlign w:val="bottom"/>
          </w:tcPr>
          <w:p>
            <w:pPr>
              <w:ind w:left="120"/>
              <w:spacing w:after="0"/>
              <w:rPr>
                <w:sz w:val="20"/>
                <w:szCs w:val="20"/>
                <w:color w:val="auto"/>
              </w:rPr>
            </w:pPr>
            <w:r>
              <w:rPr>
                <w:rFonts w:ascii="Arial" w:cs="Arial" w:eastAsia="Arial" w:hAnsi="Arial"/>
                <w:sz w:val="12"/>
                <w:szCs w:val="12"/>
                <w:color w:val="auto"/>
              </w:rPr>
              <w:t>Portion of OTTI losses recognized in other comprehensive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000" w:type="dxa"/>
            <w:vAlign w:val="bottom"/>
          </w:tcPr>
          <w:p>
            <w:pPr>
              <w:ind w:left="240"/>
              <w:spacing w:after="0"/>
              <w:rPr>
                <w:sz w:val="20"/>
                <w:szCs w:val="20"/>
                <w:color w:val="auto"/>
              </w:rPr>
            </w:pPr>
            <w:r>
              <w:rPr>
                <w:rFonts w:ascii="Arial" w:cs="Arial" w:eastAsia="Arial" w:hAnsi="Arial"/>
                <w:sz w:val="12"/>
                <w:szCs w:val="12"/>
                <w:color w:val="auto"/>
              </w:rPr>
              <w:t>income (before taxes)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29,666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126,066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OTTI losses recognized in earnings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(86,281)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(138,297)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(182,222)</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Equity in earnings of Bayview Lending Group LLC</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(25,768)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(25,898)</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(37,453)</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revenues from operations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355,053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325,076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299,674</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2"/>
                <w:szCs w:val="12"/>
                <w:color w:val="auto"/>
              </w:rPr>
              <w:t>Total other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1,108,100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1,048,106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938,979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Salaries and employee benefits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999,709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1,001,873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957,086</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Equipment and net occupancy</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216,064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211,391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188,845</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Printing, postage and supplies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33,847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38,216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35,860</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core deposit and other intangible assets</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58,103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64,255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66,646</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FDIC assessments</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79,324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96,519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6,689</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costs of operations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527,790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568,309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471,870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2"/>
                <w:szCs w:val="12"/>
                <w:color w:val="auto"/>
              </w:rPr>
              <w:t>Total other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1,914,837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1,980,563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1,726,996</w:t>
            </w:r>
          </w:p>
        </w:tc>
        <w:tc>
          <w:tcPr>
            <w:tcW w:w="0" w:type="dxa"/>
            <w:vAlign w:val="bottom"/>
          </w:tcPr>
          <w:p>
            <w:pPr>
              <w:spacing w:after="0"/>
              <w:rPr>
                <w:sz w:val="1"/>
                <w:szCs w:val="1"/>
                <w:color w:val="auto"/>
              </w:rPr>
            </w:pPr>
          </w:p>
        </w:tc>
      </w:tr>
      <w:tr>
        <w:trPr>
          <w:trHeight w:val="22"/>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before taxes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1,092,789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519,291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739,779</w:t>
            </w:r>
          </w:p>
        </w:tc>
        <w:tc>
          <w:tcPr>
            <w:tcW w:w="0" w:type="dxa"/>
            <w:vAlign w:val="bottom"/>
          </w:tcPr>
          <w:p>
            <w:pPr>
              <w:spacing w:after="0"/>
              <w:rPr>
                <w:sz w:val="1"/>
                <w:szCs w:val="1"/>
                <w:color w:val="auto"/>
              </w:rPr>
            </w:pPr>
          </w:p>
        </w:tc>
      </w:tr>
      <w:tr>
        <w:trPr>
          <w:trHeight w:val="147"/>
        </w:trPr>
        <w:tc>
          <w:tcPr>
            <w:tcW w:w="7000" w:type="dxa"/>
            <w:vAlign w:val="bottom"/>
          </w:tcPr>
          <w:p>
            <w:pPr>
              <w:spacing w:after="0"/>
              <w:rPr>
                <w:sz w:val="20"/>
                <w:szCs w:val="20"/>
                <w:color w:val="auto"/>
              </w:rPr>
            </w:pPr>
            <w:r>
              <w:rPr>
                <w:rFonts w:ascii="Arial" w:cs="Arial" w:eastAsia="Arial" w:hAnsi="Arial"/>
                <w:sz w:val="12"/>
                <w:szCs w:val="12"/>
                <w:color w:val="auto"/>
              </w:rPr>
              <w:t>Income taxes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356,628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139,400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183,892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i w:val="1"/>
                <w:iCs w:val="1"/>
                <w:color w:val="auto"/>
              </w:rPr>
              <w:t>Net income</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736,161</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379,891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555,887</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20"/>
                <w:szCs w:val="20"/>
                <w:color w:val="auto"/>
              </w:rPr>
            </w:pPr>
            <w:r>
              <w:rPr>
                <w:rFonts w:ascii="Arial" w:cs="Arial" w:eastAsia="Arial" w:hAnsi="Arial"/>
                <w:sz w:val="12"/>
                <w:szCs w:val="12"/>
                <w:b w:val="1"/>
                <w:bCs w:val="1"/>
                <w:color w:val="auto"/>
              </w:rPr>
              <w:t>Net income available to common shareholders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675,826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332,006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555,096</w:t>
            </w: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675,853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332,006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555,096</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per common share</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0" w:type="dxa"/>
            <w:vAlign w:val="bottom"/>
          </w:tcPr>
          <w:p>
            <w:pPr>
              <w:ind w:left="120"/>
              <w:spacing w:after="0"/>
              <w:rPr>
                <w:sz w:val="20"/>
                <w:szCs w:val="20"/>
                <w:color w:val="auto"/>
              </w:rPr>
            </w:pPr>
            <w:r>
              <w:rPr>
                <w:rFonts w:ascii="Arial" w:cs="Arial" w:eastAsia="Arial" w:hAnsi="Arial"/>
                <w:sz w:val="12"/>
                <w:szCs w:val="12"/>
                <w:color w:val="auto"/>
              </w:rPr>
              <w:t>Basic</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5.72</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2.90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7"/>
        </w:trPr>
        <w:tc>
          <w:tcPr>
            <w:tcW w:w="7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4"/>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Cash flows from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140" w:type="dxa"/>
            <w:vAlign w:val="bottom"/>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736,161</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379,891</w:t>
            </w: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555,887</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Adjustments to reconcile net income to net cash provided by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Provision for credit losses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368,000</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604,000</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412,000</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Depreciation and amortization of premises and equipment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67,677</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64,398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53,422</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Amortization of capitalized servicing rights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56,582</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62,268</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65,722</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58,103</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64,255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66,646</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Provision for deferred income taxes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51,068</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82,501</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(17,020)</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Asset write-downs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101,106</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171,225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190,079</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gain on sales of assets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(10,426)</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(88)</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(24,961)</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change in accrued interest receivable, payable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(9,942)</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(38,920)</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15,023</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change in other accrued income and expense</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144,705</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(154,992)</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(201,402)</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change in loans originated for sale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202,089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(57,105)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471,543</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change in trading account assets and liabilities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(89,476)</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11,956</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41,477</w:t>
            </w: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Net cash provided by operating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1,675,647</w:t>
            </w: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1,189,389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1,628,416</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b w:val="1"/>
                <w:bCs w:val="1"/>
                <w:color w:val="auto"/>
              </w:rPr>
              <w:t>Cash flows from investing activities</w:t>
            </w: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Proceeds from sales of investment securities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23,310</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9,427</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57,843</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Other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107,320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137,577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115,207</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Proceeds from maturities of investment securities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1,539,591</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2,187,553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1,908,725</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Held to maturity</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248,087</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125,466</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92,343</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Purchases of investment securities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(440,560)</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(651,549)</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(836,448)</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Held to maturity</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(1,003,796)</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(37,453)</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(198,418)</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Other</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(7,647)</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(21,088)</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(191,995)</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(increase) decrease in agreements to resell securities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90,000</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(90,000)</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(increase) decrease in loans and leases</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(201,854)</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657,458</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(2,873,642)</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(increase) decrease in interest-bearing deposits at banks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32,113</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(123,051)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8,147</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Other investments, net</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(52,179)</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(35,934)</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(35,649)</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Additions to capitalized servicing rights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(594)</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(379)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(24,349)</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Capital expenditures, net</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(70,458)</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(58,967)</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(72,234)</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Acquisitions, net of cash acquired</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Banks and bank holding companies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213,204</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202,993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net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88,873</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19,642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(123,289)</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cash provided (used) by investing activities</w:t>
            </w: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475,410</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2,501,695</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5"/>
              </w:rPr>
              <w:t>(2,263,759)</w:t>
            </w: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Cash flows from financing activities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Net increase (decrease) in deposits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1,879,491</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(528,964)</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1,317,764</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decrease in short-term borrowings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(1,522,646)</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(745,251)</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(2,811,736)</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Proceeds from long-term borrowings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1,387</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3,850,010</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Payments on long-term borrowings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(2,515,729)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(2,390,182)</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(2,216,978)</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Dividends paid — common</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(335,303)</w:t>
            </w:r>
          </w:p>
        </w:tc>
        <w:tc>
          <w:tcPr>
            <w:tcW w:w="120" w:type="dxa"/>
            <w:vAlign w:val="bottom"/>
          </w:tcPr>
          <w:p>
            <w:pPr>
              <w:spacing w:after="0"/>
              <w:rPr>
                <w:sz w:val="8"/>
                <w:szCs w:val="8"/>
                <w:color w:val="auto"/>
              </w:rPr>
            </w:pPr>
          </w:p>
        </w:tc>
        <w:tc>
          <w:tcPr>
            <w:tcW w:w="76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(325,706)</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(308,501)</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Dividends paid — preferred</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(40,225)</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(31,946)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Proceeds from issuance of preferred stock and warrants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600,000</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net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69,381</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9,156</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5,388</w:t>
            </w: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Net cash provided (used) by financing activities</w:t>
            </w: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(2,463,644)</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5"/>
              </w:rPr>
              <w:t>(4,012,893)</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435,947</w:t>
            </w: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decrease in cash and cash equivalents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9"/>
                <w:szCs w:val="9"/>
                <w:color w:val="auto"/>
              </w:rPr>
              <w:t>(312,587)</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(321,809)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(199,396)</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color w:val="auto"/>
              </w:rPr>
              <w:t>Cash and cash equivalents at beginning of year</w:t>
            </w:r>
          </w:p>
        </w:tc>
        <w:tc>
          <w:tcPr>
            <w:tcW w:w="14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1,246,342</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1,568,151</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1,767,547</w:t>
            </w: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7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and cash equivalents at end of year</w:t>
            </w:r>
          </w:p>
        </w:tc>
        <w:tc>
          <w:tcPr>
            <w:tcW w:w="140" w:type="dxa"/>
            <w:vAlign w:val="bottom"/>
            <w:shd w:val="clear" w:color="auto" w:fill="CCEEFF"/>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933,755</w:t>
            </w: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1,246,342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1,568,151</w:t>
            </w:r>
          </w:p>
        </w:tc>
      </w:tr>
      <w:tr>
        <w:trPr>
          <w:trHeight w:val="108"/>
        </w:trPr>
        <w:tc>
          <w:tcPr>
            <w:tcW w:w="7500" w:type="dxa"/>
            <w:vAlign w:val="bottom"/>
          </w:tcPr>
          <w:p>
            <w:pPr>
              <w:spacing w:after="0"/>
              <w:rPr>
                <w:sz w:val="20"/>
                <w:szCs w:val="20"/>
                <w:color w:val="auto"/>
              </w:rPr>
            </w:pPr>
            <w:r>
              <w:rPr>
                <w:rFonts w:ascii="Arial" w:cs="Arial" w:eastAsia="Arial" w:hAnsi="Arial"/>
                <w:sz w:val="9"/>
                <w:szCs w:val="9"/>
                <w:b w:val="1"/>
                <w:bCs w:val="1"/>
                <w:color w:val="auto"/>
              </w:rPr>
              <w:t>Supplemental disclosure of cash flow information</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Interest received during the year</w:t>
            </w:r>
          </w:p>
        </w:tc>
        <w:tc>
          <w:tcPr>
            <w:tcW w:w="140" w:type="dxa"/>
            <w:vAlign w:val="bottom"/>
            <w:shd w:val="clear" w:color="auto" w:fill="CCEEFF"/>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2,765,101</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2,748,880</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3,374,219</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Interest paid during the year</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490,767</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704,173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1,363,351</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Income taxes paid (refunded) during the year</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287,740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(19,549)</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290,324</w:t>
            </w:r>
          </w:p>
        </w:tc>
      </w:tr>
      <w:tr>
        <w:trPr>
          <w:trHeight w:val="98"/>
        </w:trPr>
        <w:tc>
          <w:tcPr>
            <w:tcW w:w="7500" w:type="dxa"/>
            <w:vAlign w:val="bottom"/>
          </w:tcPr>
          <w:p>
            <w:pPr>
              <w:spacing w:after="0" w:line="98" w:lineRule="exact"/>
              <w:rPr>
                <w:sz w:val="20"/>
                <w:szCs w:val="20"/>
                <w:color w:val="auto"/>
              </w:rPr>
            </w:pPr>
            <w:r>
              <w:rPr>
                <w:rFonts w:ascii="Arial" w:cs="Arial" w:eastAsia="Arial" w:hAnsi="Arial"/>
                <w:sz w:val="9"/>
                <w:szCs w:val="9"/>
                <w:b w:val="1"/>
                <w:bCs w:val="1"/>
                <w:color w:val="auto"/>
              </w:rPr>
              <w:t>Supplemental schedule of noncash investing and financing activities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Real estate acquired in settlement of loans</w:t>
            </w:r>
          </w:p>
        </w:tc>
        <w:tc>
          <w:tcPr>
            <w:tcW w:w="140" w:type="dxa"/>
            <w:vAlign w:val="bottom"/>
            <w:shd w:val="clear" w:color="auto" w:fill="CCEEFF"/>
          </w:tcPr>
          <w:p>
            <w:pPr>
              <w:jc w:val="right"/>
              <w:ind w:right="34"/>
              <w:spacing w:after="0" w:line="98" w:lineRule="exact"/>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199,285</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102,392</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142,517</w:t>
            </w:r>
          </w:p>
        </w:tc>
      </w:tr>
      <w:tr>
        <w:trPr>
          <w:trHeight w:val="98"/>
        </w:trPr>
        <w:tc>
          <w:tcPr>
            <w:tcW w:w="7500" w:type="dxa"/>
            <w:vAlign w:val="bottom"/>
          </w:tcPr>
          <w:p>
            <w:pPr>
              <w:ind w:left="100"/>
              <w:spacing w:after="0" w:line="98" w:lineRule="exact"/>
              <w:rPr>
                <w:sz w:val="20"/>
                <w:szCs w:val="20"/>
                <w:color w:val="auto"/>
              </w:rPr>
            </w:pPr>
            <w:r>
              <w:rPr>
                <w:rFonts w:ascii="Arial" w:cs="Arial" w:eastAsia="Arial" w:hAnsi="Arial"/>
                <w:sz w:val="9"/>
                <w:szCs w:val="9"/>
                <w:color w:val="auto"/>
              </w:rPr>
              <w:t>Acquisitions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Fair value of</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80"/>
              <w:spacing w:after="0" w:line="98" w:lineRule="exact"/>
              <w:rPr>
                <w:sz w:val="20"/>
                <w:szCs w:val="20"/>
                <w:color w:val="auto"/>
              </w:rPr>
            </w:pPr>
            <w:r>
              <w:rPr>
                <w:rFonts w:ascii="Arial" w:cs="Arial" w:eastAsia="Arial" w:hAnsi="Arial"/>
                <w:sz w:val="9"/>
                <w:szCs w:val="9"/>
                <w:color w:val="auto"/>
              </w:rPr>
              <w:t>Assets acquired (noncash)</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342,443</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6,581,433</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Liabilities assumed</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528,108</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6,318,998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280"/>
              <w:spacing w:after="0" w:line="98" w:lineRule="exact"/>
              <w:rPr>
                <w:sz w:val="20"/>
                <w:szCs w:val="20"/>
                <w:color w:val="auto"/>
              </w:rPr>
            </w:pPr>
            <w:r>
              <w:rPr>
                <w:rFonts w:ascii="Arial" w:cs="Arial" w:eastAsia="Arial" w:hAnsi="Arial"/>
                <w:sz w:val="9"/>
                <w:szCs w:val="9"/>
                <w:color w:val="auto"/>
              </w:rPr>
              <w:t>Preferred stock issued</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155,779</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Common stock issued</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272,824</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280"/>
              <w:spacing w:after="0" w:line="98" w:lineRule="exact"/>
              <w:rPr>
                <w:sz w:val="20"/>
                <w:szCs w:val="20"/>
                <w:color w:val="auto"/>
              </w:rPr>
            </w:pPr>
            <w:r>
              <w:rPr>
                <w:rFonts w:ascii="Arial" w:cs="Arial" w:eastAsia="Arial" w:hAnsi="Arial"/>
                <w:sz w:val="9"/>
                <w:szCs w:val="9"/>
                <w:color w:val="auto"/>
              </w:rPr>
              <w:t>Common stock options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1,367</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Common stock warrants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280"/>
              <w:spacing w:after="0" w:line="98" w:lineRule="exact"/>
              <w:rPr>
                <w:sz w:val="20"/>
                <w:szCs w:val="20"/>
                <w:color w:val="auto"/>
              </w:rPr>
            </w:pPr>
            <w:r>
              <w:rPr>
                <w:rFonts w:ascii="Arial" w:cs="Arial" w:eastAsia="Arial" w:hAnsi="Arial"/>
                <w:sz w:val="9"/>
                <w:szCs w:val="9"/>
                <w:color w:val="auto"/>
              </w:rPr>
              <w:t>Increase (decrease) from consolidation of securitization trusts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500" w:type="dxa"/>
            <w:vAlign w:val="bottom"/>
            <w:shd w:val="clear" w:color="auto" w:fill="CCEEFF"/>
          </w:tcPr>
          <w:p>
            <w:pPr>
              <w:ind w:left="380"/>
              <w:spacing w:after="0" w:line="98" w:lineRule="exact"/>
              <w:rPr>
                <w:sz w:val="20"/>
                <w:szCs w:val="20"/>
                <w:color w:val="auto"/>
              </w:rPr>
            </w:pPr>
            <w:r>
              <w:rPr>
                <w:rFonts w:ascii="Arial" w:cs="Arial" w:eastAsia="Arial" w:hAnsi="Arial"/>
                <w:sz w:val="9"/>
                <w:szCs w:val="9"/>
                <w:color w:val="auto"/>
              </w:rPr>
              <w:t>Loans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423,865</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380"/>
              <w:spacing w:after="0" w:line="98" w:lineRule="exact"/>
              <w:rPr>
                <w:sz w:val="20"/>
                <w:szCs w:val="20"/>
                <w:color w:val="auto"/>
              </w:rPr>
            </w:pPr>
            <w:r>
              <w:rPr>
                <w:rFonts w:ascii="Arial" w:cs="Arial" w:eastAsia="Arial" w:hAnsi="Arial"/>
                <w:sz w:val="9"/>
                <w:szCs w:val="9"/>
                <w:color w:val="auto"/>
              </w:rPr>
              <w:t>Investment securities — available for sale</w:t>
            </w:r>
          </w:p>
        </w:tc>
        <w:tc>
          <w:tcPr>
            <w:tcW w:w="140" w:type="dxa"/>
            <w:vAlign w:val="bottom"/>
          </w:tcPr>
          <w:p>
            <w:pPr>
              <w:spacing w:after="0"/>
              <w:rPr>
                <w:sz w:val="8"/>
                <w:szCs w:val="8"/>
                <w:color w:val="auto"/>
              </w:rPr>
            </w:pPr>
          </w:p>
        </w:tc>
        <w:tc>
          <w:tcPr>
            <w:tcW w:w="780" w:type="dxa"/>
            <w:vAlign w:val="bottom"/>
            <w:gridSpan w:val="2"/>
          </w:tcPr>
          <w:p>
            <w:pPr>
              <w:jc w:val="right"/>
              <w:ind w:right="228"/>
              <w:spacing w:after="0" w:line="98" w:lineRule="exact"/>
              <w:rPr>
                <w:sz w:val="20"/>
                <w:szCs w:val="20"/>
                <w:color w:val="auto"/>
              </w:rPr>
            </w:pPr>
            <w:r>
              <w:rPr>
                <w:rFonts w:ascii="Arial" w:cs="Arial" w:eastAsia="Arial" w:hAnsi="Arial"/>
                <w:sz w:val="9"/>
                <w:szCs w:val="9"/>
                <w:color w:val="auto"/>
              </w:rPr>
              <w:t>(360,471)</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380"/>
              <w:spacing w:after="0" w:line="98" w:lineRule="exact"/>
              <w:rPr>
                <w:sz w:val="20"/>
                <w:szCs w:val="20"/>
                <w:color w:val="auto"/>
              </w:rPr>
            </w:pPr>
            <w:r>
              <w:rPr>
                <w:rFonts w:ascii="Arial" w:cs="Arial" w:eastAsia="Arial" w:hAnsi="Arial"/>
                <w:sz w:val="9"/>
                <w:szCs w:val="9"/>
                <w:color w:val="auto"/>
              </w:rPr>
              <w:t>Long-term borrowings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65,419</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tcPr>
          <w:p>
            <w:pPr>
              <w:ind w:left="380"/>
              <w:spacing w:after="0" w:line="98" w:lineRule="exact"/>
              <w:rPr>
                <w:sz w:val="20"/>
                <w:szCs w:val="20"/>
                <w:color w:val="auto"/>
              </w:rPr>
            </w:pPr>
            <w:r>
              <w:rPr>
                <w:rFonts w:ascii="Arial" w:cs="Arial" w:eastAsia="Arial" w:hAnsi="Arial"/>
                <w:sz w:val="9"/>
                <w:szCs w:val="9"/>
                <w:color w:val="auto"/>
              </w:rPr>
              <w:t>Accrued interest and other</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2,025</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7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Securitization of residential mortgage loans allocated to</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7500" w:type="dxa"/>
            <w:vAlign w:val="bottom"/>
          </w:tcPr>
          <w:p>
            <w:pPr>
              <w:ind w:left="200"/>
              <w:spacing w:after="0" w:line="98" w:lineRule="exact"/>
              <w:rPr>
                <w:sz w:val="20"/>
                <w:szCs w:val="20"/>
                <w:color w:val="auto"/>
              </w:rPr>
            </w:pPr>
            <w:r>
              <w:rPr>
                <w:rFonts w:ascii="Arial" w:cs="Arial" w:eastAsia="Arial" w:hAnsi="Arial"/>
                <w:sz w:val="9"/>
                <w:szCs w:val="9"/>
                <w:color w:val="auto"/>
              </w:rPr>
              <w:t>Available for sale investment securities</w:t>
            </w:r>
          </w:p>
        </w:tc>
        <w:tc>
          <w:tcPr>
            <w:tcW w:w="140" w:type="dxa"/>
            <w:vAlign w:val="bottom"/>
          </w:tcPr>
          <w:p>
            <w:pPr>
              <w:spacing w:after="0"/>
              <w:rPr>
                <w:sz w:val="8"/>
                <w:szCs w:val="8"/>
                <w:color w:val="auto"/>
              </w:rPr>
            </w:pPr>
          </w:p>
        </w:tc>
        <w:tc>
          <w:tcPr>
            <w:tcW w:w="780" w:type="dxa"/>
            <w:vAlign w:val="bottom"/>
            <w:gridSpan w:val="2"/>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140,942</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866,169</w:t>
            </w:r>
          </w:p>
        </w:tc>
      </w:tr>
      <w:tr>
        <w:trPr>
          <w:trHeight w:val="98"/>
        </w:trPr>
        <w:tc>
          <w:tcPr>
            <w:tcW w:w="7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Capitalized servicing rights</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48"/>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788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8,455</w:t>
            </w:r>
          </w:p>
        </w:tc>
      </w:tr>
      <w:tr>
        <w:trPr>
          <w:trHeight w:val="116"/>
        </w:trPr>
        <w:tc>
          <w:tcPr>
            <w:tcW w:w="7500" w:type="dxa"/>
            <w:vAlign w:val="bottom"/>
          </w:tcPr>
          <w:p>
            <w:pPr>
              <w:ind w:left="100"/>
              <w:spacing w:after="0"/>
              <w:rPr>
                <w:sz w:val="20"/>
                <w:szCs w:val="20"/>
                <w:color w:val="auto"/>
              </w:rPr>
            </w:pPr>
            <w:r>
              <w:rPr>
                <w:rFonts w:ascii="Arial" w:cs="Arial" w:eastAsia="Arial" w:hAnsi="Arial"/>
                <w:sz w:val="9"/>
                <w:szCs w:val="9"/>
                <w:color w:val="auto"/>
              </w:rPr>
              <w:t>Investment securities available for sale transferred to held to maturity</w:t>
            </w:r>
          </w:p>
        </w:tc>
        <w:tc>
          <w:tcPr>
            <w:tcW w:w="140" w:type="dxa"/>
            <w:vAlign w:val="bottom"/>
          </w:tcPr>
          <w:p>
            <w:pPr>
              <w:spacing w:after="0"/>
              <w:rPr>
                <w:sz w:val="10"/>
                <w:szCs w:val="10"/>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298,108</w:t>
            </w:r>
          </w:p>
        </w:tc>
      </w:tr>
    </w:tbl>
    <w:p>
      <w:pPr>
        <w:spacing w:after="0" w:line="23"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Changes in Shareholders’ Equity</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Other</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780" w:type="dxa"/>
            <w:vAlign w:val="bottom"/>
          </w:tcPr>
          <w:p>
            <w:pPr>
              <w:spacing w:after="0" w:line="98" w:lineRule="exact"/>
              <w:rPr>
                <w:sz w:val="20"/>
                <w:szCs w:val="20"/>
                <w:color w:val="auto"/>
              </w:rPr>
            </w:pPr>
            <w:r>
              <w:rPr>
                <w:rFonts w:ascii="Arial" w:cs="Arial" w:eastAsia="Arial" w:hAnsi="Arial"/>
                <w:sz w:val="9"/>
                <w:szCs w:val="9"/>
                <w:b w:val="1"/>
                <w:bCs w:val="1"/>
                <w:color w:val="auto"/>
              </w:rPr>
              <w:t>(In thousands, except per share)</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2"/>
              </w:rPr>
              <w:t>Common</w:t>
            </w:r>
          </w:p>
        </w:tc>
        <w:tc>
          <w:tcPr>
            <w:tcW w:w="700" w:type="dxa"/>
            <w:vAlign w:val="bottom"/>
            <w:gridSpan w:val="2"/>
          </w:tcPr>
          <w:p>
            <w:pPr>
              <w:jc w:val="right"/>
              <w:ind w:right="240"/>
              <w:spacing w:after="0" w:line="98" w:lineRule="exact"/>
              <w:rPr>
                <w:sz w:val="20"/>
                <w:szCs w:val="20"/>
                <w:color w:val="auto"/>
              </w:rPr>
            </w:pPr>
            <w:r>
              <w:rPr>
                <w:rFonts w:ascii="Arial" w:cs="Arial" w:eastAsia="Arial" w:hAnsi="Arial"/>
                <w:sz w:val="9"/>
                <w:szCs w:val="9"/>
                <w:b w:val="1"/>
                <w:bCs w:val="1"/>
                <w:color w:val="auto"/>
                <w:w w:val="99"/>
              </w:rPr>
              <w:t>Additional</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Comprehensive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780" w:type="dxa"/>
            <w:vAlign w:val="bottom"/>
          </w:tcPr>
          <w:p>
            <w:pPr>
              <w:spacing w:after="0"/>
              <w:rPr>
                <w:sz w:val="8"/>
                <w:szCs w:val="8"/>
                <w:color w:val="auto"/>
              </w:rPr>
            </w:pPr>
          </w:p>
        </w:tc>
        <w:tc>
          <w:tcPr>
            <w:tcW w:w="58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Preferred</w:t>
            </w:r>
          </w:p>
        </w:tc>
        <w:tc>
          <w:tcPr>
            <w:tcW w:w="6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Common</w:t>
            </w:r>
          </w:p>
        </w:tc>
        <w:tc>
          <w:tcPr>
            <w:tcW w:w="5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Stock</w:t>
            </w:r>
          </w:p>
        </w:tc>
        <w:tc>
          <w:tcPr>
            <w:tcW w:w="700" w:type="dxa"/>
            <w:vAlign w:val="bottom"/>
            <w:gridSpan w:val="2"/>
          </w:tcPr>
          <w:p>
            <w:pPr>
              <w:jc w:val="right"/>
              <w:ind w:right="300"/>
              <w:spacing w:after="0" w:line="98" w:lineRule="exact"/>
              <w:rPr>
                <w:sz w:val="20"/>
                <w:szCs w:val="20"/>
                <w:color w:val="auto"/>
              </w:rPr>
            </w:pPr>
            <w:r>
              <w:rPr>
                <w:rFonts w:ascii="Arial" w:cs="Arial" w:eastAsia="Arial" w:hAnsi="Arial"/>
                <w:sz w:val="9"/>
                <w:szCs w:val="9"/>
                <w:b w:val="1"/>
                <w:bCs w:val="1"/>
                <w:color w:val="auto"/>
              </w:rPr>
              <w:t>Paid-in</w:t>
            </w:r>
          </w:p>
        </w:tc>
        <w:tc>
          <w:tcPr>
            <w:tcW w:w="600" w:type="dxa"/>
            <w:vAlign w:val="bottom"/>
            <w:gridSpan w:val="2"/>
          </w:tcPr>
          <w:p>
            <w:pPr>
              <w:jc w:val="right"/>
              <w:ind w:right="220"/>
              <w:spacing w:after="0" w:line="98" w:lineRule="exact"/>
              <w:rPr>
                <w:sz w:val="20"/>
                <w:szCs w:val="20"/>
                <w:color w:val="auto"/>
              </w:rPr>
            </w:pPr>
            <w:r>
              <w:rPr>
                <w:rFonts w:ascii="Arial" w:cs="Arial" w:eastAsia="Arial" w:hAnsi="Arial"/>
                <w:sz w:val="9"/>
                <w:szCs w:val="9"/>
                <w:b w:val="1"/>
                <w:bCs w:val="1"/>
                <w:color w:val="auto"/>
                <w:w w:val="94"/>
              </w:rPr>
              <w:t>Retained</w:t>
            </w: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Income (Loss),</w:t>
            </w:r>
          </w:p>
        </w:tc>
        <w:tc>
          <w:tcPr>
            <w:tcW w:w="640" w:type="dxa"/>
            <w:vAlign w:val="bottom"/>
            <w:gridSpan w:val="2"/>
          </w:tcPr>
          <w:p>
            <w:pPr>
              <w:jc w:val="right"/>
              <w:ind w:right="240"/>
              <w:spacing w:after="0" w:line="98" w:lineRule="exact"/>
              <w:rPr>
                <w:sz w:val="20"/>
                <w:szCs w:val="20"/>
                <w:color w:val="auto"/>
              </w:rPr>
            </w:pPr>
            <w:r>
              <w:rPr>
                <w:rFonts w:ascii="Arial" w:cs="Arial" w:eastAsia="Arial" w:hAnsi="Arial"/>
                <w:sz w:val="9"/>
                <w:szCs w:val="9"/>
                <w:b w:val="1"/>
                <w:bCs w:val="1"/>
                <w:color w:val="auto"/>
                <w:w w:val="99"/>
              </w:rPr>
              <w:t>Treasury</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7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ind w:left="20"/>
              <w:spacing w:after="0"/>
              <w:rPr>
                <w:sz w:val="20"/>
                <w:szCs w:val="20"/>
                <w:color w:val="auto"/>
              </w:rPr>
            </w:pPr>
            <w:r>
              <w:rPr>
                <w:rFonts w:ascii="Arial" w:cs="Arial" w:eastAsia="Arial" w:hAnsi="Arial"/>
                <w:sz w:val="9"/>
                <w:szCs w:val="9"/>
                <w:b w:val="1"/>
                <w:bCs w:val="1"/>
                <w:color w:val="auto"/>
              </w:rPr>
              <w:t>Stock</w:t>
            </w:r>
          </w:p>
        </w:tc>
        <w:tc>
          <w:tcPr>
            <w:tcW w:w="6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9"/>
              </w:rPr>
              <w:t>Stock</w:t>
            </w:r>
          </w:p>
        </w:tc>
        <w:tc>
          <w:tcPr>
            <w:tcW w:w="5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Issuable</w:t>
            </w:r>
          </w:p>
        </w:tc>
        <w:tc>
          <w:tcPr>
            <w:tcW w:w="7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Capital</w:t>
            </w:r>
          </w:p>
        </w:tc>
        <w:tc>
          <w:tcPr>
            <w:tcW w:w="6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3"/>
              </w:rPr>
              <w:t>Earnings</w:t>
            </w: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Net</w:t>
            </w:r>
          </w:p>
        </w:tc>
        <w:tc>
          <w:tcPr>
            <w:tcW w:w="6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Stock</w:t>
            </w:r>
          </w:p>
        </w:tc>
        <w:tc>
          <w:tcPr>
            <w:tcW w:w="5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Total</w:t>
            </w:r>
          </w:p>
        </w:tc>
      </w:tr>
      <w:tr>
        <w:trPr>
          <w:trHeight w:val="29"/>
        </w:trPr>
        <w:tc>
          <w:tcPr>
            <w:tcW w:w="47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2008</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Balance — January 1, 2008</w:t>
            </w:r>
          </w:p>
        </w:tc>
        <w:tc>
          <w:tcPr>
            <w:tcW w:w="60" w:type="dxa"/>
            <w:vAlign w:val="bottom"/>
          </w:tcPr>
          <w:p>
            <w:pPr>
              <w:spacing w:after="0" w:line="89" w:lineRule="exact"/>
              <w:rPr>
                <w:sz w:val="20"/>
                <w:szCs w:val="20"/>
                <w:color w:val="auto"/>
              </w:rPr>
            </w:pPr>
            <w:r>
              <w:rPr>
                <w:rFonts w:ascii="Arial" w:cs="Arial" w:eastAsia="Arial" w:hAnsi="Arial"/>
                <w:sz w:val="8"/>
                <w:szCs w:val="8"/>
                <w:color w:val="auto"/>
                <w:w w:val="88"/>
              </w:rPr>
              <w:t>$</w:t>
            </w: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60,198</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4,776</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2,848,752</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4,815,585</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(114,822)</w:t>
            </w: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(1,129,233)</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6,485,256</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Net income</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555,887</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555,887</w:t>
            </w: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ind w:left="320"/>
              <w:spacing w:after="0" w:line="89" w:lineRule="exact"/>
              <w:rPr>
                <w:sz w:val="20"/>
                <w:szCs w:val="20"/>
                <w:color w:val="auto"/>
              </w:rPr>
            </w:pPr>
            <w:r>
              <w:rPr>
                <w:rFonts w:ascii="Arial" w:cs="Arial" w:eastAsia="Arial" w:hAnsi="Arial"/>
                <w:sz w:val="8"/>
                <w:szCs w:val="8"/>
                <w:color w:val="auto"/>
              </w:rPr>
              <w:t>Unrealized losses on investment securities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(497,262)</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(497,262)</w:t>
            </w:r>
          </w:p>
        </w:tc>
      </w:tr>
      <w:tr>
        <w:trPr>
          <w:trHeight w:val="88"/>
        </w:trPr>
        <w:tc>
          <w:tcPr>
            <w:tcW w:w="4780" w:type="dxa"/>
            <w:vAlign w:val="bottom"/>
            <w:shd w:val="clear" w:color="auto" w:fill="CCEEFF"/>
          </w:tcPr>
          <w:p>
            <w:pPr>
              <w:ind w:left="320"/>
              <w:spacing w:after="0" w:line="89" w:lineRule="exact"/>
              <w:rPr>
                <w:sz w:val="20"/>
                <w:szCs w:val="20"/>
                <w:color w:val="auto"/>
              </w:rPr>
            </w:pPr>
            <w:r>
              <w:rPr>
                <w:rFonts w:ascii="Arial" w:cs="Arial" w:eastAsia="Arial" w:hAnsi="Arial"/>
                <w:sz w:val="8"/>
                <w:szCs w:val="8"/>
                <w:color w:val="auto"/>
              </w:rPr>
              <w:t>Defined benefit plans liability adjustment</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(127,845)</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(127,845)</w:t>
            </w:r>
          </w:p>
        </w:tc>
      </w:tr>
      <w:tr>
        <w:trPr>
          <w:trHeight w:val="88"/>
        </w:trPr>
        <w:tc>
          <w:tcPr>
            <w:tcW w:w="4780" w:type="dxa"/>
            <w:vAlign w:val="bottom"/>
          </w:tcPr>
          <w:p>
            <w:pPr>
              <w:ind w:left="320"/>
              <w:spacing w:after="0" w:line="89" w:lineRule="exact"/>
              <w:rPr>
                <w:sz w:val="20"/>
                <w:szCs w:val="20"/>
                <w:color w:val="auto"/>
              </w:rPr>
            </w:pPr>
            <w:r>
              <w:rPr>
                <w:rFonts w:ascii="Arial" w:cs="Arial" w:eastAsia="Arial" w:hAnsi="Arial"/>
                <w:sz w:val="8"/>
                <w:szCs w:val="8"/>
                <w:color w:val="auto"/>
              </w:rPr>
              <w:t>Unrealized losses on terminated cash flow hedges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3,048</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3,048</w:t>
            </w:r>
          </w:p>
        </w:tc>
      </w:tr>
      <w:tr>
        <w:trPr>
          <w:trHeight w:val="20"/>
        </w:trPr>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(66,172)</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Issuance of preferred stock and associated warrants</w:t>
            </w:r>
          </w:p>
        </w:tc>
        <w:tc>
          <w:tcPr>
            <w:tcW w:w="6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567,463</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32,537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600,000</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Repayment of management stock ownership program receivable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72</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72</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Stock-based compensation plans:</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Compensation expense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46,025</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3,602</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49,627</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Exercises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(28,543)</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51,548</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23,005</w:t>
            </w: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Directors’ stock plan</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(450)</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1,797</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1,347</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Deferred compensation plans, net, including dividend equivalents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(159)</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(486)</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(217)</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959</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97</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cash dividends — $2.80 per share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(308,501)</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(308,501)</w:t>
            </w:r>
          </w:p>
        </w:tc>
      </w:tr>
      <w:tr>
        <w:trPr>
          <w:trHeight w:val="20"/>
        </w:trPr>
        <w:tc>
          <w:tcPr>
            <w:tcW w:w="4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tcPr>
          <w:p>
            <w:pPr>
              <w:spacing w:after="0" w:line="88" w:lineRule="exact"/>
              <w:rPr>
                <w:sz w:val="20"/>
                <w:szCs w:val="20"/>
                <w:color w:val="auto"/>
              </w:rPr>
            </w:pPr>
            <w:r>
              <w:rPr>
                <w:rFonts w:ascii="Arial" w:cs="Arial" w:eastAsia="Arial" w:hAnsi="Arial"/>
                <w:sz w:val="8"/>
                <w:szCs w:val="8"/>
                <w:color w:val="auto"/>
              </w:rPr>
              <w:t>Balance — December 31, 2008</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567,463</w:t>
            </w:r>
          </w:p>
        </w:tc>
        <w:tc>
          <w:tcPr>
            <w:tcW w:w="20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60,198</w:t>
            </w:r>
          </w:p>
        </w:tc>
        <w:tc>
          <w:tcPr>
            <w:tcW w:w="200" w:type="dxa"/>
            <w:vAlign w:val="bottom"/>
          </w:tcPr>
          <w:p>
            <w:pPr>
              <w:spacing w:after="0"/>
              <w:rPr>
                <w:sz w:val="7"/>
                <w:szCs w:val="7"/>
                <w:color w:val="auto"/>
              </w:rPr>
            </w:pPr>
          </w:p>
        </w:tc>
        <w:tc>
          <w:tcPr>
            <w:tcW w:w="5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4,617</w:t>
            </w:r>
          </w:p>
        </w:tc>
        <w:tc>
          <w:tcPr>
            <w:tcW w:w="7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2,897,907</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5,062,754</w:t>
            </w: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(736,881)</w:t>
            </w:r>
          </w:p>
        </w:tc>
        <w:tc>
          <w:tcPr>
            <w:tcW w:w="6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(1,071,327)</w:t>
            </w:r>
          </w:p>
        </w:tc>
        <w:tc>
          <w:tcPr>
            <w:tcW w:w="5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6,784,731</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2009</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379,891</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379,891</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320"/>
              <w:spacing w:after="0" w:line="89" w:lineRule="exact"/>
              <w:rPr>
                <w:sz w:val="20"/>
                <w:szCs w:val="20"/>
                <w:color w:val="auto"/>
              </w:rPr>
            </w:pPr>
            <w:r>
              <w:rPr>
                <w:rFonts w:ascii="Arial" w:cs="Arial" w:eastAsia="Arial" w:hAnsi="Arial"/>
                <w:sz w:val="8"/>
                <w:szCs w:val="8"/>
                <w:color w:val="auto"/>
              </w:rPr>
              <w:t>Unrealized gains on investment securities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337,043</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337,043</w:t>
            </w:r>
          </w:p>
        </w:tc>
      </w:tr>
      <w:tr>
        <w:trPr>
          <w:trHeight w:val="88"/>
        </w:trPr>
        <w:tc>
          <w:tcPr>
            <w:tcW w:w="4780" w:type="dxa"/>
            <w:vAlign w:val="bottom"/>
          </w:tcPr>
          <w:p>
            <w:pPr>
              <w:ind w:left="320"/>
              <w:spacing w:after="0" w:line="89" w:lineRule="exact"/>
              <w:rPr>
                <w:sz w:val="20"/>
                <w:szCs w:val="20"/>
                <w:color w:val="auto"/>
              </w:rPr>
            </w:pPr>
            <w:r>
              <w:rPr>
                <w:rFonts w:ascii="Arial" w:cs="Arial" w:eastAsia="Arial" w:hAnsi="Arial"/>
                <w:sz w:val="8"/>
                <w:szCs w:val="8"/>
                <w:color w:val="auto"/>
              </w:rPr>
              <w:t>Defined benefit plans liability adjustment</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57,284</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57,284</w:t>
            </w:r>
          </w:p>
        </w:tc>
      </w:tr>
      <w:tr>
        <w:trPr>
          <w:trHeight w:val="88"/>
        </w:trPr>
        <w:tc>
          <w:tcPr>
            <w:tcW w:w="4780" w:type="dxa"/>
            <w:vAlign w:val="bottom"/>
            <w:shd w:val="clear" w:color="auto" w:fill="CCEEFF"/>
          </w:tcPr>
          <w:p>
            <w:pPr>
              <w:ind w:left="320"/>
              <w:spacing w:after="0" w:line="89" w:lineRule="exact"/>
              <w:rPr>
                <w:sz w:val="20"/>
                <w:szCs w:val="20"/>
                <w:color w:val="auto"/>
              </w:rPr>
            </w:pPr>
            <w:r>
              <w:rPr>
                <w:rFonts w:ascii="Arial" w:cs="Arial" w:eastAsia="Arial" w:hAnsi="Arial"/>
                <w:sz w:val="8"/>
                <w:szCs w:val="8"/>
                <w:color w:val="auto"/>
              </w:rPr>
              <w:t>Unrealized losses on terminated cash flow hedges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6,557</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6,557</w:t>
            </w:r>
          </w:p>
        </w:tc>
      </w:tr>
      <w:tr>
        <w:trPr>
          <w:trHeight w:val="20"/>
        </w:trPr>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780,775</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Acquisition of Provident Bankshares Corporation:</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ind w:left="160"/>
              <w:spacing w:after="0" w:line="89" w:lineRule="exact"/>
              <w:rPr>
                <w:sz w:val="20"/>
                <w:szCs w:val="20"/>
                <w:color w:val="auto"/>
              </w:rPr>
            </w:pPr>
            <w:r>
              <w:rPr>
                <w:rFonts w:ascii="Arial" w:cs="Arial" w:eastAsia="Arial" w:hAnsi="Arial"/>
                <w:sz w:val="8"/>
                <w:szCs w:val="8"/>
                <w:color w:val="auto"/>
              </w:rPr>
              <w:t>Preferred stock issued</w:t>
            </w:r>
          </w:p>
        </w:tc>
        <w:tc>
          <w:tcPr>
            <w:tcW w:w="6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155,779</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155,779</w:t>
            </w:r>
          </w:p>
        </w:tc>
      </w:tr>
      <w:tr>
        <w:trPr>
          <w:trHeight w:val="88"/>
        </w:trPr>
        <w:tc>
          <w:tcPr>
            <w:tcW w:w="478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Common stock issued</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(348,080)</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620,904</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272,824</w:t>
            </w:r>
          </w:p>
        </w:tc>
      </w:tr>
      <w:tr>
        <w:trPr>
          <w:trHeight w:val="88"/>
        </w:trPr>
        <w:tc>
          <w:tcPr>
            <w:tcW w:w="4780" w:type="dxa"/>
            <w:vAlign w:val="bottom"/>
          </w:tcPr>
          <w:p>
            <w:pPr>
              <w:ind w:left="160"/>
              <w:spacing w:after="0" w:line="89" w:lineRule="exact"/>
              <w:rPr>
                <w:sz w:val="20"/>
                <w:szCs w:val="20"/>
                <w:color w:val="auto"/>
              </w:rPr>
            </w:pPr>
            <w:r>
              <w:rPr>
                <w:rFonts w:ascii="Arial" w:cs="Arial" w:eastAsia="Arial" w:hAnsi="Arial"/>
                <w:sz w:val="8"/>
                <w:szCs w:val="8"/>
                <w:color w:val="auto"/>
              </w:rPr>
              <w:t>Common stock options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1,367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1,367</w:t>
            </w:r>
          </w:p>
        </w:tc>
      </w:tr>
      <w:tr>
        <w:trPr>
          <w:trHeight w:val="88"/>
        </w:trPr>
        <w:tc>
          <w:tcPr>
            <w:tcW w:w="478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Common stock warrants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6,467</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6,467</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Issuance of common stock to defined benefit pension plan</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(51,417)</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95,706</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44,289</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Preferred stock cash dividends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(31,946)</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(31,946)</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Amortization of preferred stock discount</w:t>
            </w:r>
          </w:p>
        </w:tc>
        <w:tc>
          <w:tcPr>
            <w:tcW w:w="6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6,993</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(6,993)</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Repayment of management stock ownership program receivable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195</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195</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Stock-based compensation plans:</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Compensation expense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(21,773)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75,278</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53,505</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Exercises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(39,936)</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50,170</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10,234</w:t>
            </w: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Directors’ stock plan</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(1,280)</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2,531</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1,251</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Deferred compensation plans, net, including dividend equivalents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(275)</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(503)</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(205)</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1,036</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53</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cash dividends — $2.80 per share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(326,617)</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(326,617)</w:t>
            </w:r>
          </w:p>
        </w:tc>
      </w:tr>
      <w:tr>
        <w:trPr>
          <w:trHeight w:val="20"/>
        </w:trPr>
        <w:tc>
          <w:tcPr>
            <w:tcW w:w="4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tcPr>
          <w:p>
            <w:pPr>
              <w:spacing w:after="0" w:line="88" w:lineRule="exact"/>
              <w:rPr>
                <w:sz w:val="20"/>
                <w:szCs w:val="20"/>
                <w:color w:val="auto"/>
              </w:rPr>
            </w:pPr>
            <w:r>
              <w:rPr>
                <w:rFonts w:ascii="Arial" w:cs="Arial" w:eastAsia="Arial" w:hAnsi="Arial"/>
                <w:sz w:val="8"/>
                <w:szCs w:val="8"/>
                <w:color w:val="auto"/>
              </w:rPr>
              <w:t>Balance — December 31, 2009</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730,235</w:t>
            </w:r>
          </w:p>
        </w:tc>
        <w:tc>
          <w:tcPr>
            <w:tcW w:w="20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60,198</w:t>
            </w:r>
          </w:p>
        </w:tc>
        <w:tc>
          <w:tcPr>
            <w:tcW w:w="200" w:type="dxa"/>
            <w:vAlign w:val="bottom"/>
          </w:tcPr>
          <w:p>
            <w:pPr>
              <w:spacing w:after="0"/>
              <w:rPr>
                <w:sz w:val="7"/>
                <w:szCs w:val="7"/>
                <w:color w:val="auto"/>
              </w:rPr>
            </w:pPr>
          </w:p>
        </w:tc>
        <w:tc>
          <w:tcPr>
            <w:tcW w:w="5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4,342</w:t>
            </w:r>
          </w:p>
        </w:tc>
        <w:tc>
          <w:tcPr>
            <w:tcW w:w="7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2,442,947</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5,076,884</w:t>
            </w: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(335,997)</w:t>
            </w:r>
          </w:p>
        </w:tc>
        <w:tc>
          <w:tcPr>
            <w:tcW w:w="6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(225,702)</w:t>
            </w:r>
          </w:p>
        </w:tc>
        <w:tc>
          <w:tcPr>
            <w:tcW w:w="5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7,752,907</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2010</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736,161</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736,161</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320"/>
              <w:spacing w:after="0" w:line="89" w:lineRule="exact"/>
              <w:rPr>
                <w:sz w:val="20"/>
                <w:szCs w:val="20"/>
                <w:color w:val="auto"/>
              </w:rPr>
            </w:pPr>
            <w:r>
              <w:rPr>
                <w:rFonts w:ascii="Arial" w:cs="Arial" w:eastAsia="Arial" w:hAnsi="Arial"/>
                <w:sz w:val="8"/>
                <w:szCs w:val="8"/>
                <w:color w:val="auto"/>
              </w:rPr>
              <w:t>Unrealized gains on investment securities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134,904</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134,904</w:t>
            </w:r>
          </w:p>
        </w:tc>
      </w:tr>
      <w:tr>
        <w:trPr>
          <w:trHeight w:val="88"/>
        </w:trPr>
        <w:tc>
          <w:tcPr>
            <w:tcW w:w="4780" w:type="dxa"/>
            <w:vAlign w:val="bottom"/>
          </w:tcPr>
          <w:p>
            <w:pPr>
              <w:ind w:left="320"/>
              <w:spacing w:after="0" w:line="89" w:lineRule="exact"/>
              <w:rPr>
                <w:sz w:val="20"/>
                <w:szCs w:val="20"/>
                <w:color w:val="auto"/>
              </w:rPr>
            </w:pPr>
            <w:r>
              <w:rPr>
                <w:rFonts w:ascii="Arial" w:cs="Arial" w:eastAsia="Arial" w:hAnsi="Arial"/>
                <w:sz w:val="8"/>
                <w:szCs w:val="8"/>
                <w:color w:val="auto"/>
              </w:rPr>
              <w:t>Defined benefit plans liability adjustment</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(3,846)</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(3,846)</w:t>
            </w:r>
          </w:p>
        </w:tc>
      </w:tr>
      <w:tr>
        <w:trPr>
          <w:trHeight w:val="88"/>
        </w:trPr>
        <w:tc>
          <w:tcPr>
            <w:tcW w:w="4780" w:type="dxa"/>
            <w:vAlign w:val="bottom"/>
            <w:shd w:val="clear" w:color="auto" w:fill="CCEEFF"/>
          </w:tcPr>
          <w:p>
            <w:pPr>
              <w:ind w:left="320"/>
              <w:spacing w:after="0" w:line="89" w:lineRule="exact"/>
              <w:rPr>
                <w:sz w:val="20"/>
                <w:szCs w:val="20"/>
                <w:color w:val="auto"/>
              </w:rPr>
            </w:pPr>
            <w:r>
              <w:rPr>
                <w:rFonts w:ascii="Arial" w:cs="Arial" w:eastAsia="Arial" w:hAnsi="Arial"/>
                <w:sz w:val="8"/>
                <w:szCs w:val="8"/>
                <w:color w:val="auto"/>
              </w:rPr>
              <w:t>Unrealized gains on terminated cash flow hedge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(281)</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(281)</w:t>
            </w:r>
          </w:p>
        </w:tc>
      </w:tr>
      <w:tr>
        <w:trPr>
          <w:trHeight w:val="20"/>
        </w:trPr>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866,938</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Preferred stock cash dividends</w:t>
            </w: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(40,225)</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(40,225)</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Amortization of preferred stock discount</w:t>
            </w:r>
          </w:p>
        </w:tc>
        <w:tc>
          <w:tcPr>
            <w:tcW w:w="6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10,422</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(10,422)</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Repayment of management stock ownership program receivable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3,783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3,783</w:t>
            </w:r>
          </w:p>
        </w:tc>
      </w:tr>
      <w:tr>
        <w:trPr>
          <w:trHeight w:val="88"/>
        </w:trPr>
        <w:tc>
          <w:tcPr>
            <w:tcW w:w="4780" w:type="dxa"/>
            <w:vAlign w:val="bottom"/>
          </w:tcPr>
          <w:p>
            <w:pPr>
              <w:spacing w:after="0" w:line="89" w:lineRule="exact"/>
              <w:rPr>
                <w:sz w:val="20"/>
                <w:szCs w:val="20"/>
                <w:color w:val="auto"/>
              </w:rPr>
            </w:pPr>
            <w:r>
              <w:rPr>
                <w:rFonts w:ascii="Arial" w:cs="Arial" w:eastAsia="Arial" w:hAnsi="Arial"/>
                <w:sz w:val="8"/>
                <w:szCs w:val="8"/>
                <w:color w:val="auto"/>
              </w:rPr>
              <w:t>Stock-based compensation plans:</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Compensation expense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5,491</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48,844</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54,335</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Exercises of stock options</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(46,248)</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96,868</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50,620</w:t>
            </w: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Stock purchase plan</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(8,482)</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17,480</w:t>
            </w:r>
          </w:p>
        </w:tc>
        <w:tc>
          <w:tcPr>
            <w:tcW w:w="5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8,998</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Directors’ stock plan</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(362)</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1,479</w:t>
            </w:r>
          </w:p>
        </w:tc>
        <w:tc>
          <w:tcPr>
            <w:tcW w:w="5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1,117</w:t>
            </w:r>
          </w:p>
        </w:tc>
      </w:tr>
      <w:tr>
        <w:trPr>
          <w:trHeight w:val="88"/>
        </w:trPr>
        <w:tc>
          <w:tcPr>
            <w:tcW w:w="478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Deferred compensation plans, net, including dividend equivalents</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(153)</w:t>
            </w:r>
          </w:p>
        </w:tc>
        <w:tc>
          <w:tcPr>
            <w:tcW w:w="7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(305)</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(195)</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639</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(14)</w:t>
            </w:r>
          </w:p>
        </w:tc>
      </w:tr>
      <w:tr>
        <w:trPr>
          <w:trHeight w:val="88"/>
        </w:trPr>
        <w:tc>
          <w:tcPr>
            <w:tcW w:w="4780" w:type="dxa"/>
            <w:vAlign w:val="bottom"/>
          </w:tcPr>
          <w:p>
            <w:pPr>
              <w:ind w:left="80"/>
              <w:spacing w:after="0" w:line="89" w:lineRule="exact"/>
              <w:rPr>
                <w:sz w:val="20"/>
                <w:szCs w:val="20"/>
                <w:color w:val="auto"/>
              </w:rPr>
            </w:pPr>
            <w:r>
              <w:rPr>
                <w:rFonts w:ascii="Arial" w:cs="Arial" w:eastAsia="Arial" w:hAnsi="Arial"/>
                <w:sz w:val="8"/>
                <w:szCs w:val="8"/>
                <w:color w:val="auto"/>
              </w:rPr>
              <w:t>Other</w:t>
            </w:r>
          </w:p>
        </w:tc>
        <w:tc>
          <w:tcPr>
            <w:tcW w:w="60" w:type="dxa"/>
            <w:vAlign w:val="bottom"/>
          </w:tcPr>
          <w:p>
            <w:pPr>
              <w:spacing w:after="0"/>
              <w:rPr>
                <w:sz w:val="7"/>
                <w:szCs w:val="7"/>
                <w:color w:val="auto"/>
              </w:rPr>
            </w:pPr>
          </w:p>
        </w:tc>
        <w:tc>
          <w:tcPr>
            <w:tcW w:w="520" w:type="dxa"/>
            <w:vAlign w:val="bottom"/>
            <w:gridSpan w:val="2"/>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1,791</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(7,053)</w:t>
            </w:r>
          </w:p>
        </w:tc>
        <w:tc>
          <w:tcPr>
            <w:tcW w:w="50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(5,262)</w:t>
            </w:r>
          </w:p>
        </w:tc>
      </w:tr>
      <w:tr>
        <w:trPr>
          <w:trHeight w:val="88"/>
        </w:trPr>
        <w:tc>
          <w:tcPr>
            <w:tcW w:w="47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cash dividends — $2.80 per share</w:t>
            </w:r>
          </w:p>
        </w:tc>
        <w:tc>
          <w:tcPr>
            <w:tcW w:w="60" w:type="dxa"/>
            <w:vAlign w:val="bottom"/>
            <w:shd w:val="clear" w:color="auto" w:fill="CCEEFF"/>
          </w:tcPr>
          <w:p>
            <w:pPr>
              <w:spacing w:after="0"/>
              <w:rPr>
                <w:sz w:val="7"/>
                <w:szCs w:val="7"/>
                <w:color w:val="auto"/>
              </w:rPr>
            </w:pPr>
          </w:p>
        </w:tc>
        <w:tc>
          <w:tcPr>
            <w:tcW w:w="520" w:type="dxa"/>
            <w:vAlign w:val="bottom"/>
            <w:gridSpan w:val="2"/>
            <w:shd w:val="clear" w:color="auto" w:fill="CCEEFF"/>
          </w:tcPr>
          <w:p>
            <w:pPr>
              <w:ind w:left="2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7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(335,502)</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(335,502)</w:t>
            </w:r>
          </w:p>
        </w:tc>
      </w:tr>
      <w:tr>
        <w:trPr>
          <w:trHeight w:val="20"/>
        </w:trPr>
        <w:tc>
          <w:tcPr>
            <w:tcW w:w="4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4780" w:type="dxa"/>
            <w:vAlign w:val="bottom"/>
          </w:tcPr>
          <w:p>
            <w:pPr>
              <w:spacing w:after="0" w:line="88" w:lineRule="exact"/>
              <w:rPr>
                <w:sz w:val="20"/>
                <w:szCs w:val="20"/>
                <w:color w:val="auto"/>
              </w:rPr>
            </w:pPr>
            <w:r>
              <w:rPr>
                <w:rFonts w:ascii="Arial" w:cs="Arial" w:eastAsia="Arial" w:hAnsi="Arial"/>
                <w:sz w:val="8"/>
                <w:szCs w:val="8"/>
                <w:color w:val="auto"/>
              </w:rPr>
              <w:t>Balance — December 31, 2010</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740,657</w:t>
            </w:r>
          </w:p>
        </w:tc>
        <w:tc>
          <w:tcPr>
            <w:tcW w:w="20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60,198</w:t>
            </w:r>
          </w:p>
        </w:tc>
        <w:tc>
          <w:tcPr>
            <w:tcW w:w="200" w:type="dxa"/>
            <w:vAlign w:val="bottom"/>
          </w:tcPr>
          <w:p>
            <w:pPr>
              <w:spacing w:after="0"/>
              <w:rPr>
                <w:sz w:val="7"/>
                <w:szCs w:val="7"/>
                <w:color w:val="auto"/>
              </w:rPr>
            </w:pPr>
          </w:p>
        </w:tc>
        <w:tc>
          <w:tcPr>
            <w:tcW w:w="58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4,189</w:t>
            </w:r>
          </w:p>
        </w:tc>
        <w:tc>
          <w:tcPr>
            <w:tcW w:w="7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2,398,615</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5,426,701</w:t>
            </w:r>
          </w:p>
        </w:tc>
        <w:tc>
          <w:tcPr>
            <w:tcW w:w="10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(205,220)</w:t>
            </w:r>
          </w:p>
        </w:tc>
        <w:tc>
          <w:tcPr>
            <w:tcW w:w="64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(67,445)</w:t>
            </w:r>
          </w:p>
        </w:tc>
        <w:tc>
          <w:tcPr>
            <w:tcW w:w="50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8,357,695</w:t>
            </w:r>
          </w:p>
        </w:tc>
      </w:tr>
      <w:tr>
        <w:trPr>
          <w:trHeight w:val="29"/>
        </w:trPr>
        <w:tc>
          <w:tcPr>
            <w:tcW w:w="4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w:t>
      </w:r>
    </w:p>
    <w:p>
      <w:pPr>
        <w:spacing w:after="0" w:line="95"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Virginia and the District of Columbia and on small and medium-size businesses based in those areas. Banking services are also provided in Delaware, West Virginia and New Jersey, while certain subsidiaries also conduct activities in other areas.</w:t>
      </w:r>
    </w:p>
    <w:p>
      <w:pPr>
        <w:ind w:left="680" w:right="20" w:firstLine="599"/>
        <w:spacing w:after="0" w:line="279" w:lineRule="auto"/>
        <w:rPr>
          <w:sz w:val="20"/>
          <w:szCs w:val="20"/>
          <w:color w:val="auto"/>
        </w:rPr>
      </w:pPr>
      <w:r>
        <w:rPr>
          <w:rFonts w:ascii="Arial" w:cs="Arial" w:eastAsia="Arial" w:hAnsi="Arial"/>
          <w:sz w:val="13"/>
          <w:szCs w:val="13"/>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Consolidation</w:t>
      </w:r>
    </w:p>
    <w:p>
      <w:pPr>
        <w:spacing w:after="0" w:line="18" w:lineRule="exact"/>
        <w:rPr>
          <w:sz w:val="20"/>
          <w:szCs w:val="20"/>
          <w:color w:val="auto"/>
        </w:rPr>
      </w:pPr>
    </w:p>
    <w:p>
      <w:pPr>
        <w:ind w:left="680" w:right="20"/>
        <w:spacing w:after="0" w:line="285" w:lineRule="auto"/>
        <w:rPr>
          <w:sz w:val="20"/>
          <w:szCs w:val="20"/>
          <w:color w:val="auto"/>
        </w:rPr>
      </w:pPr>
      <w:r>
        <w:rPr>
          <w:rFonts w:ascii="Arial" w:cs="Arial" w:eastAsia="Arial" w:hAnsi="Arial"/>
          <w:sz w:val="13"/>
          <w:szCs w:val="13"/>
          <w:color w:val="auto"/>
        </w:rPr>
        <w:t>The consolidated financial statements include M&amp;T and all of its subsidiaries. All significant intercompany accounts and transactions of consolidated subsidiaries have been eliminated in consolidation. The financial statements of M&amp;T included in note 26 report investments in subsidiaries under the equity method. Information about some limited purpose entities that are affiliates of the Company but are not included in the consolidated financial statements appears in note 19.</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Consolidated Statement of Cash Flows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purposes of this statement, cash and due from banks and federal funds sold are considered cash and cash equivalents.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p>
    <w:p>
      <w:pPr>
        <w:spacing w:after="0" w:line="18" w:lineRule="exact"/>
        <w:rPr>
          <w:sz w:val="20"/>
          <w:szCs w:val="20"/>
          <w:color w:val="auto"/>
        </w:rPr>
      </w:pPr>
    </w:p>
    <w:p>
      <w:pPr>
        <w:ind w:left="680" w:right="220"/>
        <w:spacing w:after="0" w:line="346" w:lineRule="auto"/>
        <w:rPr>
          <w:sz w:val="20"/>
          <w:szCs w:val="20"/>
          <w:color w:val="auto"/>
        </w:rPr>
      </w:pPr>
      <w:r>
        <w:rPr>
          <w:rFonts w:ascii="Arial" w:cs="Arial" w:eastAsia="Arial" w:hAnsi="Arial"/>
          <w:sz w:val="12"/>
          <w:szCs w:val="12"/>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w:t>
      </w:r>
    </w:p>
    <w:p>
      <w:pPr>
        <w:spacing w:after="0" w:line="18" w:lineRule="exact"/>
        <w:rPr>
          <w:sz w:val="20"/>
          <w:szCs w:val="20"/>
          <w:color w:val="auto"/>
        </w:rPr>
      </w:pPr>
    </w:p>
    <w:p>
      <w:pPr>
        <w:ind w:left="680" w:right="260"/>
        <w:spacing w:after="0" w:line="263" w:lineRule="auto"/>
        <w:rPr>
          <w:sz w:val="20"/>
          <w:szCs w:val="20"/>
          <w:color w:val="auto"/>
        </w:rPr>
      </w:pPr>
      <w:r>
        <w:rPr>
          <w:rFonts w:ascii="Arial" w:cs="Arial" w:eastAsia="Arial" w:hAnsi="Arial"/>
          <w:sz w:val="14"/>
          <w:szCs w:val="14"/>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ind w:left="1280"/>
        <w:spacing w:after="0"/>
        <w:rPr>
          <w:sz w:val="20"/>
          <w:szCs w:val="20"/>
          <w:color w:val="auto"/>
        </w:rPr>
      </w:pPr>
      <w:r>
        <w:rPr>
          <w:rFonts w:ascii="Arial" w:cs="Arial" w:eastAsia="Arial" w:hAnsi="Arial"/>
          <w:sz w:val="13"/>
          <w:szCs w:val="13"/>
          <w:color w:val="auto"/>
        </w:rPr>
        <w:t>Other securities are stated at cost and include stock of the Federal Reserve Bank of New York and the Federal Home Loan Bank (“FHLB”) of New York.</w:t>
      </w:r>
    </w:p>
    <w:p>
      <w:pPr>
        <w:spacing w:after="0" w:line="18" w:lineRule="exact"/>
        <w:rPr>
          <w:sz w:val="20"/>
          <w:szCs w:val="20"/>
          <w:color w:val="auto"/>
        </w:rPr>
      </w:pPr>
    </w:p>
    <w:p>
      <w:pPr>
        <w:ind w:left="680" w:firstLine="599"/>
        <w:spacing w:after="0" w:line="256" w:lineRule="auto"/>
        <w:rPr>
          <w:sz w:val="20"/>
          <w:szCs w:val="20"/>
          <w:color w:val="auto"/>
        </w:rPr>
      </w:pPr>
      <w:r>
        <w:rPr>
          <w:rFonts w:ascii="Arial" w:cs="Arial" w:eastAsia="Arial" w:hAnsi="Arial"/>
          <w:sz w:val="14"/>
          <w:szCs w:val="14"/>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color w:val="auto"/>
        </w:rPr>
        <w:t>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at the balance sheet date.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balances are charged off when it becomes evident that such balances are not fully collectible. For loans secured by residential real estate, the excess of the loan balances over the net realizable value of the property collateralizing the loan is charged-off when the loan becomes 150 days delinquent.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Except for consumer and residential mortgage loans that are considered smaller balance homogenous loans and are evaluated collectively and purchased-impaired loans,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Purchased-impaired loans are considered impaired under GAAP when it is probable that the Company will be unable to collect all cash flows expected at acquisition plus additional cash flows expected to be collected arising from changes in estimates after acquisition. Regardless of loan type, the Company considers a loan to be impaired if it qualifies as a troubled debt restructuring. Impaired loans are classified as either nonaccrual or as loans renegotiated at below market rates, with the exception of purchased-impaired loans which continue to accrete income in accordance with GAAP. Certain loans greater than 90 days delinquent are not considered impaired if they are both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2" w:lineRule="exact"/>
        <w:rPr>
          <w:sz w:val="20"/>
          <w:szCs w:val="20"/>
          <w:color w:val="auto"/>
        </w:rPr>
      </w:pPr>
    </w:p>
    <w:p>
      <w:pPr>
        <w:jc w:val="both"/>
        <w:ind w:left="680" w:right="180" w:firstLine="599"/>
        <w:spacing w:after="0" w:line="256" w:lineRule="auto"/>
        <w:rPr>
          <w:sz w:val="20"/>
          <w:szCs w:val="20"/>
          <w:color w:val="auto"/>
        </w:rPr>
      </w:pPr>
      <w:r>
        <w:rPr>
          <w:rFonts w:ascii="Arial" w:cs="Arial" w:eastAsia="Arial" w:hAnsi="Arial"/>
          <w:sz w:val="14"/>
          <w:szCs w:val="14"/>
          <w:color w:val="auto"/>
        </w:rPr>
        <w:t>Due to changes in GAAP for loans acquired in a business combination subsequent to December 31, 2008, the excess of cash flows expected at acquisition over the estimated fair value is recognized as interest income over the remaining lives of the loans. Because those loans are recorded at fair value, no carry-over of an acquired entity’s previously established allowance for credit losses may be recorded.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540"/>
        <w:spacing w:after="0" w:line="277" w:lineRule="auto"/>
        <w:rPr>
          <w:sz w:val="20"/>
          <w:szCs w:val="20"/>
          <w:color w:val="auto"/>
        </w:rPr>
      </w:pPr>
      <w:r>
        <w:rPr>
          <w:rFonts w:ascii="Arial" w:cs="Arial" w:eastAsia="Arial" w:hAnsi="Arial"/>
          <w:sz w:val="13"/>
          <w:szCs w:val="13"/>
          <w:color w:val="auto"/>
        </w:rPr>
        <w:t>Subsequent decreases in the expected cash flows require the Company to evaluate the need for additions to the Company’s allowance for credit losses. Subsequent improvements in expected cash flows result in the recognition of additional interest income over the then remaining lives of the loans.</w:t>
      </w:r>
    </w:p>
    <w:p>
      <w:pPr>
        <w:spacing w:after="0" w:line="1" w:lineRule="exact"/>
        <w:rPr>
          <w:sz w:val="20"/>
          <w:szCs w:val="20"/>
          <w:color w:val="auto"/>
        </w:rPr>
      </w:pPr>
    </w:p>
    <w:p>
      <w:pPr>
        <w:ind w:left="680" w:right="360" w:firstLine="599"/>
        <w:spacing w:after="0" w:line="263" w:lineRule="auto"/>
        <w:rPr>
          <w:sz w:val="20"/>
          <w:szCs w:val="20"/>
          <w:color w:val="auto"/>
        </w:rPr>
      </w:pPr>
      <w:r>
        <w:rPr>
          <w:rFonts w:ascii="Arial" w:cs="Arial" w:eastAsia="Arial" w:hAnsi="Arial"/>
          <w:sz w:val="14"/>
          <w:szCs w:val="14"/>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The allowance for credit losses represents the amount which, in management’s judgment, will be adequate to absorb credit losses inherent in the loan and lease portfolio as of the balance sheet date. The adequacy of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Assets taken in foreclosure of defaulted loans</w:t>
      </w:r>
    </w:p>
    <w:p>
      <w:pPr>
        <w:spacing w:after="0" w:line="18"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expense” in the consolidated statement of income.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Premises and equipment</w:t>
      </w:r>
    </w:p>
    <w:p>
      <w:pPr>
        <w:spacing w:after="0" w:line="18" w:lineRule="exact"/>
        <w:rPr>
          <w:sz w:val="20"/>
          <w:szCs w:val="20"/>
          <w:color w:val="auto"/>
        </w:rPr>
      </w:pPr>
    </w:p>
    <w:p>
      <w:pPr>
        <w:ind w:left="680" w:right="180"/>
        <w:spacing w:after="0" w:line="263" w:lineRule="auto"/>
        <w:rPr>
          <w:sz w:val="20"/>
          <w:szCs w:val="20"/>
          <w:color w:val="auto"/>
        </w:rPr>
      </w:pPr>
      <w:r>
        <w:rPr>
          <w:rFonts w:ascii="Arial" w:cs="Arial" w:eastAsia="Arial" w:hAnsi="Arial"/>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8" w:lineRule="exact"/>
        <w:rPr>
          <w:sz w:val="20"/>
          <w:szCs w:val="20"/>
          <w:color w:val="auto"/>
        </w:rPr>
      </w:pPr>
    </w:p>
    <w:p>
      <w:pPr>
        <w:ind w:left="680" w:right="80"/>
        <w:spacing w:after="0" w:line="249" w:lineRule="auto"/>
        <w:rPr>
          <w:sz w:val="20"/>
          <w:szCs w:val="20"/>
          <w:color w:val="auto"/>
        </w:rPr>
      </w:pPr>
      <w:r>
        <w:rPr>
          <w:rFonts w:ascii="Arial" w:cs="Arial" w:eastAsia="Arial" w:hAnsi="Arial"/>
          <w:sz w:val="14"/>
          <w:szCs w:val="14"/>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ind w:left="680" w:right="20" w:firstLine="599"/>
        <w:spacing w:after="0" w:line="273" w:lineRule="auto"/>
        <w:rPr>
          <w:sz w:val="20"/>
          <w:szCs w:val="20"/>
          <w:color w:val="auto"/>
        </w:rPr>
      </w:pPr>
      <w:r>
        <w:rPr>
          <w:rFonts w:ascii="Arial" w:cs="Arial" w:eastAsia="Arial" w:hAnsi="Arial"/>
          <w:sz w:val="13"/>
          <w:szCs w:val="13"/>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Sales and securitizations of financial assets</w:t>
      </w:r>
    </w:p>
    <w:p>
      <w:pPr>
        <w:spacing w:after="0" w:line="1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Due to changes in GAAP, transfers of financial assets that occur on or after January 1, 2010 for which the Company has surrendered control of the financial assets are accounted for as sales. Interests in a sale of financial assets that continue to be held by the Company, including servicing rights, are measured at fair value. Prior to January 1, 2010, transfers of financial assets for which the Company had surrendered control of the financial assets were accounted for as sales to the extent that consideration other than beneficial interests in the transferred assets was received in exchange. Interests in a sale or securitization of financial assets that continued to be held by the Company, other than servicing rights which were initially measured at fair value, were measured at the date of transfer by allocating the previous carrying</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20"/>
        <w:spacing w:after="0" w:line="255" w:lineRule="auto"/>
        <w:rPr>
          <w:sz w:val="20"/>
          <w:szCs w:val="20"/>
          <w:color w:val="auto"/>
        </w:rPr>
      </w:pPr>
      <w:r>
        <w:rPr>
          <w:rFonts w:ascii="Arial" w:cs="Arial" w:eastAsia="Arial" w:hAnsi="Arial"/>
          <w:sz w:val="14"/>
          <w:szCs w:val="14"/>
          <w:color w:val="auto"/>
        </w:rPr>
        <w:t>amount between the assets transferred and the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ind w:left="680" w:right="160" w:firstLine="599"/>
        <w:spacing w:after="0" w:line="252" w:lineRule="auto"/>
        <w:rPr>
          <w:sz w:val="20"/>
          <w:szCs w:val="20"/>
          <w:color w:val="auto"/>
        </w:rPr>
      </w:pPr>
      <w:r>
        <w:rPr>
          <w:rFonts w:ascii="Arial" w:cs="Arial" w:eastAsia="Arial" w:hAnsi="Arial"/>
          <w:sz w:val="14"/>
          <w:szCs w:val="14"/>
          <w:color w:val="auto"/>
        </w:rPr>
        <w:t>Also due to changes in GAAP, for transfers of financial assets that occur on or after January 1, 2010 the exception that permitted sale accounting for certain mortgage securitizations when a transferor has not surrendered control over the transferred assets was eliminated. The change in GAAP also eliminated the concept of qualifying special-purpose entities. As a result, beginning January 1, 2010, all formerly qualifying special-purpose entities had to be re-evaluated in accordance with the applicable consolidation guidance. Additional information on the effects of this accounting change and changes in the accounting guidance relating to the consolidation of variable interest entities is included in note 19.</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Goodwill and core deposit and other intangible assets</w:t>
      </w:r>
    </w:p>
    <w:p>
      <w:pPr>
        <w:spacing w:after="0" w:line="18"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8" w:lineRule="exact"/>
        <w:rPr>
          <w:sz w:val="20"/>
          <w:szCs w:val="20"/>
          <w:color w:val="auto"/>
        </w:rPr>
      </w:pPr>
    </w:p>
    <w:p>
      <w:pPr>
        <w:ind w:left="680" w:right="260"/>
        <w:spacing w:after="0" w:line="249" w:lineRule="auto"/>
        <w:rPr>
          <w:sz w:val="20"/>
          <w:szCs w:val="20"/>
          <w:color w:val="auto"/>
        </w:rPr>
      </w:pPr>
      <w:r>
        <w:rPr>
          <w:rFonts w:ascii="Arial" w:cs="Arial" w:eastAsia="Arial" w:hAnsi="Arial"/>
          <w:sz w:val="14"/>
          <w:szCs w:val="14"/>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w:t>
      </w:r>
    </w:p>
    <w:p>
      <w:pPr>
        <w:ind w:left="680" w:right="40" w:firstLine="599"/>
        <w:spacing w:after="0" w:line="249"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1" w:lineRule="exact"/>
        <w:rPr>
          <w:sz w:val="20"/>
          <w:szCs w:val="20"/>
          <w:color w:val="auto"/>
        </w:rPr>
      </w:pPr>
    </w:p>
    <w:p>
      <w:pPr>
        <w:ind w:left="680" w:right="160" w:firstLine="599"/>
        <w:spacing w:after="0" w:line="249" w:lineRule="auto"/>
        <w:rPr>
          <w:sz w:val="20"/>
          <w:szCs w:val="20"/>
          <w:color w:val="auto"/>
        </w:rPr>
      </w:pPr>
      <w:r>
        <w:rPr>
          <w:rFonts w:ascii="Arial" w:cs="Arial" w:eastAsia="Arial" w:hAnsi="Arial"/>
          <w:sz w:val="14"/>
          <w:szCs w:val="14"/>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w:t>
      </w:r>
    </w:p>
    <w:p>
      <w:pPr>
        <w:ind w:left="680" w:right="140" w:firstLine="599"/>
        <w:spacing w:after="0" w:line="256" w:lineRule="auto"/>
        <w:rPr>
          <w:sz w:val="20"/>
          <w:szCs w:val="20"/>
          <w:color w:val="auto"/>
        </w:rPr>
      </w:pPr>
      <w:r>
        <w:rPr>
          <w:rFonts w:ascii="Arial" w:cs="Arial" w:eastAsia="Arial" w:hAnsi="Arial"/>
          <w:sz w:val="14"/>
          <w:szCs w:val="14"/>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 w:lineRule="exact"/>
        <w:rPr>
          <w:sz w:val="20"/>
          <w:szCs w:val="20"/>
          <w:color w:val="auto"/>
        </w:rPr>
      </w:pPr>
    </w:p>
    <w:p>
      <w:pPr>
        <w:ind w:left="680"/>
        <w:spacing w:after="0" w:line="279" w:lineRule="auto"/>
        <w:rPr>
          <w:sz w:val="20"/>
          <w:szCs w:val="20"/>
          <w:color w:val="auto"/>
        </w:rPr>
      </w:pPr>
      <w:r>
        <w:rPr>
          <w:rFonts w:ascii="Arial" w:cs="Arial" w:eastAsia="Arial" w:hAnsi="Arial"/>
          <w:sz w:val="13"/>
          <w:szCs w:val="13"/>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 Information on the determination of the estimated value of stock-based awards used to calculate stock-based compensation expense is included in note 11.</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Income taxes</w:t>
      </w:r>
    </w:p>
    <w:p>
      <w:pPr>
        <w:spacing w:after="0" w:line="18" w:lineRule="exact"/>
        <w:rPr>
          <w:sz w:val="20"/>
          <w:szCs w:val="20"/>
          <w:color w:val="auto"/>
        </w:rPr>
      </w:pPr>
    </w:p>
    <w:p>
      <w:pPr>
        <w:ind w:left="680" w:right="200"/>
        <w:spacing w:after="0" w:line="249" w:lineRule="auto"/>
        <w:rPr>
          <w:sz w:val="20"/>
          <w:szCs w:val="20"/>
          <w:color w:val="auto"/>
        </w:rPr>
      </w:pPr>
      <w:r>
        <w:rPr>
          <w:rFonts w:ascii="Arial" w:cs="Arial" w:eastAsia="Arial" w:hAnsi="Arial"/>
          <w:sz w:val="14"/>
          <w:szCs w:val="14"/>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ind w:left="680" w:right="40" w:firstLine="599"/>
        <w:spacing w:after="0" w:line="279" w:lineRule="auto"/>
        <w:rPr>
          <w:sz w:val="20"/>
          <w:szCs w:val="20"/>
          <w:color w:val="auto"/>
        </w:rPr>
      </w:pPr>
      <w:r>
        <w:rPr>
          <w:rFonts w:ascii="Arial" w:cs="Arial" w:eastAsia="Arial" w:hAnsi="Arial"/>
          <w:sz w:val="13"/>
          <w:szCs w:val="13"/>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 Information related to uncertain tax positions is provided in note 13.</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Earnings per common share</w:t>
      </w:r>
    </w:p>
    <w:p>
      <w:pPr>
        <w:spacing w:after="0" w:line="18" w:lineRule="exact"/>
        <w:rPr>
          <w:sz w:val="20"/>
          <w:szCs w:val="20"/>
          <w:color w:val="auto"/>
        </w:rPr>
      </w:pPr>
    </w:p>
    <w:p>
      <w:pPr>
        <w:ind w:left="680" w:right="20"/>
        <w:spacing w:after="0" w:line="268" w:lineRule="auto"/>
        <w:rPr>
          <w:sz w:val="20"/>
          <w:szCs w:val="20"/>
          <w:color w:val="auto"/>
        </w:rPr>
      </w:pPr>
      <w:r>
        <w:rPr>
          <w:rFonts w:ascii="Arial" w:cs="Arial" w:eastAsia="Arial" w:hAnsi="Arial"/>
          <w:sz w:val="13"/>
          <w:szCs w:val="13"/>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1"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GAAP requires that for financial statements issued for fiscal years beginning after December 15, 2008 and interim periods within those years, unvested share-based payment awards that contain nonforfeitable rights to dividends or dividend equivalents (whether paid or unpaid) shall be considered participating securities and shall be included in the computation of earnings per common share pursuant to the two-class method. In 2009 and 2010, the Company issued stock-based compensation awards in the form of restricted stock and restricted stock units that contain such rights and, accordingly, beginning in 2009 the Company’s earnings per common share are calculated using the two-class method. The effects of the application of the two-class method to earnings per common share amounts for prior years were immaterial.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Treasury stock</w:t>
      </w:r>
    </w:p>
    <w:p>
      <w:pPr>
        <w:spacing w:after="0" w:line="18" w:lineRule="exact"/>
        <w:rPr>
          <w:sz w:val="20"/>
          <w:szCs w:val="20"/>
          <w:color w:val="auto"/>
        </w:rPr>
      </w:pPr>
    </w:p>
    <w:p>
      <w:pPr>
        <w:ind w:left="680" w:right="240"/>
        <w:spacing w:after="0" w:line="263" w:lineRule="auto"/>
        <w:rPr>
          <w:sz w:val="20"/>
          <w:szCs w:val="20"/>
          <w:color w:val="auto"/>
        </w:rPr>
      </w:pPr>
      <w:r>
        <w:rPr>
          <w:rFonts w:ascii="Arial" w:cs="Arial" w:eastAsia="Arial" w:hAnsi="Arial"/>
          <w:sz w:val="14"/>
          <w:szCs w:val="14"/>
          <w:color w:val="auto"/>
        </w:rPr>
        <w:t>Repurchases of shares of M&amp;T common stock are recorded at cost as a reduction of shareholders’ equity. Reissuances of shares of treasury stock are recorded at average cost.</w:t>
      </w:r>
    </w:p>
    <w:p>
      <w:pPr>
        <w:spacing w:after="0" w:line="132"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w:t>
      </w:r>
    </w:p>
    <w:p>
      <w:pPr>
        <w:spacing w:after="0" w:line="22" w:lineRule="exact"/>
        <w:rPr>
          <w:sz w:val="20"/>
          <w:szCs w:val="20"/>
          <w:color w:val="auto"/>
        </w:rPr>
      </w:pPr>
    </w:p>
    <w:p>
      <w:pPr>
        <w:ind w:left="680" w:right="20"/>
        <w:spacing w:after="0" w:line="253" w:lineRule="auto"/>
        <w:rPr>
          <w:sz w:val="20"/>
          <w:szCs w:val="20"/>
          <w:color w:val="auto"/>
        </w:rPr>
      </w:pPr>
      <w:r>
        <w:rPr>
          <w:rFonts w:ascii="Arial" w:cs="Arial" w:eastAsia="Arial" w:hAnsi="Arial"/>
          <w:sz w:val="14"/>
          <w:szCs w:val="14"/>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00"/>
        <w:spacing w:after="0" w:line="272" w:lineRule="auto"/>
        <w:rPr>
          <w:sz w:val="20"/>
          <w:szCs w:val="20"/>
          <w:color w:val="auto"/>
        </w:rPr>
      </w:pPr>
      <w:r>
        <w:rPr>
          <w:rFonts w:ascii="Arial" w:cs="Arial" w:eastAsia="Arial" w:hAnsi="Arial"/>
          <w:sz w:val="13"/>
          <w:szCs w:val="13"/>
          <w:color w:val="auto"/>
        </w:rPr>
        <w:t>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reflects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ind w:left="680" w:right="480" w:firstLine="599"/>
        <w:spacing w:after="0" w:line="268" w:lineRule="auto"/>
        <w:rPr>
          <w:sz w:val="20"/>
          <w:szCs w:val="20"/>
          <w:color w:val="auto"/>
        </w:rPr>
      </w:pPr>
      <w:r>
        <w:rPr>
          <w:rFonts w:ascii="Arial" w:cs="Arial" w:eastAsia="Arial" w:hAnsi="Arial"/>
          <w:sz w:val="13"/>
          <w:szCs w:val="13"/>
          <w:color w:val="auto"/>
        </w:rPr>
        <w:t>On November 1, 2010, M&amp;T entered into a definitive agreement with Wilmington Trust Corporation (“Wilmington Trust”), headquartered in Wilmington, Delaware, under which Wilmington Trust will be acquired by M&amp;T. Pursuant to the terms of the agreement, Wilmington Trust common shareholders will receive</w:t>
      </w:r>
    </w:p>
    <w:p>
      <w:pPr>
        <w:jc w:val="both"/>
        <w:ind w:left="680"/>
        <w:spacing w:after="0" w:line="249" w:lineRule="auto"/>
        <w:rPr>
          <w:sz w:val="20"/>
          <w:szCs w:val="20"/>
          <w:color w:val="auto"/>
        </w:rPr>
      </w:pPr>
      <w:r>
        <w:rPr>
          <w:rFonts w:ascii="Arial" w:cs="Arial" w:eastAsia="Arial" w:hAnsi="Arial"/>
          <w:sz w:val="14"/>
          <w:szCs w:val="14"/>
          <w:color w:val="auto"/>
        </w:rPr>
        <w:t>.051372 shares of M&amp;T common stock in exchange for each share of Wilmington Trust common stock in a stock-for-stock transaction valued at $351 million (with the price based on M&amp;T’s closing price of $74.75 per share as of October 29, 2010), plus the assumption of $330 million in preferred stock issued by Wilmington Trust as part of the Troubled Asset Relief Program — Capital Purchase Program of the U.S. Department of Treasury (“U.S. Treasury”).</w:t>
      </w:r>
    </w:p>
    <w:p>
      <w:pPr>
        <w:ind w:left="1280"/>
        <w:spacing w:after="0"/>
        <w:rPr>
          <w:sz w:val="20"/>
          <w:szCs w:val="20"/>
          <w:color w:val="auto"/>
        </w:rPr>
      </w:pPr>
      <w:r>
        <w:rPr>
          <w:rFonts w:ascii="Arial" w:cs="Arial" w:eastAsia="Arial" w:hAnsi="Arial"/>
          <w:sz w:val="14"/>
          <w:szCs w:val="14"/>
          <w:color w:val="auto"/>
        </w:rPr>
        <w:t>At December 31, 2010, Wilmington Trust had approximately $10.9 billion of assets, including $7.5 billion of loans, $10.1 billion of liabilities, including</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$9.0 billion of deposits, and $60.1 billion of combined assets under management, including $43.6 billion managed by Wilmington Trust and $16.5 billion managed by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affiliates. The merger is subject to a number of conditions, including the approval of various state and Federal regulators and Wilmington Trust’s common shareholders,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is expected to be completed by mid-year 2011.</w:t>
      </w:r>
    </w:p>
    <w:p>
      <w:pPr>
        <w:spacing w:after="0" w:line="6"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On August 28, 2009, M&amp;T Bank entered into a purchase and assumption agreement with the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There was no goodwill or other intangible assets recorded in connection with this transaction. The operations obtained in the Bradford acquisition transaction did not have a material impact on the Company’s consolidated financial position or results of operations.</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shareholders’ equity.</w:t>
      </w:r>
    </w:p>
    <w:p>
      <w:pPr>
        <w:spacing w:after="0" w:line="1" w:lineRule="exact"/>
        <w:rPr>
          <w:sz w:val="20"/>
          <w:szCs w:val="20"/>
          <w:color w:val="auto"/>
        </w:rPr>
      </w:pPr>
    </w:p>
    <w:p>
      <w:pPr>
        <w:ind w:left="680" w:right="160" w:firstLine="599"/>
        <w:spacing w:after="0" w:line="263" w:lineRule="auto"/>
        <w:rPr>
          <w:sz w:val="20"/>
          <w:szCs w:val="20"/>
          <w:color w:val="auto"/>
        </w:rPr>
      </w:pPr>
      <w:r>
        <w:rPr>
          <w:rFonts w:ascii="Arial" w:cs="Arial" w:eastAsia="Arial" w:hAnsi="Arial"/>
          <w:sz w:val="14"/>
          <w:szCs w:val="14"/>
          <w:color w:val="auto"/>
        </w:rPr>
        <w:t>The Provident transaction was accounted for using the acquisition method of accounting and, accordingly, assets acquired, liabilities assumed and consideration exchanged were recorded at estimated fair value on the acquisition date. Assets acquired totaled $6.3 billion, including $4.0 billion of loans and</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shareholders’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ind w:left="680" w:right="20" w:firstLine="599"/>
        <w:spacing w:after="0" w:line="268" w:lineRule="auto"/>
        <w:rPr>
          <w:sz w:val="20"/>
          <w:szCs w:val="20"/>
          <w:color w:val="auto"/>
        </w:rPr>
      </w:pPr>
      <w:r>
        <w:rPr>
          <w:rFonts w:ascii="Arial" w:cs="Arial" w:eastAsia="Arial" w:hAnsi="Arial"/>
          <w:sz w:val="13"/>
          <w:szCs w:val="13"/>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those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carry-over of Provident’s previously established allowance for credit losses.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 conjunction with the Provident acquisition, the acquired loan portfolio was accounted for at fair value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May 23, 2009</w:t>
            </w:r>
          </w:p>
        </w:tc>
      </w:tr>
      <w:tr>
        <w:trPr>
          <w:trHeight w:val="131"/>
        </w:trPr>
        <w:tc>
          <w:tcPr>
            <w:tcW w:w="9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r>
      <w:tr>
        <w:trPr>
          <w:trHeight w:val="163"/>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Contractually required principal and interest at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5,465,167</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Contractual cash flows not expected to be collected</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(832,115)</w:t>
            </w:r>
          </w:p>
        </w:tc>
      </w:tr>
      <w:tr>
        <w:trPr>
          <w:trHeight w:val="20"/>
        </w:trPr>
        <w:tc>
          <w:tcPr>
            <w:tcW w:w="9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Expected cash flows at acquisition</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4,633,052</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Interest component of expected cash flows</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(595,685)</w:t>
            </w:r>
          </w:p>
        </w:tc>
      </w:tr>
      <w:tr>
        <w:trPr>
          <w:trHeight w:val="20"/>
        </w:trPr>
        <w:tc>
          <w:tcPr>
            <w:tcW w:w="9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Basis in acquired loans at acquisition — estimated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4,037,367</w:t>
            </w:r>
          </w:p>
        </w:tc>
      </w:tr>
      <w:tr>
        <w:trPr>
          <w:trHeight w:val="29"/>
        </w:trPr>
        <w:tc>
          <w:tcPr>
            <w:tcW w:w="9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480" w:firstLine="399"/>
        <w:spacing w:after="0" w:line="265" w:lineRule="auto"/>
        <w:rPr>
          <w:sz w:val="20"/>
          <w:szCs w:val="20"/>
          <w:color w:val="auto"/>
        </w:rPr>
      </w:pPr>
      <w:r>
        <w:rPr>
          <w:rFonts w:ascii="Arial" w:cs="Arial" w:eastAsia="Arial" w:hAnsi="Arial"/>
          <w:sz w:val="14"/>
          <w:szCs w:val="14"/>
          <w:color w:val="auto"/>
        </w:rPr>
        <w:t>Interest income on acquired loans for the year ended December 31, 2010 was approximately $162 million. For the period from the date of acquisition to December 31, 2009, interest income on such loans was approximately $105 million. The outstanding principal balance and the carrying amount of these loans that is included in the consolidated balance sheet is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7200" w:type="dxa"/>
            <w:vAlign w:val="bottom"/>
          </w:tcPr>
          <w:p>
            <w:pPr>
              <w:spacing w:after="0"/>
              <w:rPr>
                <w:sz w:val="8"/>
                <w:szCs w:val="8"/>
                <w:color w:val="auto"/>
              </w:rPr>
            </w:pPr>
          </w:p>
        </w:tc>
        <w:tc>
          <w:tcPr>
            <w:tcW w:w="980" w:type="dxa"/>
            <w:vAlign w:val="bottom"/>
            <w:tcBorders>
              <w:bottom w:val="single" w:sz="8" w:color="auto"/>
            </w:tcBorders>
          </w:tcPr>
          <w:p>
            <w:pPr>
              <w:jc w:val="right"/>
              <w:ind w:right="199"/>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Borders>
              <w:bottom w:val="single" w:sz="8" w:color="auto"/>
            </w:tcBorders>
          </w:tcPr>
          <w:p>
            <w:pPr>
              <w:jc w:val="right"/>
              <w:ind w:right="468"/>
              <w:spacing w:after="0" w:line="98" w:lineRule="exact"/>
              <w:rPr>
                <w:sz w:val="20"/>
                <w:szCs w:val="20"/>
                <w:color w:val="auto"/>
              </w:rPr>
            </w:pPr>
            <w:r>
              <w:rPr>
                <w:rFonts w:ascii="Arial" w:cs="Arial" w:eastAsia="Arial" w:hAnsi="Arial"/>
                <w:sz w:val="10"/>
                <w:szCs w:val="10"/>
                <w:b w:val="1"/>
                <w:bCs w:val="1"/>
                <w:color w:val="auto"/>
              </w:rPr>
              <w:t>2009</w:t>
            </w:r>
          </w:p>
        </w:tc>
      </w:tr>
      <w:tr>
        <w:trPr>
          <w:trHeight w:val="125"/>
        </w:trPr>
        <w:tc>
          <w:tcPr>
            <w:tcW w:w="7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ind w:left="80"/>
              <w:spacing w:after="0"/>
              <w:rPr>
                <w:sz w:val="20"/>
                <w:szCs w:val="20"/>
                <w:color w:val="auto"/>
              </w:rPr>
            </w:pPr>
            <w:r>
              <w:rPr>
                <w:rFonts w:ascii="Arial" w:cs="Arial" w:eastAsia="Arial" w:hAnsi="Arial"/>
                <w:sz w:val="10"/>
                <w:szCs w:val="10"/>
                <w:b w:val="1"/>
                <w:bCs w:val="1"/>
                <w:color w:val="auto"/>
              </w:rPr>
              <w:t>(In</w:t>
            </w:r>
          </w:p>
        </w:tc>
        <w:tc>
          <w:tcPr>
            <w:tcW w:w="1520" w:type="dxa"/>
            <w:vAlign w:val="bottom"/>
            <w:gridSpan w:val="2"/>
          </w:tcPr>
          <w:p>
            <w:pPr>
              <w:jc w:val="right"/>
              <w:ind w:right="1008"/>
              <w:spacing w:after="0"/>
              <w:rPr>
                <w:sz w:val="20"/>
                <w:szCs w:val="20"/>
                <w:color w:val="auto"/>
              </w:rPr>
            </w:pPr>
            <w:r>
              <w:rPr>
                <w:rFonts w:ascii="Arial" w:cs="Arial" w:eastAsia="Arial" w:hAnsi="Arial"/>
                <w:sz w:val="10"/>
                <w:szCs w:val="10"/>
                <w:b w:val="1"/>
                <w:bCs w:val="1"/>
                <w:color w:val="auto"/>
                <w:w w:val="81"/>
              </w:rPr>
              <w:t>thousands)</w:t>
            </w:r>
          </w:p>
        </w:tc>
      </w:tr>
      <w:tr>
        <w:trPr>
          <w:trHeight w:val="161"/>
        </w:trPr>
        <w:tc>
          <w:tcPr>
            <w:tcW w:w="7200" w:type="dxa"/>
            <w:vAlign w:val="bottom"/>
          </w:tcPr>
          <w:p>
            <w:pPr>
              <w:spacing w:after="0"/>
              <w:rPr>
                <w:sz w:val="20"/>
                <w:szCs w:val="20"/>
                <w:color w:val="auto"/>
              </w:rPr>
            </w:pPr>
            <w:r>
              <w:rPr>
                <w:rFonts w:ascii="Arial" w:cs="Arial" w:eastAsia="Arial" w:hAnsi="Arial"/>
                <w:sz w:val="13"/>
                <w:szCs w:val="13"/>
                <w:color w:val="auto"/>
              </w:rPr>
              <w:t>Outstanding principal balance</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$3,139,025</w:t>
            </w:r>
          </w:p>
        </w:tc>
        <w:tc>
          <w:tcPr>
            <w:tcW w:w="1800" w:type="dxa"/>
            <w:vAlign w:val="bottom"/>
            <w:gridSpan w:val="3"/>
          </w:tcPr>
          <w:p>
            <w:pPr>
              <w:jc w:val="right"/>
              <w:ind w:right="308"/>
              <w:spacing w:after="0"/>
              <w:rPr>
                <w:sz w:val="20"/>
                <w:szCs w:val="20"/>
                <w:color w:val="auto"/>
              </w:rPr>
            </w:pPr>
            <w:r>
              <w:rPr>
                <w:rFonts w:ascii="Arial" w:cs="Arial" w:eastAsia="Arial" w:hAnsi="Arial"/>
                <w:sz w:val="13"/>
                <w:szCs w:val="13"/>
                <w:color w:val="auto"/>
              </w:rPr>
              <w:t>$3,875,415</w:t>
            </w:r>
          </w:p>
        </w:tc>
      </w:tr>
      <w:tr>
        <w:trPr>
          <w:trHeight w:val="165"/>
        </w:trPr>
        <w:tc>
          <w:tcPr>
            <w:tcW w:w="7200" w:type="dxa"/>
            <w:vAlign w:val="bottom"/>
          </w:tcPr>
          <w:p>
            <w:pPr>
              <w:spacing w:after="0"/>
              <w:rPr>
                <w:sz w:val="20"/>
                <w:szCs w:val="20"/>
                <w:color w:val="auto"/>
              </w:rPr>
            </w:pPr>
            <w:r>
              <w:rPr>
                <w:rFonts w:ascii="Arial" w:cs="Arial" w:eastAsia="Arial" w:hAnsi="Arial"/>
                <w:sz w:val="13"/>
                <w:szCs w:val="13"/>
                <w:color w:val="auto"/>
              </w:rPr>
              <w:t>Carrying amount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2,966,754</w:t>
            </w:r>
          </w:p>
        </w:tc>
        <w:tc>
          <w:tcPr>
            <w:tcW w:w="1800" w:type="dxa"/>
            <w:vAlign w:val="bottom"/>
            <w:gridSpan w:val="3"/>
          </w:tcPr>
          <w:p>
            <w:pPr>
              <w:jc w:val="right"/>
              <w:ind w:right="308"/>
              <w:spacing w:after="0"/>
              <w:rPr>
                <w:sz w:val="20"/>
                <w:szCs w:val="20"/>
                <w:color w:val="auto"/>
              </w:rPr>
            </w:pPr>
            <w:r>
              <w:rPr>
                <w:rFonts w:ascii="Arial" w:cs="Arial" w:eastAsia="Arial" w:hAnsi="Arial"/>
                <w:sz w:val="13"/>
                <w:szCs w:val="13"/>
                <w:color w:val="auto"/>
              </w:rPr>
              <w:t>3,644,110</w:t>
            </w:r>
          </w:p>
        </w:tc>
      </w:tr>
    </w:tbl>
    <w:p>
      <w:pPr>
        <w:spacing w:after="0" w:line="77"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4"/>
          <w:szCs w:val="14"/>
          <w:color w:val="auto"/>
        </w:rPr>
        <w:t>Receivables (including loans and investment securities) obtained in the acquisition of Provident for which there was specific evidence of credit deterioration and for which it was probable that the Company would be unable to collect all contractually required principal and interest payments represent less than .25% of the Company’s assets and, accordingly, are not considered material.</w:t>
      </w:r>
    </w:p>
    <w:p>
      <w:pPr>
        <w:ind w:left="680" w:firstLine="599"/>
        <w:spacing w:after="0" w:line="251" w:lineRule="auto"/>
        <w:rPr>
          <w:sz w:val="20"/>
          <w:szCs w:val="20"/>
          <w:color w:val="auto"/>
        </w:rPr>
      </w:pPr>
      <w:r>
        <w:rPr>
          <w:rFonts w:ascii="Arial" w:cs="Arial" w:eastAsia="Arial" w:hAnsi="Arial"/>
          <w:sz w:val="14"/>
          <w:szCs w:val="14"/>
          <w:color w:val="auto"/>
        </w:rPr>
        <w:t>The following table discloses the impact of Provident (excluding the impact of merger-related expenses) since the acquisition on May 23, 2009 through the end of 2009. The table also presents certain pro forma information for 2009 as if Provident had been acquired on January 1, 2009 and for 2008 as if Provident had been acquired on January 1, 2008.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dates. In particular, no adjustments have been made to eliminate the amount of Provident’s provision for credit losses of $42 million in 2009 and $38 million in 2008 or the impact of other-than-temporary impairment losses recognized by Provident of $87 million in 2009 and $121 million in 2008 that would not have been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540"/>
        <w:spacing w:after="0" w:line="294" w:lineRule="auto"/>
        <w:rPr>
          <w:sz w:val="20"/>
          <w:szCs w:val="20"/>
          <w:color w:val="auto"/>
        </w:rPr>
      </w:pPr>
      <w:r>
        <w:rPr>
          <w:rFonts w:ascii="Arial" w:cs="Arial" w:eastAsia="Arial" w:hAnsi="Arial"/>
          <w:sz w:val="13"/>
          <w:szCs w:val="13"/>
          <w:color w:val="auto"/>
        </w:rPr>
        <w:t>necessary had the acquired loans and investment securities been recorded at fair value as of the beginning of each year. Furthermore, expenses related to systems conversions and other costs of integration are included in the 2009 periods in which such costs were incurred. Additionally, the Company expects to achieve further operating cost savings and other business synergies as a result of the acquisition which are not reflected in the pro forma amounts that follow.</w:t>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20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3"/>
              </w:rPr>
              <w:t>Actual Since</w:t>
            </w:r>
          </w:p>
        </w:tc>
        <w:tc>
          <w:tcPr>
            <w:tcW w:w="960" w:type="dxa"/>
            <w:vAlign w:val="bottom"/>
          </w:tcPr>
          <w:p>
            <w:pPr>
              <w:spacing w:after="0"/>
              <w:rPr>
                <w:sz w:val="10"/>
                <w:szCs w:val="10"/>
                <w:color w:val="auto"/>
              </w:rPr>
            </w:pPr>
          </w:p>
        </w:tc>
        <w:tc>
          <w:tcPr>
            <w:tcW w:w="1740" w:type="dxa"/>
            <w:vAlign w:val="bottom"/>
            <w:gridSpan w:val="3"/>
          </w:tcPr>
          <w:p>
            <w:pPr>
              <w:jc w:val="center"/>
              <w:ind w:right="960"/>
              <w:spacing w:after="0"/>
              <w:rPr>
                <w:sz w:val="20"/>
                <w:szCs w:val="20"/>
                <w:color w:val="auto"/>
              </w:rPr>
            </w:pPr>
            <w:r>
              <w:rPr>
                <w:rFonts w:ascii="Arial" w:cs="Arial" w:eastAsia="Arial" w:hAnsi="Arial"/>
                <w:sz w:val="10"/>
                <w:szCs w:val="10"/>
                <w:b w:val="1"/>
                <w:bCs w:val="1"/>
                <w:color w:val="auto"/>
                <w:w w:val="99"/>
              </w:rPr>
              <w:t>Pro Forma</w:t>
            </w: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740" w:type="dxa"/>
            <w:vAlign w:val="bottom"/>
            <w:gridSpan w:val="3"/>
          </w:tcPr>
          <w:p>
            <w:pPr>
              <w:jc w:val="center"/>
              <w:ind w:right="960"/>
              <w:spacing w:after="0" w:line="108" w:lineRule="exact"/>
              <w:rPr>
                <w:sz w:val="20"/>
                <w:szCs w:val="20"/>
                <w:color w:val="auto"/>
              </w:rPr>
            </w:pPr>
            <w:r>
              <w:rPr>
                <w:rFonts w:ascii="Arial" w:cs="Arial" w:eastAsia="Arial" w:hAnsi="Arial"/>
                <w:sz w:val="10"/>
                <w:szCs w:val="10"/>
                <w:b w:val="1"/>
                <w:bCs w:val="1"/>
                <w:color w:val="auto"/>
                <w:w w:val="98"/>
              </w:rPr>
              <w:t>Year Ended</w:t>
            </w:r>
          </w:p>
        </w:tc>
        <w:tc>
          <w:tcPr>
            <w:tcW w:w="0" w:type="dxa"/>
            <w:vAlign w:val="bottom"/>
          </w:tcPr>
          <w:p>
            <w:pPr>
              <w:spacing w:after="0"/>
              <w:rPr>
                <w:sz w:val="1"/>
                <w:szCs w:val="1"/>
                <w:color w:val="auto"/>
              </w:rPr>
            </w:pPr>
          </w:p>
        </w:tc>
      </w:tr>
      <w:tr>
        <w:trPr>
          <w:trHeight w:val="125"/>
        </w:trPr>
        <w:tc>
          <w:tcPr>
            <w:tcW w:w="5260" w:type="dxa"/>
            <w:vAlign w:val="bottom"/>
          </w:tcPr>
          <w:p>
            <w:pPr>
              <w:spacing w:after="0"/>
              <w:rPr>
                <w:sz w:val="10"/>
                <w:szCs w:val="10"/>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Acquisition Through</w:t>
            </w:r>
          </w:p>
        </w:tc>
        <w:tc>
          <w:tcPr>
            <w:tcW w:w="9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3"/>
          </w:tcPr>
          <w:p>
            <w:pPr>
              <w:jc w:val="center"/>
              <w:ind w:right="960"/>
              <w:spacing w:after="0"/>
              <w:rPr>
                <w:sz w:val="20"/>
                <w:szCs w:val="20"/>
                <w:color w:val="auto"/>
              </w:rPr>
            </w:pPr>
            <w:r>
              <w:rPr>
                <w:rFonts w:ascii="Arial" w:cs="Arial" w:eastAsia="Arial" w:hAnsi="Arial"/>
                <w:sz w:val="10"/>
                <w:szCs w:val="10"/>
                <w:b w:val="1"/>
                <w:bCs w:val="1"/>
                <w:color w:val="auto"/>
                <w:w w:val="93"/>
              </w:rPr>
              <w:t>December 31</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2020" w:type="dxa"/>
            <w:vAlign w:val="bottom"/>
            <w:gridSpan w:val="2"/>
          </w:tcPr>
          <w:p>
            <w:pPr>
              <w:jc w:val="center"/>
              <w:ind w:right="280"/>
              <w:spacing w:after="0" w:line="98" w:lineRule="exact"/>
              <w:rPr>
                <w:sz w:val="20"/>
                <w:szCs w:val="20"/>
                <w:color w:val="auto"/>
              </w:rPr>
            </w:pPr>
            <w:r>
              <w:rPr>
                <w:rFonts w:ascii="Arial" w:cs="Arial" w:eastAsia="Arial" w:hAnsi="Arial"/>
                <w:sz w:val="10"/>
                <w:szCs w:val="10"/>
                <w:b w:val="1"/>
                <w:bCs w:val="1"/>
                <w:color w:val="auto"/>
                <w:w w:val="95"/>
              </w:rPr>
              <w:t>December 31, 2009</w:t>
            </w:r>
          </w:p>
        </w:tc>
        <w:tc>
          <w:tcPr>
            <w:tcW w:w="960" w:type="dxa"/>
            <w:vAlign w:val="bottom"/>
          </w:tcPr>
          <w:p>
            <w:pPr>
              <w:jc w:val="right"/>
              <w:ind w:right="201"/>
              <w:spacing w:after="0" w:line="98" w:lineRule="exact"/>
              <w:rPr>
                <w:sz w:val="20"/>
                <w:szCs w:val="20"/>
                <w:color w:val="auto"/>
              </w:rPr>
            </w:pPr>
            <w:r>
              <w:rPr>
                <w:rFonts w:ascii="Arial" w:cs="Arial" w:eastAsia="Arial" w:hAnsi="Arial"/>
                <w:sz w:val="10"/>
                <w:szCs w:val="10"/>
                <w:b w:val="1"/>
                <w:bCs w:val="1"/>
                <w:color w:val="auto"/>
              </w:rPr>
              <w:t>2009</w:t>
            </w:r>
          </w:p>
        </w:tc>
        <w:tc>
          <w:tcPr>
            <w:tcW w:w="1740" w:type="dxa"/>
            <w:vAlign w:val="bottom"/>
            <w:gridSpan w:val="3"/>
          </w:tcPr>
          <w:p>
            <w:pPr>
              <w:jc w:val="right"/>
              <w:ind w:right="500"/>
              <w:spacing w:after="0" w:line="98" w:lineRule="exact"/>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125"/>
        </w:trPr>
        <w:tc>
          <w:tcPr>
            <w:tcW w:w="5260" w:type="dxa"/>
            <w:vAlign w:val="bottom"/>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Borders>
              <w:top w:val="single" w:sz="8" w:color="auto"/>
            </w:tcBorders>
          </w:tcPr>
          <w:p>
            <w:pPr>
              <w:jc w:val="right"/>
              <w:ind w:right="241"/>
              <w:spacing w:after="0"/>
              <w:rPr>
                <w:sz w:val="20"/>
                <w:szCs w:val="20"/>
                <w:color w:val="auto"/>
              </w:rPr>
            </w:pPr>
            <w:r>
              <w:rPr>
                <w:rFonts w:ascii="Arial" w:cs="Arial" w:eastAsia="Arial" w:hAnsi="Arial"/>
                <w:sz w:val="10"/>
                <w:szCs w:val="10"/>
                <w:b w:val="1"/>
                <w:bCs w:val="1"/>
                <w:color w:val="auto"/>
                <w:w w:val="92"/>
              </w:rPr>
              <w:t>(In thousands)</w:t>
            </w: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20"/>
                <w:szCs w:val="20"/>
                <w:color w:val="auto"/>
              </w:rPr>
            </w:pPr>
            <w:r>
              <w:rPr>
                <w:rFonts w:ascii="Arial" w:cs="Arial" w:eastAsia="Arial" w:hAnsi="Arial"/>
                <w:sz w:val="13"/>
                <w:szCs w:val="13"/>
                <w:color w:val="auto"/>
              </w:rPr>
              <w:t>Total revenues</w:t>
            </w:r>
          </w:p>
        </w:tc>
        <w:tc>
          <w:tcPr>
            <w:tcW w:w="1740" w:type="dxa"/>
            <w:vAlign w:val="bottom"/>
          </w:tcPr>
          <w:p>
            <w:pPr>
              <w:jc w:val="right"/>
              <w:ind w:right="602"/>
              <w:spacing w:after="0"/>
              <w:rPr>
                <w:sz w:val="20"/>
                <w:szCs w:val="20"/>
                <w:color w:val="auto"/>
              </w:rPr>
            </w:pPr>
            <w:r>
              <w:rPr>
                <w:rFonts w:ascii="Arial" w:cs="Arial" w:eastAsia="Arial" w:hAnsi="Arial"/>
                <w:sz w:val="13"/>
                <w:szCs w:val="13"/>
                <w:color w:val="auto"/>
              </w:rPr>
              <w:t>$194,578</w:t>
            </w:r>
          </w:p>
        </w:tc>
        <w:tc>
          <w:tcPr>
            <w:tcW w:w="280" w:type="dxa"/>
            <w:vAlign w:val="bottom"/>
          </w:tcPr>
          <w:p>
            <w:pPr>
              <w:spacing w:after="0"/>
              <w:rPr>
                <w:sz w:val="13"/>
                <w:szCs w:val="13"/>
                <w:color w:val="auto"/>
              </w:rPr>
            </w:pPr>
          </w:p>
        </w:tc>
        <w:tc>
          <w:tcPr>
            <w:tcW w:w="960" w:type="dxa"/>
            <w:vAlign w:val="bottom"/>
          </w:tcPr>
          <w:p>
            <w:pPr>
              <w:jc w:val="right"/>
              <w:ind w:right="41"/>
              <w:spacing w:after="0"/>
              <w:rPr>
                <w:sz w:val="20"/>
                <w:szCs w:val="20"/>
                <w:color w:val="auto"/>
              </w:rPr>
            </w:pPr>
            <w:r>
              <w:rPr>
                <w:rFonts w:ascii="Arial" w:cs="Arial" w:eastAsia="Arial" w:hAnsi="Arial"/>
                <w:sz w:val="13"/>
                <w:szCs w:val="13"/>
                <w:color w:val="auto"/>
              </w:rPr>
              <w:t>$3,823,763</w:t>
            </w:r>
          </w:p>
        </w:tc>
        <w:tc>
          <w:tcPr>
            <w:tcW w:w="1740" w:type="dxa"/>
            <w:vAlign w:val="bottom"/>
            <w:gridSpan w:val="3"/>
          </w:tcPr>
          <w:p>
            <w:pPr>
              <w:jc w:val="right"/>
              <w:ind w:right="340"/>
              <w:spacing w:after="0"/>
              <w:rPr>
                <w:sz w:val="20"/>
                <w:szCs w:val="20"/>
                <w:color w:val="auto"/>
              </w:rPr>
            </w:pPr>
            <w:r>
              <w:rPr>
                <w:rFonts w:ascii="Arial" w:cs="Arial" w:eastAsia="Arial" w:hAnsi="Arial"/>
                <w:sz w:val="13"/>
                <w:szCs w:val="13"/>
                <w:color w:val="auto"/>
              </w:rPr>
              <w:t>$4,533,161</w:t>
            </w:r>
          </w:p>
        </w:tc>
        <w:tc>
          <w:tcPr>
            <w:tcW w:w="0" w:type="dxa"/>
            <w:vAlign w:val="bottom"/>
          </w:tcPr>
          <w:p>
            <w:pPr>
              <w:spacing w:after="0"/>
              <w:rPr>
                <w:sz w:val="1"/>
                <w:szCs w:val="1"/>
                <w:color w:val="auto"/>
              </w:rPr>
            </w:pPr>
          </w:p>
        </w:tc>
      </w:tr>
      <w:tr>
        <w:trPr>
          <w:trHeight w:val="165"/>
        </w:trPr>
        <w:tc>
          <w:tcPr>
            <w:tcW w:w="5260" w:type="dxa"/>
            <w:vAlign w:val="bottom"/>
          </w:tcPr>
          <w:p>
            <w:pPr>
              <w:spacing w:after="0"/>
              <w:rPr>
                <w:sz w:val="20"/>
                <w:szCs w:val="20"/>
                <w:color w:val="auto"/>
              </w:rPr>
            </w:pPr>
            <w:r>
              <w:rPr>
                <w:rFonts w:ascii="Arial" w:cs="Arial" w:eastAsia="Arial" w:hAnsi="Arial"/>
                <w:sz w:val="13"/>
                <w:szCs w:val="13"/>
                <w:color w:val="auto"/>
              </w:rPr>
              <w:t>Net income</w:t>
            </w:r>
          </w:p>
        </w:tc>
        <w:tc>
          <w:tcPr>
            <w:tcW w:w="1740" w:type="dxa"/>
            <w:vAlign w:val="bottom"/>
          </w:tcPr>
          <w:p>
            <w:pPr>
              <w:jc w:val="right"/>
              <w:ind w:right="602"/>
              <w:spacing w:after="0"/>
              <w:rPr>
                <w:sz w:val="20"/>
                <w:szCs w:val="20"/>
                <w:color w:val="auto"/>
              </w:rPr>
            </w:pPr>
            <w:r>
              <w:rPr>
                <w:rFonts w:ascii="Arial" w:cs="Arial" w:eastAsia="Arial" w:hAnsi="Arial"/>
                <w:sz w:val="13"/>
                <w:szCs w:val="13"/>
                <w:color w:val="auto"/>
              </w:rPr>
              <w:t>32,686</w:t>
            </w:r>
          </w:p>
        </w:tc>
        <w:tc>
          <w:tcPr>
            <w:tcW w:w="28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3"/>
                <w:szCs w:val="13"/>
                <w:color w:val="auto"/>
              </w:rPr>
              <w:t>292,862</w:t>
            </w:r>
          </w:p>
        </w:tc>
        <w:tc>
          <w:tcPr>
            <w:tcW w:w="1740" w:type="dxa"/>
            <w:vAlign w:val="bottom"/>
            <w:gridSpan w:val="3"/>
          </w:tcPr>
          <w:p>
            <w:pPr>
              <w:jc w:val="right"/>
              <w:ind w:right="340"/>
              <w:spacing w:after="0"/>
              <w:rPr>
                <w:sz w:val="20"/>
                <w:szCs w:val="20"/>
                <w:color w:val="auto"/>
              </w:rPr>
            </w:pPr>
            <w:r>
              <w:rPr>
                <w:rFonts w:ascii="Arial" w:cs="Arial" w:eastAsia="Arial" w:hAnsi="Arial"/>
                <w:sz w:val="13"/>
                <w:szCs w:val="13"/>
                <w:color w:val="auto"/>
              </w:rPr>
              <w:t>510,897</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80" w:right="100" w:firstLine="399"/>
        <w:spacing w:after="0" w:line="277" w:lineRule="auto"/>
        <w:rPr>
          <w:sz w:val="20"/>
          <w:szCs w:val="20"/>
          <w:color w:val="auto"/>
        </w:rPr>
      </w:pPr>
      <w:r>
        <w:rPr>
          <w:rFonts w:ascii="Arial" w:cs="Arial" w:eastAsia="Arial" w:hAnsi="Arial"/>
          <w:sz w:val="13"/>
          <w:szCs w:val="13"/>
          <w:color w:val="auto"/>
        </w:rPr>
        <w:t>The Company incurred merger-related expenses related to systems conversions and other costs of integrating and conforming acquired operations with and into the Company of approximately $771 thousand ($469 thousand net of applicable income taxes) during 2010, $89 million ($54 million net of applicable income taxes) during 2009 and $4 million ($2 million net of applicable income taxes) during 2008. Those expenses consisted largely of professional services and other temporary help fees associated with the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 severance (for former Provident employees) and incentive compensation costs; travel costs; and printing, postage, supplies and other costs of commencing operations in new markets and offices. The remaining unpaid portion of merger-related expenses at December 31, 2010 was not significant.</w:t>
      </w:r>
    </w:p>
    <w:p>
      <w:pPr>
        <w:spacing w:after="0" w:line="50"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4"/>
          <w:szCs w:val="14"/>
          <w:color w:val="auto"/>
        </w:rPr>
        <w:t>A summary of merger-related expenses associated with acquisitions included in the consolidated statement of income for the years ended December 31, 2010, 2009 and 2008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r>
      <w:tr>
        <w:trPr>
          <w:trHeight w:val="131"/>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b w:val="1"/>
                <w:bCs w:val="1"/>
                <w:color w:val="auto"/>
                <w:w w:val="98"/>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10,030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Equipment and net occupancy</w:t>
            </w:r>
          </w:p>
        </w:tc>
        <w:tc>
          <w:tcPr>
            <w:tcW w:w="10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2,975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Printing, postage and supplies</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costs of operations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646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95"/>
              </w:rPr>
              <w:t>72,475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3,069</w:t>
            </w: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771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89,157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3,547</w:t>
            </w:r>
          </w:p>
        </w:tc>
      </w:tr>
      <w:tr>
        <w:trPr>
          <w:trHeight w:val="29"/>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w w:val="85"/>
              </w:rPr>
              <w:t>3.</w:t>
            </w:r>
          </w:p>
        </w:tc>
        <w:tc>
          <w:tcPr>
            <w:tcW w:w="5780" w:type="dxa"/>
            <w:vAlign w:val="bottom"/>
          </w:tcPr>
          <w:p>
            <w:pPr>
              <w:ind w:left="20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Arial" w:cs="Arial" w:eastAsia="Arial" w:hAnsi="Arial"/>
                <w:sz w:val="14"/>
                <w:szCs w:val="14"/>
                <w:color w:val="auto"/>
              </w:rPr>
              <w:t>The amortized cost and estimated fair value of investment securities were as follows: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20" w:type="dxa"/>
            <w:vAlign w:val="bottom"/>
          </w:tcPr>
          <w:p>
            <w:pPr>
              <w:spacing w:after="0"/>
              <w:rPr>
                <w:sz w:val="16"/>
                <w:szCs w:val="16"/>
                <w:color w:val="auto"/>
              </w:rPr>
            </w:pPr>
          </w:p>
        </w:tc>
        <w:tc>
          <w:tcPr>
            <w:tcW w:w="86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89"/>
              </w:rPr>
              <w:t>Gross</w:t>
            </w:r>
          </w:p>
        </w:tc>
        <w:tc>
          <w:tcPr>
            <w:tcW w:w="140" w:type="dxa"/>
            <w:vAlign w:val="bottom"/>
          </w:tcPr>
          <w:p>
            <w:pPr>
              <w:spacing w:after="0"/>
              <w:rPr>
                <w:sz w:val="16"/>
                <w:szCs w:val="16"/>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6"/>
                <w:szCs w:val="1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Estimated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80" w:type="dxa"/>
            <w:vAlign w:val="bottom"/>
            <w:gridSpan w:val="3"/>
          </w:tcPr>
          <w:p>
            <w:pPr>
              <w:jc w:val="center"/>
              <w:ind w:right="328"/>
              <w:spacing w:after="0" w:line="108" w:lineRule="exact"/>
              <w:rPr>
                <w:sz w:val="20"/>
                <w:szCs w:val="20"/>
                <w:color w:val="auto"/>
              </w:rPr>
            </w:pPr>
            <w:r>
              <w:rPr>
                <w:rFonts w:ascii="Arial" w:cs="Arial" w:eastAsia="Arial" w:hAnsi="Arial"/>
                <w:sz w:val="10"/>
                <w:szCs w:val="10"/>
                <w:b w:val="1"/>
                <w:bCs w:val="1"/>
                <w:color w:val="auto"/>
                <w:w w:val="94"/>
              </w:rPr>
              <w:t>Unrealized</w:t>
            </w:r>
          </w:p>
        </w:tc>
        <w:tc>
          <w:tcPr>
            <w:tcW w:w="98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9"/>
              </w:rPr>
              <w:t>Cost</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rPr>
              <w:t>Gains</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75"/>
              <w:spacing w:after="0"/>
              <w:rPr>
                <w:sz w:val="20"/>
                <w:szCs w:val="20"/>
                <w:color w:val="auto"/>
              </w:rPr>
            </w:pPr>
            <w:r>
              <w:rPr>
                <w:rFonts w:ascii="Arial" w:cs="Arial" w:eastAsia="Arial" w:hAnsi="Arial"/>
                <w:sz w:val="10"/>
                <w:szCs w:val="10"/>
                <w:b w:val="1"/>
                <w:bCs w:val="1"/>
                <w:color w:val="auto"/>
                <w:w w:val="81"/>
              </w:rPr>
              <w:t>Losses</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Investment securities available for sale: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Treasury and federal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61,772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1,680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59,921</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561</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60,425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Government issued or guaranteed</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3,146,054</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w w:val="97"/>
              </w:rPr>
              <w:t>161,298</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3,306,241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Privately issued residential</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1,677,064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10,578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252,081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1,435,561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Privately issued commercial</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25,357</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2,950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22,407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Collateralized debt obligations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95,080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24,754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9,078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110,756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Other debt securities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310,017</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26,883</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38,000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298,900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119,112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5,098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8,442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5,494,377</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w w:val="97"/>
              </w:rPr>
              <w:t>230,852</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311,737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5,413,492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securities held to maturity:</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191,119</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1,944</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694</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192,369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Government issued or guaranteed</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808,108</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14,061</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822,169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Privately issued</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312,537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114,397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Other debt securities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12,575</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12,575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1,324,339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16,005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115,091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1,225,253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Other securities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412,709</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412,709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7,231,425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7"/>
              </w:rPr>
              <w:t>246,857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426,828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7,051,454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December 31, 2009</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U.S. Treasury and federal agencies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102,755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1,988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57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104,686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61,468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1,583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issued or guaranteed</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3,777,642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7"/>
              </w:rPr>
              <w:t>131,407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3,902,282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Privately issued residential</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2,438,353</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9,630</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383,079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2,064,904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Privately issued commercial</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33,133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7,967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Collateralized debt obligations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103,159</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23,389</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11,202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115,346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debt securities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309,514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16,851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58,164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Equity securities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170,985</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5,590</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15,705</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160,870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6,997,009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7"/>
              </w:rPr>
              <w:t>190,438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483,069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6,704,378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Investment securities held to maturity:</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203,825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1,419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203,694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tcPr>
          <w:p>
            <w:pPr>
              <w:spacing w:after="0"/>
              <w:rPr>
                <w:sz w:val="20"/>
                <w:szCs w:val="20"/>
                <w:color w:val="auto"/>
              </w:rPr>
            </w:pPr>
            <w:r>
              <w:rPr>
                <w:rFonts w:ascii="Arial" w:cs="Arial" w:eastAsia="Arial" w:hAnsi="Arial"/>
                <w:sz w:val="13"/>
                <w:szCs w:val="13"/>
                <w:color w:val="auto"/>
              </w:rPr>
              <w:t>Privately issued mortgage-backed securities</w:t>
            </w: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352,195</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150,993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201,202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debt securities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11,587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567,607</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1,419</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152,543</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416,483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securities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508,624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508,624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9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8,073,240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w w:val="97"/>
              </w:rPr>
              <w:t>191,857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635,612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7,629,485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2"/>
                <w:szCs w:val="12"/>
                <w:color w:val="auto"/>
              </w:rPr>
              <w:t>114</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75" w:lineRule="exact"/>
        <w:rPr>
          <w:sz w:val="20"/>
          <w:szCs w:val="20"/>
          <w:color w:val="auto"/>
        </w:rPr>
      </w:pPr>
    </w:p>
    <w:p>
      <w:pPr>
        <w:ind w:left="1280" w:right="200"/>
        <w:spacing w:after="0" w:line="277" w:lineRule="auto"/>
        <w:rPr>
          <w:sz w:val="20"/>
          <w:szCs w:val="20"/>
          <w:color w:val="auto"/>
        </w:rPr>
      </w:pPr>
      <w:r>
        <w:rPr>
          <w:rFonts w:ascii="Arial" w:cs="Arial" w:eastAsia="Arial" w:hAnsi="Arial"/>
          <w:sz w:val="13"/>
          <w:szCs w:val="13"/>
          <w:color w:val="auto"/>
        </w:rPr>
        <w:t>No investment in securities of a single non-U.S. Government or government agency issuer exceeded ten percent of shareholders’ equity at December 31, 2010. As of December 31, 2010, the latest available investment ratings of all obligations of states and political subdivisions, privately issued mortgage-backed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securities, collateralized debt obligations and other debt securities were:</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1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0"/>
                <w:szCs w:val="10"/>
                <w:b w:val="1"/>
                <w:bCs w:val="1"/>
                <w:color w:val="auto"/>
              </w:rPr>
              <w:t>Estimated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0"/>
                <w:szCs w:val="10"/>
                <w:b w:val="1"/>
                <w:bCs w:val="1"/>
                <w:color w:val="auto"/>
                <w:w w:val="96"/>
              </w:rPr>
              <w:t>Average Credit Rating of Fair Value Amount</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38"/>
              <w:spacing w:after="0" w:line="98" w:lineRule="exact"/>
              <w:rPr>
                <w:sz w:val="20"/>
                <w:szCs w:val="20"/>
                <w:color w:val="auto"/>
              </w:rPr>
            </w:pPr>
            <w:r>
              <w:rPr>
                <w:rFonts w:ascii="Arial" w:cs="Arial" w:eastAsia="Arial" w:hAnsi="Arial"/>
                <w:sz w:val="10"/>
                <w:szCs w:val="10"/>
                <w:b w:val="1"/>
                <w:bCs w:val="1"/>
                <w:color w:val="auto"/>
                <w:w w:val="89"/>
              </w:rPr>
              <w:t>Cost</w:t>
            </w: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Fair Value</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 or Better</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BBB</w:t>
            </w: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6"/>
              <w:spacing w:after="0" w:line="98" w:lineRule="exact"/>
              <w:rPr>
                <w:sz w:val="20"/>
                <w:szCs w:val="20"/>
                <w:color w:val="auto"/>
              </w:rPr>
            </w:pPr>
            <w:r>
              <w:rPr>
                <w:rFonts w:ascii="Arial" w:cs="Arial" w:eastAsia="Arial" w:hAnsi="Arial"/>
                <w:sz w:val="10"/>
                <w:szCs w:val="10"/>
                <w:b w:val="1"/>
                <w:bCs w:val="1"/>
                <w:color w:val="auto"/>
              </w:rPr>
              <w:t>BB</w:t>
            </w: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2"/>
              </w:rPr>
              <w:t>B or Less</w:t>
            </w: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Not Rated</w:t>
            </w:r>
          </w:p>
        </w:tc>
        <w:tc>
          <w:tcPr>
            <w:tcW w:w="100" w:type="dxa"/>
            <w:vAlign w:val="bottom"/>
          </w:tcPr>
          <w:p>
            <w:pPr>
              <w:spacing w:after="0"/>
              <w:rPr>
                <w:sz w:val="8"/>
                <w:szCs w:val="8"/>
                <w:color w:val="auto"/>
              </w:rPr>
            </w:pPr>
          </w:p>
        </w:tc>
      </w:tr>
      <w:tr>
        <w:trPr>
          <w:trHeight w:val="131"/>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3"/>
          </w:tcPr>
          <w:p>
            <w:pPr>
              <w:jc w:val="right"/>
              <w:ind w:right="198"/>
              <w:spacing w:after="0"/>
              <w:rPr>
                <w:sz w:val="20"/>
                <w:szCs w:val="20"/>
                <w:color w:val="auto"/>
              </w:rPr>
            </w:pPr>
            <w:r>
              <w:rPr>
                <w:rFonts w:ascii="Arial" w:cs="Arial" w:eastAsia="Arial" w:hAnsi="Arial"/>
                <w:sz w:val="10"/>
                <w:szCs w:val="10"/>
                <w:b w:val="1"/>
                <w:bCs w:val="1"/>
                <w:color w:val="auto"/>
                <w:w w:val="89"/>
              </w:rPr>
              <w:t>(In thousands)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251,040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252,794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172,088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39,222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41,284</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Privately issued residential</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1,989,601</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1,633,701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736,043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138,522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37,699</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721,437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400" w:type="dxa"/>
            <w:vAlign w:val="bottom"/>
          </w:tcPr>
          <w:p>
            <w:pPr>
              <w:ind w:left="140"/>
              <w:spacing w:after="0"/>
              <w:rPr>
                <w:sz w:val="20"/>
                <w:szCs w:val="20"/>
                <w:color w:val="auto"/>
              </w:rPr>
            </w:pPr>
            <w:r>
              <w:rPr>
                <w:rFonts w:ascii="Arial" w:cs="Arial" w:eastAsia="Arial" w:hAnsi="Arial"/>
                <w:sz w:val="13"/>
                <w:szCs w:val="13"/>
                <w:color w:val="auto"/>
              </w:rPr>
              <w:t>Privately issued commercial</w:t>
            </w:r>
          </w:p>
        </w:tc>
        <w:tc>
          <w:tcPr>
            <w:tcW w:w="12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25,357</w:t>
            </w:r>
          </w:p>
        </w:tc>
        <w:tc>
          <w:tcPr>
            <w:tcW w:w="12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22,407</w:t>
            </w:r>
          </w:p>
        </w:tc>
        <w:tc>
          <w:tcPr>
            <w:tcW w:w="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22,407</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debt obligations</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95,080</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110,756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6,474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12,268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14,917</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77,097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Other debt securities</w:t>
            </w:r>
          </w:p>
        </w:tc>
        <w:tc>
          <w:tcPr>
            <w:tcW w:w="12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322,592</w:t>
            </w:r>
          </w:p>
        </w:tc>
        <w:tc>
          <w:tcPr>
            <w:tcW w:w="12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311,475</w:t>
            </w:r>
          </w:p>
        </w:tc>
        <w:tc>
          <w:tcPr>
            <w:tcW w:w="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21,020</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113,188</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w w:val="97"/>
              </w:rPr>
              <w:t>113,127</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49,910</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14,230</w:t>
            </w:r>
          </w:p>
        </w:tc>
      </w:tr>
      <w:tr>
        <w:trPr>
          <w:trHeight w:val="20"/>
        </w:trPr>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2,683,670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2,331,133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958,032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303,200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7"/>
              </w:rPr>
              <w:t>165,943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848,444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55,514</w:t>
            </w:r>
          </w:p>
        </w:tc>
      </w:tr>
      <w:tr>
        <w:trPr>
          <w:trHeight w:val="29"/>
        </w:trPr>
        <w:tc>
          <w:tcPr>
            <w:tcW w:w="3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amortized cost and estimated fair value of collateralized mortgage obligations included in mortgage-backed securities were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42"/>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9"/>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2"/>
              </w:rPr>
              <w:t>thousands)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Amortized cost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2,195,422</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3,108,673</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Estimated fair value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1,840,046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2,584,067</w:t>
            </w:r>
          </w:p>
        </w:tc>
      </w:tr>
    </w:tbl>
    <w:p>
      <w:pPr>
        <w:spacing w:after="0" w:line="76" w:lineRule="exact"/>
        <w:rPr>
          <w:sz w:val="20"/>
          <w:szCs w:val="20"/>
          <w:color w:val="auto"/>
        </w:rPr>
      </w:pPr>
    </w:p>
    <w:p>
      <w:pPr>
        <w:ind w:left="680" w:firstLine="599"/>
        <w:spacing w:after="0" w:line="272" w:lineRule="auto"/>
        <w:rPr>
          <w:sz w:val="20"/>
          <w:szCs w:val="20"/>
          <w:color w:val="auto"/>
        </w:rPr>
      </w:pPr>
      <w:r>
        <w:rPr>
          <w:rFonts w:ascii="Arial" w:cs="Arial" w:eastAsia="Arial" w:hAnsi="Arial"/>
          <w:sz w:val="13"/>
          <w:szCs w:val="13"/>
          <w:color w:val="auto"/>
        </w:rPr>
        <w:t>Gross realized gains on investment securities were $3,549,000 in 2010, $1,629,000 in 2009 and $34,730,000 in 2008. Gross realized losses on investment securities were $779,000 in 2010, $464,000 in 2009 and $259,000 in 2008. Effective January 1, 2009, the Company adopted new GAAP related to the recognition and presentation of other-than-temporary impairments of investment securities. In accordance with GAAP, the Company recognized $68 million and $128 million of pre-tax other-than-temporary impairment losses related to privately issued mortgage-backed securities in 2010 and 2009, respectively. The impairment charges were recognized in light of deterioration of real estate values and a rise in delinquencies and charge-offs of underlying mortgage loans collateralizing those securities. Approximately $6 million and $10 million of the impairment charges recognized in 2010 and 2009, respectively, related to collateralized debt obligations backed largely by trust preferred securities issued by financial institutions. Also reflected in 2010’s impairment charges was a $12 million charge related to American Depositary Shares (“ADSs”) of Allied Irish Banks, p.l.c. (“AIB”) obtained in M&amp;T’s 2003 acquisition of a former subsidiary of AIB. The other-than-temporary impairment losses recognized were net of $30 million and $126 million of unrealized losses classified in accumulated other comprehensive income related to those securities for the years ended December 31, 2010 and 2009, respectively. The other-than-temporary impairment losses represent management’s estimate of credit losses inherent in the securities considering projected cash flows using assumptions of delinquency rates, loss severities, and other estimates of future collateral performance. The effect of the adoption of the new accounting requirements on debt securities previously reported as other-than-temporarily impaired was not material and, therefore, the Company did not record a transition adjustment as of January 1, 2009. During 2008, the Company recognized $182 million of other-than-temporary impairment losses, mainly attributable to a $153 million impairment charge recognized on its preferred stock holdings of The Federal National Mortgage Association (“Fannie Mae”) and The Federal Home Loan Mortgage Corporation (“Freddie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jc w:val="both"/>
        <w:ind w:left="680" w:right="900"/>
        <w:spacing w:after="0" w:line="255" w:lineRule="auto"/>
        <w:rPr>
          <w:sz w:val="20"/>
          <w:szCs w:val="20"/>
          <w:color w:val="auto"/>
        </w:rPr>
      </w:pPr>
      <w:r>
        <w:rPr>
          <w:rFonts w:ascii="Arial" w:cs="Arial" w:eastAsia="Arial" w:hAnsi="Arial"/>
          <w:sz w:val="14"/>
          <w:szCs w:val="14"/>
          <w:color w:val="auto"/>
        </w:rPr>
        <w:t>Mac”) with a cost basis of $162 million following the placement of those government-sponsored entities into conservatorship on September 7, 2008. Other-than-temporary charges of $18 million and $11 million were also recognized during 2008 on privately issued mortgage-backed securities and securities backed by trust preferred securities issued by financial institutions, respectively.</w:t>
      </w:r>
    </w:p>
    <w:p>
      <w:pPr>
        <w:ind w:left="680" w:right="840" w:firstLine="599"/>
        <w:spacing w:after="0" w:line="263" w:lineRule="auto"/>
        <w:rPr>
          <w:sz w:val="20"/>
          <w:szCs w:val="20"/>
          <w:color w:val="auto"/>
        </w:rPr>
      </w:pPr>
      <w:r>
        <w:rPr>
          <w:rFonts w:ascii="Arial" w:cs="Arial" w:eastAsia="Arial" w:hAnsi="Arial"/>
          <w:sz w:val="14"/>
          <w:szCs w:val="14"/>
          <w:color w:val="auto"/>
        </w:rPr>
        <w:t>Changes in credit losses during 2010 and 2009 associated with debt securities for which other-than-temporary impairment losses have been previously recognized in earnings follows: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Year Ended December 31</w:t>
            </w:r>
          </w:p>
        </w:tc>
      </w:tr>
      <w:tr>
        <w:trPr>
          <w:trHeight w:val="98"/>
        </w:trPr>
        <w:tc>
          <w:tcPr>
            <w:tcW w:w="8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131"/>
        </w:trPr>
        <w:tc>
          <w:tcPr>
            <w:tcW w:w="8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Estimated credit losses — beginning balance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7"/>
              </w:rPr>
              <w:t>284,513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155,967</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Additions for credit losses not previously recognized</w:t>
            </w:r>
          </w:p>
        </w:tc>
        <w:tc>
          <w:tcPr>
            <w:tcW w:w="120" w:type="dxa"/>
            <w:vAlign w:val="bottom"/>
          </w:tcPr>
          <w:p>
            <w:pPr>
              <w:spacing w:after="0"/>
              <w:rPr>
                <w:sz w:val="13"/>
                <w:szCs w:val="13"/>
                <w:color w:val="auto"/>
              </w:rPr>
            </w:pP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74,288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138,297</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Reductions for increases in cash flows</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(754)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(1,393)</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Reductions for realized losses</w:t>
            </w:r>
          </w:p>
        </w:tc>
        <w:tc>
          <w:tcPr>
            <w:tcW w:w="120" w:type="dxa"/>
            <w:vAlign w:val="bottom"/>
          </w:tcPr>
          <w:p>
            <w:pPr>
              <w:spacing w:after="0"/>
              <w:rPr>
                <w:sz w:val="13"/>
                <w:szCs w:val="13"/>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3"/>
                <w:szCs w:val="13"/>
                <w:color w:val="auto"/>
              </w:rPr>
              <w:t>(30,135)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(8,358)</w:t>
            </w:r>
          </w:p>
        </w:tc>
      </w:tr>
      <w:tr>
        <w:trPr>
          <w:trHeight w:val="20"/>
        </w:trPr>
        <w:tc>
          <w:tcPr>
            <w:tcW w:w="8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Estimated credit losses — ending balance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7"/>
              </w:rPr>
              <w:t>327,912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284,513</w:t>
            </w:r>
          </w:p>
        </w:tc>
      </w:tr>
      <w:tr>
        <w:trPr>
          <w:trHeight w:val="29"/>
        </w:trPr>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At December 31, 2010, the amortized cost and estimated fair value of debt securities by contractual maturity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Amortized</w:t>
            </w:r>
          </w:p>
        </w:tc>
        <w:tc>
          <w:tcPr>
            <w:tcW w:w="1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Estimated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Cost</w:t>
            </w: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 available for sale: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40,263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40,367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Due after one year through five years</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55,144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Due after five years through ten years</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22,421</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24,658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408,962</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411,264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526,790</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533,515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available for sale</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4,848,475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4,764,209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5,375,265</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5,297,724</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 held to maturity:</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28,161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28,353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Due after one year through five years</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10,628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Due after five years through ten years</w:t>
            </w:r>
          </w:p>
        </w:tc>
        <w:tc>
          <w:tcPr>
            <w:tcW w:w="120" w:type="dxa"/>
            <w:vAlign w:val="bottom"/>
          </w:tcPr>
          <w:p>
            <w:pPr>
              <w:spacing w:after="0"/>
              <w:rPr>
                <w:sz w:val="13"/>
                <w:szCs w:val="13"/>
                <w:color w:val="auto"/>
              </w:rPr>
            </w:pPr>
          </w:p>
        </w:tc>
        <w:tc>
          <w:tcPr>
            <w:tcW w:w="1060" w:type="dxa"/>
            <w:vAlign w:val="bottom"/>
            <w:gridSpan w:val="2"/>
          </w:tcPr>
          <w:p>
            <w:pPr>
              <w:jc w:val="right"/>
              <w:ind w:right="328"/>
              <w:spacing w:after="0"/>
              <w:rPr>
                <w:sz w:val="20"/>
                <w:szCs w:val="20"/>
                <w:color w:val="auto"/>
              </w:rPr>
            </w:pPr>
            <w:r>
              <w:rPr>
                <w:rFonts w:ascii="Arial" w:cs="Arial" w:eastAsia="Arial" w:hAnsi="Arial"/>
                <w:sz w:val="13"/>
                <w:szCs w:val="13"/>
                <w:color w:val="auto"/>
              </w:rPr>
              <w:t>138,361</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139,162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26,544</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26,458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203,694</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204,944</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held to maturity</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1,120,645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1,020,309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1,324,339</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1,225,253</w:t>
            </w:r>
          </w:p>
        </w:tc>
        <w:tc>
          <w:tcPr>
            <w:tcW w:w="800" w:type="dxa"/>
            <w:vAlign w:val="bottom"/>
          </w:tcPr>
          <w:p>
            <w:pPr>
              <w:spacing w:after="0"/>
              <w:rPr>
                <w:sz w:val="14"/>
                <w:szCs w:val="14"/>
                <w:color w:val="auto"/>
              </w:rPr>
            </w:pPr>
          </w:p>
        </w:tc>
      </w:tr>
      <w:tr>
        <w:trPr>
          <w:trHeight w:val="309"/>
        </w:trPr>
        <w:tc>
          <w:tcPr>
            <w:tcW w:w="6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116</w:t>
            </w: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4"/>
          <w:szCs w:val="14"/>
          <w:color w:val="auto"/>
        </w:rPr>
        <w:t>A summary of investment securities that as of December 31, 2010 and 2009 had been in a continuous unrealized loss position for less than twelve months and those that had been in a continuous unrealized loss position for twelve months or longer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5"/>
          </w:tcPr>
          <w:p>
            <w:pPr>
              <w:jc w:val="right"/>
              <w:ind w:right="648"/>
              <w:spacing w:after="0"/>
              <w:rPr>
                <w:sz w:val="20"/>
                <w:szCs w:val="20"/>
                <w:color w:val="auto"/>
              </w:rPr>
            </w:pPr>
            <w:r>
              <w:rPr>
                <w:rFonts w:ascii="Arial" w:cs="Arial" w:eastAsia="Arial" w:hAnsi="Arial"/>
                <w:sz w:val="10"/>
                <w:szCs w:val="10"/>
                <w:b w:val="1"/>
                <w:bCs w:val="1"/>
                <w:color w:val="auto"/>
              </w:rPr>
              <w:t>Less Than 12 Months</w:t>
            </w:r>
          </w:p>
        </w:tc>
        <w:tc>
          <w:tcPr>
            <w:tcW w:w="120" w:type="dxa"/>
            <w:vAlign w:val="bottom"/>
          </w:tcPr>
          <w:p>
            <w:pPr>
              <w:spacing w:after="0"/>
              <w:rPr>
                <w:sz w:val="10"/>
                <w:szCs w:val="10"/>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12 Months or More</w:t>
            </w: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0"/>
                <w:szCs w:val="10"/>
                <w:b w:val="1"/>
                <w:bCs w:val="1"/>
                <w:color w:val="auto"/>
                <w:w w:val="91"/>
              </w:rPr>
              <w:t>Fair Value</w:t>
            </w:r>
          </w:p>
        </w:tc>
        <w:tc>
          <w:tcPr>
            <w:tcW w:w="400" w:type="dxa"/>
            <w:vAlign w:val="bottom"/>
            <w:tcBorders>
              <w:top w:val="single" w:sz="8" w:color="auto"/>
            </w:tcBorders>
            <w:vMerge w:val="restart"/>
          </w:tcPr>
          <w:p>
            <w:pPr>
              <w:spacing w:after="0"/>
              <w:rPr>
                <w:sz w:val="7"/>
                <w:szCs w:val="7"/>
                <w:color w:val="auto"/>
              </w:rPr>
            </w:pPr>
          </w:p>
        </w:tc>
        <w:tc>
          <w:tcPr>
            <w:tcW w:w="60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Unrealized</w:t>
            </w:r>
          </w:p>
        </w:tc>
        <w:tc>
          <w:tcPr>
            <w:tcW w:w="3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6"/>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w w:val="86"/>
              </w:rPr>
              <w:t>Losses</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Losses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Investment securities available for sale: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27,289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Obligations of states and political subdivisions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2,062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Government issued or guaranteed</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68,507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(1,079)</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2,965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Privately issued residential</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61,192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(1,054)</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1,057,315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(251,027)</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Privately issued commercial</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22,407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debt obligations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(6,959)</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(2,119)</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Other debt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2,134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88,969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(37,990)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(3,721)</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(4,721)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180,622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(12,859)</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1,180,395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(298,878)</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 held to maturity:</w:t>
            </w: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Obligations of states and political subdivisions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76,318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(638)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467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Privately issued mortgage-backed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198,140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(114,397)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76,318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(638)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198,607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(114,453)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256,940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(13,497)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1,379,002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(413,331)</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December 31, 2009</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U.S. Treasury and federal agencies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6,265</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(53)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Obligations of states and political subdivisions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Mortgage-backed securities: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issued or guaranteed</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685,319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(6,460)</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19,379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Privately issued residential</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98,312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(2,871)</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1,504,020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(380,208)</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Privately issued commercial</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25,166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(7,967)</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Collateralized debt obligations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(10,218)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3,598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Other debt securities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138,705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(57,990)</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Equity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7,449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(1,728)</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(13,977)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825,717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(21,587)</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1,718,177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(461,482)</w:t>
            </w:r>
          </w:p>
        </w:tc>
        <w:tc>
          <w:tcPr>
            <w:tcW w:w="0" w:type="dxa"/>
            <w:vAlign w:val="bottom"/>
          </w:tcPr>
          <w:p>
            <w:pPr>
              <w:spacing w:after="0"/>
              <w:rPr>
                <w:sz w:val="1"/>
                <w:szCs w:val="1"/>
                <w:color w:val="auto"/>
              </w:rPr>
            </w:pPr>
          </w:p>
        </w:tc>
      </w:tr>
      <w:tr>
        <w:trPr>
          <w:trHeight w:val="156"/>
        </w:trPr>
        <w:tc>
          <w:tcPr>
            <w:tcW w:w="6000" w:type="dxa"/>
            <w:vAlign w:val="bottom"/>
          </w:tcPr>
          <w:p>
            <w:pPr>
              <w:spacing w:after="0"/>
              <w:rPr>
                <w:sz w:val="20"/>
                <w:szCs w:val="20"/>
                <w:color w:val="auto"/>
              </w:rPr>
            </w:pPr>
            <w:r>
              <w:rPr>
                <w:rFonts w:ascii="Arial" w:cs="Arial" w:eastAsia="Arial" w:hAnsi="Arial"/>
                <w:sz w:val="13"/>
                <w:szCs w:val="13"/>
                <w:color w:val="auto"/>
              </w:rPr>
              <w:t>Investment securities held to maturity:</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Obligations of states and political subdivisions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136,032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(1,492)</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Privately issued mortgage-backed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201,202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(150,993)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136,032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(1,492)</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201,828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(151,051)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961,749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8"/>
              <w:spacing w:after="0"/>
              <w:rPr>
                <w:sz w:val="20"/>
                <w:szCs w:val="20"/>
                <w:color w:val="auto"/>
              </w:rPr>
            </w:pPr>
            <w:r>
              <w:rPr>
                <w:rFonts w:ascii="Arial" w:cs="Arial" w:eastAsia="Arial" w:hAnsi="Arial"/>
                <w:sz w:val="13"/>
                <w:szCs w:val="13"/>
                <w:color w:val="auto"/>
              </w:rPr>
              <w:t>(23,079)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1,920,005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(612,533)</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680" w:right="580" w:firstLine="599"/>
        <w:spacing w:after="0" w:line="265" w:lineRule="auto"/>
        <w:rPr>
          <w:sz w:val="20"/>
          <w:szCs w:val="20"/>
          <w:color w:val="auto"/>
        </w:rPr>
      </w:pPr>
      <w:r>
        <w:rPr>
          <w:rFonts w:ascii="Arial" w:cs="Arial" w:eastAsia="Arial" w:hAnsi="Arial"/>
          <w:sz w:val="14"/>
          <w:szCs w:val="14"/>
          <w:color w:val="auto"/>
        </w:rPr>
        <w:t>The Company owned 542 individual investment securities with aggregate gross unrealized losses of $427 million at December 31, 2010. Approximately $366 million of the unrealized losses pertain to privately issued mortgage-backed securities with a cost basis of $1.7 billion. The Company also had $47 million of unrealized losses on trust preferred securities issued by financial institutions, securities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
        <w:spacing w:after="0" w:line="272" w:lineRule="auto"/>
        <w:rPr>
          <w:sz w:val="20"/>
          <w:szCs w:val="20"/>
          <w:color w:val="auto"/>
        </w:rPr>
      </w:pPr>
      <w:r>
        <w:rPr>
          <w:rFonts w:ascii="Arial" w:cs="Arial" w:eastAsia="Arial" w:hAnsi="Arial"/>
          <w:sz w:val="13"/>
          <w:szCs w:val="13"/>
          <w:color w:val="auto"/>
        </w:rPr>
        <w:t>backed by trust preferred securities issued by financial institutions and other entities, and other debt securities having a cost basis of $157 million. Based on a review of each of the remaining securities in the investment securities portfolio at December 31, 2010, with the exception of the aforementioned securities for which other-than-temporary impairment losses were recognized, the Company concluded that it expected to recover the amortized cost basis of its investment. As of December 31, 2010, the Company does not intend to sell nor is it anticipated that it would be required to sell any of its impaired investment securities. At December 31, 2010, the Company has not identified events or changes in circumstances which may have a significant adverse effect on the fair value of the $413 million of cost method investment securities.</w:t>
      </w:r>
    </w:p>
    <w:p>
      <w:pPr>
        <w:jc w:val="both"/>
        <w:ind w:left="680" w:right="60" w:firstLine="599"/>
        <w:spacing w:after="0" w:line="249" w:lineRule="auto"/>
        <w:rPr>
          <w:sz w:val="20"/>
          <w:szCs w:val="20"/>
          <w:color w:val="auto"/>
        </w:rPr>
      </w:pPr>
      <w:r>
        <w:rPr>
          <w:rFonts w:ascii="Arial" w:cs="Arial" w:eastAsia="Arial" w:hAnsi="Arial"/>
          <w:sz w:val="14"/>
          <w:szCs w:val="14"/>
          <w:color w:val="auto"/>
        </w:rPr>
        <w:t>At December 31, 2010, investment securities with a carrying value of $4,762,579,000, including $3,500,392,000 of investment securities available for sale, were pledged to secure demand notes issued to the U.S. Treasury, borrowings from various FHLBs, repurchase agreements, governmental deposits, interest rate swap agreements and available lines of credit as described in note 9.</w:t>
      </w:r>
    </w:p>
    <w:p>
      <w:pPr>
        <w:ind w:left="680" w:right="520" w:firstLine="599"/>
        <w:spacing w:after="0" w:line="256" w:lineRule="auto"/>
        <w:rPr>
          <w:sz w:val="20"/>
          <w:szCs w:val="20"/>
          <w:color w:val="auto"/>
        </w:rPr>
      </w:pPr>
      <w:r>
        <w:rPr>
          <w:rFonts w:ascii="Arial" w:cs="Arial" w:eastAsia="Arial" w:hAnsi="Arial"/>
          <w:sz w:val="14"/>
          <w:szCs w:val="14"/>
          <w:color w:val="auto"/>
        </w:rPr>
        <w:t>Investment securities pledged by the Company to secure obligations whereby the secured party is permitted by contract or custom to sell or repledge such collateral totaled $1,937,817,000 at December 31, 2010. The pledged securities included securities of the U.S. Treasury and federal agencies and mortgage-backed securities.</w:t>
      </w:r>
    </w:p>
    <w:p>
      <w:pPr>
        <w:spacing w:after="0" w:line="137"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Loans and leases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loans and leases outstanding were comprised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December 31</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w w:val="92"/>
              </w:rPr>
              <w:t>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Commercial, financial, etc.</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11,999,065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11,913,437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Real estate:</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Residential</w:t>
            </w:r>
          </w:p>
        </w:tc>
        <w:tc>
          <w:tcPr>
            <w:tcW w:w="18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5,876,413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5,401,932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16,977,747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16,345,601</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Construction</w:t>
            </w:r>
          </w:p>
        </w:tc>
        <w:tc>
          <w:tcPr>
            <w:tcW w:w="18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4,332,618</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4,726,570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Consumer</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11,483,564</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12,041,617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40"/>
              <w:spacing w:after="0"/>
              <w:rPr>
                <w:sz w:val="20"/>
                <w:szCs w:val="20"/>
                <w:color w:val="auto"/>
              </w:rPr>
            </w:pPr>
            <w:r>
              <w:rPr>
                <w:rFonts w:ascii="Arial" w:cs="Arial" w:eastAsia="Arial" w:hAnsi="Arial"/>
                <w:sz w:val="13"/>
                <w:szCs w:val="13"/>
                <w:color w:val="auto"/>
              </w:rPr>
              <w:t>Total loans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50,669,407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50,429,157</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Leases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Commercial</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1,646,535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1,877,300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loans and leases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52,315,942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52,306,457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Less: unearned discount</w:t>
            </w:r>
          </w:p>
        </w:tc>
        <w:tc>
          <w:tcPr>
            <w:tcW w:w="180" w:type="dxa"/>
            <w:vAlign w:val="bottom"/>
          </w:tcPr>
          <w:p>
            <w:pPr>
              <w:spacing w:after="0"/>
              <w:rPr>
                <w:sz w:val="13"/>
                <w:szCs w:val="13"/>
                <w:color w:val="auto"/>
              </w:rPr>
            </w:pPr>
          </w:p>
        </w:tc>
        <w:tc>
          <w:tcPr>
            <w:tcW w:w="1120" w:type="dxa"/>
            <w:vAlign w:val="bottom"/>
            <w:gridSpan w:val="2"/>
          </w:tcPr>
          <w:p>
            <w:pPr>
              <w:jc w:val="right"/>
              <w:ind w:right="308"/>
              <w:spacing w:after="0"/>
              <w:rPr>
                <w:sz w:val="20"/>
                <w:szCs w:val="20"/>
                <w:color w:val="auto"/>
              </w:rPr>
            </w:pPr>
            <w:r>
              <w:rPr>
                <w:rFonts w:ascii="Arial" w:cs="Arial" w:eastAsia="Arial" w:hAnsi="Arial"/>
                <w:sz w:val="13"/>
                <w:szCs w:val="13"/>
                <w:color w:val="auto"/>
              </w:rPr>
              <w:t>(325,560)</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(369,771)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loans and leases, net of unearned discount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51,990,382</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51,936,686</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60" w:firstLine="599"/>
        <w:spacing w:after="0" w:line="258" w:lineRule="auto"/>
        <w:rPr>
          <w:sz w:val="20"/>
          <w:szCs w:val="20"/>
          <w:color w:val="auto"/>
        </w:rPr>
      </w:pPr>
      <w:r>
        <w:rPr>
          <w:rFonts w:ascii="Arial" w:cs="Arial" w:eastAsia="Arial" w:hAnsi="Arial"/>
          <w:sz w:val="14"/>
          <w:szCs w:val="14"/>
          <w:color w:val="auto"/>
        </w:rPr>
        <w:t>One-to-four family residential mortgage loans held for sale were $341 million at December 31, 2010 and $530 million at December 31, 2009. Commercial mortgage loans held for sale were $204 million at December 31, 2010 and $123 million at December 31, 2009.</w:t>
      </w:r>
    </w:p>
    <w:p>
      <w:pPr>
        <w:ind w:left="680" w:firstLine="599"/>
        <w:spacing w:after="0" w:line="249" w:lineRule="auto"/>
        <w:rPr>
          <w:sz w:val="20"/>
          <w:szCs w:val="20"/>
          <w:color w:val="auto"/>
        </w:rPr>
      </w:pPr>
      <w:r>
        <w:rPr>
          <w:rFonts w:ascii="Arial" w:cs="Arial" w:eastAsia="Arial" w:hAnsi="Arial"/>
          <w:sz w:val="14"/>
          <w:szCs w:val="14"/>
          <w:color w:val="auto"/>
        </w:rPr>
        <w:t>As of December 31, 2010, approximately $13 million of one-to-four family residential mortgage loans serviced for others had been sold with credit recourse. As of December 31, 2010, approximately $1.6 billion of commercial mortgage loan balances serviced for others had been sold with recourse in conjunction with the Company’s participation in the Fannie Mae Delegated Underwriting and Servicing (“DUS”) program. At December 31, 2010, the Company estimated that the recourse obligations described above were not material to the Company’s consolidated financial position. There have been no material losses incurred as a result of those credit recourse arrangements.</w:t>
      </w:r>
    </w:p>
    <w:p>
      <w:pPr>
        <w:ind w:left="680" w:right="20" w:firstLine="599"/>
        <w:spacing w:after="0" w:line="256" w:lineRule="auto"/>
        <w:rPr>
          <w:sz w:val="20"/>
          <w:szCs w:val="20"/>
          <w:color w:val="auto"/>
        </w:rPr>
      </w:pPr>
      <w:r>
        <w:rPr>
          <w:rFonts w:ascii="Arial" w:cs="Arial" w:eastAsia="Arial" w:hAnsi="Arial"/>
          <w:sz w:val="14"/>
          <w:szCs w:val="14"/>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60"/>
        <w:spacing w:after="0" w:line="258" w:lineRule="auto"/>
        <w:rPr>
          <w:sz w:val="20"/>
          <w:szCs w:val="20"/>
          <w:color w:val="auto"/>
        </w:rPr>
      </w:pPr>
      <w:r>
        <w:rPr>
          <w:rFonts w:ascii="Arial" w:cs="Arial" w:eastAsia="Arial" w:hAnsi="Arial"/>
          <w:sz w:val="14"/>
          <w:szCs w:val="14"/>
          <w:color w:val="auto"/>
        </w:rPr>
        <w:t>incurred for such obligation, which are recorded as a reduction of mortgage banking revenues, were $30 million, $10 million and $4 million in 2010, 2009 and 2008, respectively.</w:t>
      </w:r>
    </w:p>
    <w:p>
      <w:pPr>
        <w:ind w:left="1280"/>
        <w:spacing w:after="0"/>
        <w:rPr>
          <w:sz w:val="20"/>
          <w:szCs w:val="20"/>
          <w:color w:val="auto"/>
        </w:rPr>
      </w:pPr>
      <w:r>
        <w:rPr>
          <w:rFonts w:ascii="Arial" w:cs="Arial" w:eastAsia="Arial" w:hAnsi="Arial"/>
          <w:sz w:val="14"/>
          <w:szCs w:val="14"/>
          <w:color w:val="auto"/>
        </w:rPr>
        <w:t>A summary of current, past due and nonaccrual loans as of December 31, 2010 was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30-89 Days</w:t>
            </w:r>
          </w:p>
        </w:tc>
        <w:tc>
          <w:tcPr>
            <w:tcW w:w="8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90 Days or More</w:t>
            </w: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w w:val="97"/>
              </w:rPr>
              <w:t>Purchased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Current</w:t>
            </w: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Past Due and</w:t>
            </w: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Nonaccrual</w:t>
            </w:r>
          </w:p>
        </w:tc>
        <w:tc>
          <w:tcPr>
            <w:tcW w:w="180" w:type="dxa"/>
            <w:vAlign w:val="bottom"/>
          </w:tcPr>
          <w:p>
            <w:pPr>
              <w:spacing w:after="0"/>
              <w:rPr>
                <w:sz w:val="9"/>
                <w:szCs w:val="9"/>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Past Due</w:t>
            </w:r>
          </w:p>
        </w:tc>
        <w:tc>
          <w:tcPr>
            <w:tcW w:w="8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Accruing</w:t>
            </w:r>
          </w:p>
        </w:tc>
        <w:tc>
          <w:tcPr>
            <w:tcW w:w="8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5"/>
              </w:rPr>
              <w:t>Impaired</w:t>
            </w: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Commercial, financial, leasing, etc</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13,088,887</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96,087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186,739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13,390,610</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Real estate: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16,589,240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89,906</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35,338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209,031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16,931,790</w:t>
            </w:r>
          </w:p>
        </w:tc>
        <w:tc>
          <w:tcPr>
            <w:tcW w:w="0" w:type="dxa"/>
            <w:vAlign w:val="bottom"/>
          </w:tcPr>
          <w:p>
            <w:pPr>
              <w:spacing w:after="0"/>
              <w:rPr>
                <w:sz w:val="1"/>
                <w:szCs w:val="1"/>
                <w:color w:val="auto"/>
              </w:rPr>
            </w:pPr>
          </w:p>
        </w:tc>
      </w:tr>
      <w:tr>
        <w:trPr>
          <w:trHeight w:val="157"/>
        </w:trPr>
        <w:tc>
          <w:tcPr>
            <w:tcW w:w="2920" w:type="dxa"/>
            <w:vAlign w:val="bottom"/>
          </w:tcPr>
          <w:p>
            <w:pPr>
              <w:ind w:left="140"/>
              <w:spacing w:after="0"/>
              <w:rPr>
                <w:sz w:val="20"/>
                <w:szCs w:val="20"/>
                <w:color w:val="auto"/>
              </w:rPr>
            </w:pPr>
            <w:r>
              <w:rPr>
                <w:rFonts w:ascii="Arial" w:cs="Arial" w:eastAsia="Arial" w:hAnsi="Arial"/>
                <w:sz w:val="13"/>
                <w:szCs w:val="13"/>
                <w:color w:val="auto"/>
              </w:rPr>
              <w:t>Residential builder and developer</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891,764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30,805</w:t>
            </w:r>
          </w:p>
        </w:tc>
        <w:tc>
          <w:tcPr>
            <w:tcW w:w="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9,763</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72,710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346,448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1,351,490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commercial construction</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2,723,399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36,420</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126,641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2,899,881</w:t>
            </w:r>
          </w:p>
        </w:tc>
        <w:tc>
          <w:tcPr>
            <w:tcW w:w="0" w:type="dxa"/>
            <w:vAlign w:val="bottom"/>
          </w:tcPr>
          <w:p>
            <w:pPr>
              <w:spacing w:after="0"/>
              <w:rPr>
                <w:sz w:val="1"/>
                <w:szCs w:val="1"/>
                <w:color w:val="auto"/>
              </w:rPr>
            </w:pPr>
          </w:p>
        </w:tc>
      </w:tr>
      <w:tr>
        <w:trPr>
          <w:trHeight w:val="157"/>
        </w:trPr>
        <w:tc>
          <w:tcPr>
            <w:tcW w:w="2920" w:type="dxa"/>
            <w:vAlign w:val="bottom"/>
          </w:tcPr>
          <w:p>
            <w:pPr>
              <w:ind w:left="140"/>
              <w:spacing w:after="0"/>
              <w:rPr>
                <w:sz w:val="20"/>
                <w:szCs w:val="20"/>
                <w:color w:val="auto"/>
              </w:rPr>
            </w:pPr>
            <w:r>
              <w:rPr>
                <w:rFonts w:ascii="Arial" w:cs="Arial" w:eastAsia="Arial" w:hAnsi="Arial"/>
                <w:sz w:val="13"/>
                <w:szCs w:val="13"/>
                <w:color w:val="auto"/>
              </w:rPr>
              <w:t>Residential</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4,699,711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229,641</w:t>
            </w:r>
          </w:p>
        </w:tc>
        <w:tc>
          <w:tcPr>
            <w:tcW w:w="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192,276</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9,320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172,729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5,303,677</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Residential Alt-A</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475,236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42,674</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106,469</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624,379</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Consumer: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Home equity lines and loans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6,472,563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38,367</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43,055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6,556,351</w:t>
            </w:r>
          </w:p>
        </w:tc>
        <w:tc>
          <w:tcPr>
            <w:tcW w:w="0" w:type="dxa"/>
            <w:vAlign w:val="bottom"/>
          </w:tcPr>
          <w:p>
            <w:pPr>
              <w:spacing w:after="0"/>
              <w:rPr>
                <w:sz w:val="1"/>
                <w:szCs w:val="1"/>
                <w:color w:val="auto"/>
              </w:rPr>
            </w:pPr>
          </w:p>
        </w:tc>
      </w:tr>
      <w:tr>
        <w:trPr>
          <w:trHeight w:val="157"/>
        </w:trPr>
        <w:tc>
          <w:tcPr>
            <w:tcW w:w="2920" w:type="dxa"/>
            <w:vAlign w:val="bottom"/>
          </w:tcPr>
          <w:p>
            <w:pPr>
              <w:ind w:left="140"/>
              <w:spacing w:after="0"/>
              <w:rPr>
                <w:sz w:val="20"/>
                <w:szCs w:val="20"/>
                <w:color w:val="auto"/>
              </w:rPr>
            </w:pPr>
            <w:r>
              <w:rPr>
                <w:rFonts w:ascii="Arial" w:cs="Arial" w:eastAsia="Arial" w:hAnsi="Arial"/>
                <w:sz w:val="13"/>
                <w:szCs w:val="13"/>
                <w:color w:val="auto"/>
              </w:rPr>
              <w:t>Automobile</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2,608,230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44,604</w:t>
            </w:r>
          </w:p>
        </w:tc>
        <w:tc>
          <w:tcPr>
            <w:tcW w:w="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31,892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2,684,726</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2,190,353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36,689</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4,246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16,190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2,247,478</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2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49,739,383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645,193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269,593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97,019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1,239,194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51,990,382</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Nonaccrual loans totaled $1,331,702,000 at December 31, 2009. Renegotiated loans (loans which had been renegotiated at below-market interest rates or for which other concessions were granted, but are accruing interest) were $233,342,000 and $212,548,000 at December 31, 2010 and 2009, respectively. To assist borrowers the Company modified the terms of select loans secured by residential real estate, largely from the Company’s portfolio of Alt-A loans. At December 31, 2010, outstanding balances of those modified loans totaled approximately $308 million. Of that total, $117 million were included in nonaccrual loans at December 31, 2010. The remaining $191 million of such modified loans have demonstrated payment capability consistent with the modified terms and accordingly, were classified as renegotiated loans and were accruing interest at the 2010 year-end. If nonaccrual and renegotiated loans had been accruing interest at their originally contracted terms, interest income on such loans would have amounted to $90,351,000 in 2010 and $99,618,000 in 2009. The actual amounts included in interest income during 2010 and 2009 on such loans were $40,139,000 and $43,920,000, respectively.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Borrowings by directors and certain officers of M&amp;T and its banking subsidiaries, and by associates of such persons, exclusive of loans aggregating less than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$120,000 amounted to $105,540,000 and $106,845,000 at December 31, 2010 and 2009, respectively. During 2010, new borrowings by such persons amounted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$2,711,000 (including any borrowings of new directors or officers that were outstanding at the time of their election) and repayments and other reductions (including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reductions resulting from retirements) were $4,016,000.</w:t>
      </w:r>
    </w:p>
    <w:p>
      <w:pPr>
        <w:spacing w:after="0" w:line="6" w:lineRule="exact"/>
        <w:rPr>
          <w:sz w:val="20"/>
          <w:szCs w:val="20"/>
          <w:color w:val="auto"/>
        </w:rPr>
      </w:pPr>
    </w:p>
    <w:p>
      <w:pPr>
        <w:ind w:left="680" w:right="100" w:firstLine="599"/>
        <w:spacing w:after="0" w:line="256" w:lineRule="auto"/>
        <w:rPr>
          <w:sz w:val="20"/>
          <w:szCs w:val="20"/>
          <w:color w:val="auto"/>
        </w:rPr>
      </w:pPr>
      <w:r>
        <w:rPr>
          <w:rFonts w:ascii="Arial" w:cs="Arial" w:eastAsia="Arial" w:hAnsi="Arial"/>
          <w:sz w:val="14"/>
          <w:szCs w:val="14"/>
          <w:color w:val="auto"/>
        </w:rPr>
        <w:t>At December 31, 2010, approximately $6.0 billion of commercial loans and leases, $6.7 billion of commercial mortgage loans, $3.0 billion of one-to-four family residential mortgage loans, $4.4 billion of home equity loans and lines of credit and $3.2 billion of other consumer loans were pledged to secure outstanding borrowings from the FHLB of New York and available lines of credit as described in note 9.</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020" w:firstLine="599"/>
        <w:spacing w:after="0" w:line="280" w:lineRule="auto"/>
        <w:rPr>
          <w:sz w:val="20"/>
          <w:szCs w:val="20"/>
          <w:color w:val="auto"/>
        </w:rPr>
      </w:pPr>
      <w:r>
        <w:rPr>
          <w:rFonts w:ascii="Arial" w:cs="Arial" w:eastAsia="Arial" w:hAnsi="Arial"/>
          <w:sz w:val="14"/>
          <w:szCs w:val="14"/>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2"/>
              </w:rPr>
              <w:t>thousands)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Commercial leases: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Direct financings: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payments receivable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1,205,499</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1,406,238</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Estimated residual value of leased assets</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96,441</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99,968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Unearned income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(181,771)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(224,768)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0"/>
              <w:spacing w:after="0"/>
              <w:rPr>
                <w:sz w:val="20"/>
                <w:szCs w:val="20"/>
                <w:color w:val="auto"/>
              </w:rPr>
            </w:pPr>
            <w:r>
              <w:rPr>
                <w:rFonts w:ascii="Arial" w:cs="Arial" w:eastAsia="Arial" w:hAnsi="Arial"/>
                <w:sz w:val="13"/>
                <w:szCs w:val="13"/>
                <w:color w:val="auto"/>
              </w:rPr>
              <w:t>Investment in direct financings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1,120,169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1,281,438</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Leveraged leases: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Lease payments receivable</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164,818</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185,679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Estimated residual value of leased assets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179,777</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185,415</w:t>
            </w:r>
          </w:p>
        </w:tc>
        <w:tc>
          <w:tcPr>
            <w:tcW w:w="0" w:type="dxa"/>
            <w:vAlign w:val="bottom"/>
          </w:tcPr>
          <w:p>
            <w:pPr>
              <w:spacing w:after="0"/>
              <w:rPr>
                <w:sz w:val="1"/>
                <w:szCs w:val="1"/>
                <w:color w:val="auto"/>
              </w:rPr>
            </w:pPr>
          </w:p>
        </w:tc>
      </w:tr>
      <w:tr>
        <w:trPr>
          <w:trHeight w:val="157"/>
        </w:trPr>
        <w:tc>
          <w:tcPr>
            <w:tcW w:w="7900" w:type="dxa"/>
            <w:vAlign w:val="bottom"/>
          </w:tcPr>
          <w:p>
            <w:pPr>
              <w:ind w:left="280"/>
              <w:spacing w:after="0"/>
              <w:rPr>
                <w:sz w:val="20"/>
                <w:szCs w:val="20"/>
                <w:color w:val="auto"/>
              </w:rPr>
            </w:pPr>
            <w:r>
              <w:rPr>
                <w:rFonts w:ascii="Arial" w:cs="Arial" w:eastAsia="Arial" w:hAnsi="Arial"/>
                <w:sz w:val="13"/>
                <w:szCs w:val="13"/>
                <w:color w:val="auto"/>
              </w:rPr>
              <w:t>Unearned income</w:t>
            </w:r>
          </w:p>
        </w:tc>
        <w:tc>
          <w:tcPr>
            <w:tcW w:w="160" w:type="dxa"/>
            <w:vAlign w:val="bottom"/>
          </w:tcPr>
          <w:p>
            <w:pPr>
              <w:spacing w:after="0"/>
              <w:rPr>
                <w:sz w:val="13"/>
                <w:szCs w:val="13"/>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3"/>
                <w:szCs w:val="13"/>
                <w:color w:val="auto"/>
              </w:rPr>
              <w:t>(63,154)</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(74,131)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Investment in leveraged leases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281,441</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296,963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Total investment in leases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1,401,610</w:t>
            </w:r>
          </w:p>
        </w:tc>
        <w:tc>
          <w:tcPr>
            <w:tcW w:w="3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1,578,401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taxes payable arising from leveraged leases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202,566</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212,910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1060" w:firstLine="599"/>
        <w:spacing w:after="0" w:line="272" w:lineRule="auto"/>
        <w:rPr>
          <w:sz w:val="20"/>
          <w:szCs w:val="20"/>
          <w:color w:val="auto"/>
        </w:rPr>
      </w:pPr>
      <w:r>
        <w:rPr>
          <w:rFonts w:ascii="Arial" w:cs="Arial" w:eastAsia="Arial" w:hAnsi="Arial"/>
          <w:sz w:val="13"/>
          <w:szCs w:val="13"/>
          <w:color w:val="auto"/>
        </w:rPr>
        <w:t>Included within the estimated residual value of leased assets at December 31, 2010 and 2009 were $53 million and $56 million, respectively, in residual value associated with direct financing leases that are guaranteed by the lessees. The Company is indemnified from loss by AIB on a portion of leveraged leases obtained in the acquisition of a former subsidiary of AIB on April 1, 2003. Amounts in the leveraged lease section of the table subject to such indemnification included lease payments receivable of $5 million and $7 million as of December 31, 2010 and 2009, respectively, estimated residual value of leased assets of $26 million and $31 million as of December 31, 2010 and 2009, respectively, and unearned income of $4 million and $6 million as of December 31, 2010 and 2009, respectively.</w:t>
      </w:r>
    </w:p>
    <w:p>
      <w:pPr>
        <w:ind w:left="1280"/>
        <w:spacing w:after="0"/>
        <w:rPr>
          <w:sz w:val="20"/>
          <w:szCs w:val="20"/>
          <w:color w:val="auto"/>
        </w:rPr>
      </w:pPr>
      <w:r>
        <w:rPr>
          <w:rFonts w:ascii="Arial" w:cs="Arial" w:eastAsia="Arial" w:hAnsi="Arial"/>
          <w:sz w:val="14"/>
          <w:szCs w:val="14"/>
          <w:color w:val="auto"/>
        </w:rPr>
        <w:t>At December 31, 2010, the minimum future lease payments to be received from lease financings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9000" w:type="dxa"/>
            <w:vAlign w:val="bottom"/>
          </w:tcPr>
          <w:p>
            <w:pPr>
              <w:ind w:left="140"/>
              <w:spacing w:after="0"/>
              <w:rPr>
                <w:sz w:val="20"/>
                <w:szCs w:val="20"/>
                <w:color w:val="auto"/>
              </w:rPr>
            </w:pPr>
            <w:r>
              <w:rPr>
                <w:rFonts w:ascii="Arial" w:cs="Arial" w:eastAsia="Arial" w:hAnsi="Arial"/>
                <w:sz w:val="13"/>
                <w:szCs w:val="13"/>
                <w:color w:val="auto"/>
              </w:rPr>
              <w:t>2011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316,545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287,561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0" w:type="dxa"/>
            <w:vAlign w:val="bottom"/>
          </w:tcPr>
          <w:p>
            <w:pPr>
              <w:ind w:left="140"/>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186,582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126,186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0" w:type="dxa"/>
            <w:vAlign w:val="bottom"/>
          </w:tcPr>
          <w:p>
            <w:pPr>
              <w:ind w:left="140"/>
              <w:spacing w:after="0"/>
              <w:rPr>
                <w:sz w:val="20"/>
                <w:szCs w:val="20"/>
                <w:color w:val="auto"/>
              </w:rPr>
            </w:pPr>
            <w:r>
              <w:rPr>
                <w:rFonts w:ascii="Arial" w:cs="Arial" w:eastAsia="Arial" w:hAnsi="Arial"/>
                <w:sz w:val="13"/>
                <w:szCs w:val="13"/>
                <w:color w:val="auto"/>
              </w:rPr>
              <w:t>2015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86,833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Later years</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366,610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1,370,317</w:t>
            </w:r>
          </w:p>
        </w:tc>
        <w:tc>
          <w:tcPr>
            <w:tcW w:w="800" w:type="dxa"/>
            <w:vAlign w:val="bottom"/>
          </w:tcPr>
          <w:p>
            <w:pPr>
              <w:spacing w:after="0"/>
              <w:rPr>
                <w:sz w:val="14"/>
                <w:szCs w:val="14"/>
                <w:color w:val="auto"/>
              </w:rPr>
            </w:pPr>
          </w:p>
        </w:tc>
      </w:tr>
      <w:tr>
        <w:trPr>
          <w:trHeight w:val="309"/>
        </w:trPr>
        <w:tc>
          <w:tcPr>
            <w:tcW w:w="68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2"/>
                <w:szCs w:val="12"/>
                <w:color w:val="auto"/>
              </w:rPr>
              <w:t>120</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9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Allowance for credit losses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the allowance for credit losses for the year ended December 31, 2010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Commercial,</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rPr>
              <w:t>Real Estate</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Financial,</w:t>
            </w: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2"/>
              </w:rPr>
              <w:t>Leasing, etc.</w:t>
            </w:r>
          </w:p>
        </w:tc>
        <w:tc>
          <w:tcPr>
            <w:tcW w:w="100" w:type="dxa"/>
            <w:vAlign w:val="bottom"/>
          </w:tcPr>
          <w:p>
            <w:pPr>
              <w:spacing w:after="0"/>
              <w:rPr>
                <w:sz w:val="8"/>
                <w:szCs w:val="8"/>
                <w:color w:val="auto"/>
              </w:rPr>
            </w:pPr>
          </w:p>
        </w:tc>
        <w:tc>
          <w:tcPr>
            <w:tcW w:w="112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7"/>
              </w:rPr>
              <w:t>Commercial</w:t>
            </w:r>
          </w:p>
        </w:tc>
        <w:tc>
          <w:tcPr>
            <w:tcW w:w="80" w:type="dxa"/>
            <w:vAlign w:val="bottom"/>
          </w:tcPr>
          <w:p>
            <w:pPr>
              <w:spacing w:after="0"/>
              <w:rPr>
                <w:sz w:val="8"/>
                <w:szCs w:val="8"/>
                <w:color w:val="auto"/>
              </w:rPr>
            </w:pPr>
          </w:p>
        </w:tc>
        <w:tc>
          <w:tcPr>
            <w:tcW w:w="600" w:type="dxa"/>
            <w:vAlign w:val="bottom"/>
          </w:tcPr>
          <w:p>
            <w:pPr>
              <w:spacing w:after="0" w:line="98" w:lineRule="exact"/>
              <w:rPr>
                <w:sz w:val="20"/>
                <w:szCs w:val="20"/>
                <w:color w:val="auto"/>
              </w:rPr>
            </w:pPr>
            <w:r>
              <w:rPr>
                <w:rFonts w:ascii="Arial" w:cs="Arial" w:eastAsia="Arial" w:hAnsi="Arial"/>
                <w:sz w:val="10"/>
                <w:szCs w:val="10"/>
                <w:b w:val="1"/>
                <w:bCs w:val="1"/>
                <w:color w:val="auto"/>
              </w:rPr>
              <w:t>Residential</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80" w:type="dxa"/>
            <w:vAlign w:val="bottom"/>
          </w:tcPr>
          <w:p>
            <w:pPr>
              <w:spacing w:after="0"/>
              <w:rPr>
                <w:sz w:val="8"/>
                <w:szCs w:val="8"/>
                <w:color w:val="auto"/>
              </w:rPr>
            </w:pPr>
          </w:p>
        </w:tc>
        <w:tc>
          <w:tcPr>
            <w:tcW w:w="1000" w:type="dxa"/>
            <w:vAlign w:val="bottom"/>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6"/>
              </w:rPr>
              <w:t>Consumer</w:t>
            </w:r>
          </w:p>
        </w:tc>
        <w:tc>
          <w:tcPr>
            <w:tcW w:w="60" w:type="dxa"/>
            <w:vAlign w:val="bottom"/>
          </w:tcPr>
          <w:p>
            <w:pPr>
              <w:spacing w:after="0"/>
              <w:rPr>
                <w:sz w:val="8"/>
                <w:szCs w:val="8"/>
                <w:color w:val="auto"/>
              </w:rPr>
            </w:pPr>
          </w:p>
        </w:tc>
        <w:tc>
          <w:tcPr>
            <w:tcW w:w="1020" w:type="dxa"/>
            <w:vAlign w:val="bottom"/>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w w:val="91"/>
              </w:rPr>
              <w:t>Unallocated</w:t>
            </w:r>
          </w:p>
        </w:tc>
        <w:tc>
          <w:tcPr>
            <w:tcW w:w="140" w:type="dxa"/>
            <w:vAlign w:val="bottom"/>
          </w:tcPr>
          <w:p>
            <w:pPr>
              <w:spacing w:after="0"/>
              <w:rPr>
                <w:sz w:val="8"/>
                <w:szCs w:val="8"/>
                <w:color w:val="auto"/>
              </w:rPr>
            </w:pPr>
          </w:p>
        </w:tc>
        <w:tc>
          <w:tcPr>
            <w:tcW w:w="640" w:type="dxa"/>
            <w:vAlign w:val="bottom"/>
            <w:gridSpan w:val="2"/>
          </w:tcPr>
          <w:p>
            <w:pPr>
              <w:jc w:val="right"/>
              <w:ind w:right="320"/>
              <w:spacing w:after="0" w:line="9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219,170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359,770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91,582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137,124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70,376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878,022</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58,438</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159,023</w:t>
            </w:r>
          </w:p>
        </w:tc>
        <w:tc>
          <w:tcPr>
            <w:tcW w:w="8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52,960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97,573</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368,000</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Consolidation of loan securitization trusts</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2,752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2,752</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Net charge-offs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(91,650)</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(124,087)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(71,016)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(125,593)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(412,346)</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26,621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5,856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10,073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23,963</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66,513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(65,029)</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(118,231)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(60,943)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(101,630)</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(345,833)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212,579</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400,562</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53"/>
              <w:spacing w:after="0"/>
              <w:rPr>
                <w:sz w:val="20"/>
                <w:szCs w:val="20"/>
                <w:color w:val="auto"/>
              </w:rPr>
            </w:pPr>
            <w:r>
              <w:rPr>
                <w:rFonts w:ascii="Arial" w:cs="Arial" w:eastAsia="Arial" w:hAnsi="Arial"/>
                <w:sz w:val="13"/>
                <w:szCs w:val="13"/>
                <w:color w:val="auto"/>
              </w:rPr>
              <w:t>86,351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133,067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70,382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902,941</w:t>
            </w: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360" w:firstLine="599"/>
        <w:spacing w:after="0" w:line="280" w:lineRule="auto"/>
        <w:rPr>
          <w:sz w:val="20"/>
          <w:szCs w:val="20"/>
          <w:color w:val="auto"/>
        </w:rPr>
      </w:pPr>
      <w:r>
        <w:rPr>
          <w:rFonts w:ascii="Arial" w:cs="Arial" w:eastAsia="Arial" w:hAnsi="Arial"/>
          <w:sz w:val="14"/>
          <w:szCs w:val="14"/>
          <w:color w:val="auto"/>
        </w:rPr>
        <w:t>Despite the above allocation, the allowance for credit losses is general in nature and is available to absorb losses from any loan or lease type. Changes in the allowance for credit losses for 2009 and 2008 were as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787,904</w:t>
            </w:r>
          </w:p>
        </w:tc>
        <w:tc>
          <w:tcPr>
            <w:tcW w:w="40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759,439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604,000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412,000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Allowance related to loans sold or securitized</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charge-offs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(556,462)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(420,655)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140" w:type="dxa"/>
            <w:vAlign w:val="bottom"/>
          </w:tcPr>
          <w:p>
            <w:pPr>
              <w:spacing w:after="0"/>
              <w:rPr>
                <w:sz w:val="13"/>
                <w:szCs w:val="13"/>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3"/>
                <w:szCs w:val="13"/>
                <w:color w:val="auto"/>
              </w:rPr>
              <w:t>42,580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37,645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(513,882)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(383,010)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878,022</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787,904</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 w:firstLine="599"/>
        <w:spacing w:after="0" w:line="272" w:lineRule="auto"/>
        <w:rPr>
          <w:sz w:val="20"/>
          <w:szCs w:val="20"/>
          <w:color w:val="auto"/>
        </w:rPr>
      </w:pPr>
      <w:r>
        <w:rPr>
          <w:rFonts w:ascii="Arial" w:cs="Arial" w:eastAsia="Arial" w:hAnsi="Arial"/>
          <w:sz w:val="13"/>
          <w:szCs w:val="13"/>
          <w:color w:val="auto"/>
        </w:rPr>
        <w:t>In ascertaining the adequacy of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an extensive loan grading system which is applied to all commercial and commercial real estate credits. Loan officers are responsible for continually assigning grades to loans based on standards outlined in the Company’s Credit Policy. Internal loan grades are also extensively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60"/>
        <w:spacing w:after="0" w:line="294" w:lineRule="auto"/>
        <w:rPr>
          <w:sz w:val="20"/>
          <w:szCs w:val="20"/>
          <w:color w:val="auto"/>
        </w:rPr>
      </w:pPr>
      <w:r>
        <w:rPr>
          <w:rFonts w:ascii="Arial" w:cs="Arial" w:eastAsia="Arial" w:hAnsi="Arial"/>
          <w:sz w:val="13"/>
          <w:szCs w:val="13"/>
          <w:color w:val="auto"/>
        </w:rPr>
        <w:t>effects of changes in credit concentrations; and observed trends and practices in the banking industry. Modified loans, including smaller balance homogenous loans, that are considered to be troubled debt restructurings are evaluated for impairment giving consideration to the impact of the modified loan terms on the present value of the loan’s expected cash flows. The following table provides information with respect to impaired loans and leases as of and for the year ended December 31, 2010.</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9"/>
                <w:szCs w:val="9"/>
                <w:b w:val="1"/>
                <w:bCs w:val="1"/>
                <w:color w:val="auto"/>
              </w:rPr>
              <w:t>December 31, 2010</w:t>
            </w: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gridSpan w:val="7"/>
          </w:tcPr>
          <w:p>
            <w:pPr>
              <w:ind w:left="420"/>
              <w:spacing w:after="0"/>
              <w:rPr>
                <w:sz w:val="20"/>
                <w:szCs w:val="20"/>
                <w:color w:val="auto"/>
              </w:rPr>
            </w:pPr>
            <w:r>
              <w:rPr>
                <w:rFonts w:ascii="Arial" w:cs="Arial" w:eastAsia="Arial" w:hAnsi="Arial"/>
                <w:sz w:val="9"/>
                <w:szCs w:val="9"/>
                <w:b w:val="1"/>
                <w:bCs w:val="1"/>
                <w:color w:val="auto"/>
              </w:rPr>
              <w:t>Year Ended December 31, 2010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0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380"/>
              <w:spacing w:after="0" w:line="85" w:lineRule="exact"/>
              <w:rPr>
                <w:sz w:val="20"/>
                <w:szCs w:val="20"/>
                <w:color w:val="auto"/>
              </w:rPr>
            </w:pPr>
            <w:r>
              <w:rPr>
                <w:rFonts w:ascii="Arial" w:cs="Arial" w:eastAsia="Arial" w:hAnsi="Arial"/>
                <w:sz w:val="9"/>
                <w:szCs w:val="9"/>
                <w:b w:val="1"/>
                <w:bCs w:val="1"/>
                <w:color w:val="auto"/>
                <w:w w:val="91"/>
              </w:rPr>
              <w:t>Unpaid</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340"/>
              <w:spacing w:after="0" w:line="85" w:lineRule="exact"/>
              <w:rPr>
                <w:sz w:val="20"/>
                <w:szCs w:val="20"/>
                <w:color w:val="auto"/>
              </w:rPr>
            </w:pPr>
            <w:r>
              <w:rPr>
                <w:rFonts w:ascii="Arial" w:cs="Arial" w:eastAsia="Arial" w:hAnsi="Arial"/>
                <w:sz w:val="9"/>
                <w:szCs w:val="9"/>
                <w:b w:val="1"/>
                <w:bCs w:val="1"/>
                <w:color w:val="auto"/>
                <w:w w:val="89"/>
              </w:rPr>
              <w:t>Average</w:t>
            </w:r>
          </w:p>
        </w:tc>
        <w:tc>
          <w:tcPr>
            <w:tcW w:w="80" w:type="dxa"/>
            <w:vAlign w:val="bottom"/>
          </w:tcPr>
          <w:p>
            <w:pPr>
              <w:spacing w:after="0"/>
              <w:rPr>
                <w:sz w:val="7"/>
                <w:szCs w:val="7"/>
                <w:color w:val="auto"/>
              </w:rPr>
            </w:pPr>
          </w:p>
        </w:tc>
        <w:tc>
          <w:tcPr>
            <w:tcW w:w="1300" w:type="dxa"/>
            <w:vAlign w:val="bottom"/>
            <w:gridSpan w:val="5"/>
            <w:vMerge w:val="restart"/>
          </w:tcPr>
          <w:p>
            <w:pPr>
              <w:ind w:left="20"/>
              <w:spacing w:after="0"/>
              <w:rPr>
                <w:sz w:val="20"/>
                <w:szCs w:val="20"/>
                <w:color w:val="auto"/>
              </w:rPr>
            </w:pPr>
            <w:r>
              <w:rPr>
                <w:rFonts w:ascii="Arial" w:cs="Arial" w:eastAsia="Arial" w:hAnsi="Arial"/>
                <w:sz w:val="9"/>
                <w:szCs w:val="9"/>
                <w:b w:val="1"/>
                <w:bCs w:val="1"/>
                <w:color w:val="auto"/>
              </w:rPr>
              <w:t>Interest Income Recognized</w:t>
            </w: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240"/>
              <w:spacing w:after="0" w:line="102" w:lineRule="exact"/>
              <w:rPr>
                <w:sz w:val="20"/>
                <w:szCs w:val="20"/>
                <w:color w:val="auto"/>
              </w:rPr>
            </w:pPr>
            <w:r>
              <w:rPr>
                <w:rFonts w:ascii="Arial" w:cs="Arial" w:eastAsia="Arial" w:hAnsi="Arial"/>
                <w:sz w:val="9"/>
                <w:szCs w:val="9"/>
                <w:b w:val="1"/>
                <w:bCs w:val="1"/>
                <w:color w:val="auto"/>
                <w:w w:val="96"/>
              </w:rPr>
              <w:t>Recorded</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380"/>
              <w:spacing w:after="0" w:line="102" w:lineRule="exact"/>
              <w:rPr>
                <w:sz w:val="20"/>
                <w:szCs w:val="20"/>
                <w:color w:val="auto"/>
              </w:rPr>
            </w:pPr>
            <w:r>
              <w:rPr>
                <w:rFonts w:ascii="Arial" w:cs="Arial" w:eastAsia="Arial" w:hAnsi="Arial"/>
                <w:sz w:val="9"/>
                <w:szCs w:val="9"/>
                <w:b w:val="1"/>
                <w:bCs w:val="1"/>
                <w:color w:val="auto"/>
                <w:w w:val="94"/>
              </w:rPr>
              <w:t>Principal</w:t>
            </w:r>
          </w:p>
        </w:tc>
        <w:tc>
          <w:tcPr>
            <w:tcW w:w="80" w:type="dxa"/>
            <w:vAlign w:val="bottom"/>
          </w:tcPr>
          <w:p>
            <w:pPr>
              <w:spacing w:after="0"/>
              <w:rPr>
                <w:sz w:val="8"/>
                <w:szCs w:val="8"/>
                <w:color w:val="auto"/>
              </w:rPr>
            </w:pPr>
          </w:p>
        </w:tc>
        <w:tc>
          <w:tcPr>
            <w:tcW w:w="800" w:type="dxa"/>
            <w:vAlign w:val="bottom"/>
            <w:gridSpan w:val="2"/>
          </w:tcPr>
          <w:p>
            <w:pPr>
              <w:jc w:val="center"/>
              <w:ind w:right="380"/>
              <w:spacing w:after="0" w:line="102" w:lineRule="exact"/>
              <w:rPr>
                <w:sz w:val="20"/>
                <w:szCs w:val="20"/>
                <w:color w:val="auto"/>
              </w:rPr>
            </w:pPr>
            <w:r>
              <w:rPr>
                <w:rFonts w:ascii="Arial" w:cs="Arial" w:eastAsia="Arial" w:hAnsi="Arial"/>
                <w:sz w:val="9"/>
                <w:szCs w:val="9"/>
                <w:b w:val="1"/>
                <w:bCs w:val="1"/>
                <w:color w:val="auto"/>
                <w:w w:val="92"/>
              </w:rPr>
              <w:t>Related</w:t>
            </w:r>
          </w:p>
        </w:tc>
        <w:tc>
          <w:tcPr>
            <w:tcW w:w="60" w:type="dxa"/>
            <w:vAlign w:val="bottom"/>
          </w:tcPr>
          <w:p>
            <w:pPr>
              <w:spacing w:after="0"/>
              <w:rPr>
                <w:sz w:val="8"/>
                <w:szCs w:val="8"/>
                <w:color w:val="auto"/>
              </w:rPr>
            </w:pPr>
          </w:p>
        </w:tc>
        <w:tc>
          <w:tcPr>
            <w:tcW w:w="82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86"/>
              </w:rPr>
              <w:t>Recorded</w:t>
            </w:r>
          </w:p>
        </w:tc>
        <w:tc>
          <w:tcPr>
            <w:tcW w:w="8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92"/>
              </w:rPr>
              <w:t>Investment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w w:val="92"/>
              </w:rPr>
              <w:t>Balance</w:t>
            </w: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center"/>
              <w:ind w:right="8"/>
              <w:spacing w:after="0" w:line="88" w:lineRule="exact"/>
              <w:rPr>
                <w:sz w:val="20"/>
                <w:szCs w:val="20"/>
                <w:color w:val="auto"/>
              </w:rPr>
            </w:pPr>
            <w:r>
              <w:rPr>
                <w:rFonts w:ascii="Arial" w:cs="Arial" w:eastAsia="Arial" w:hAnsi="Arial"/>
                <w:sz w:val="9"/>
                <w:szCs w:val="9"/>
                <w:b w:val="1"/>
                <w:bCs w:val="1"/>
                <w:color w:val="auto"/>
                <w:w w:val="89"/>
              </w:rPr>
              <w:t>Allowance</w:t>
            </w: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center"/>
              <w:ind w:right="9"/>
              <w:spacing w:after="0" w:line="88" w:lineRule="exact"/>
              <w:rPr>
                <w:sz w:val="20"/>
                <w:szCs w:val="20"/>
                <w:color w:val="auto"/>
              </w:rPr>
            </w:pPr>
            <w:r>
              <w:rPr>
                <w:rFonts w:ascii="Arial" w:cs="Arial" w:eastAsia="Arial" w:hAnsi="Arial"/>
                <w:sz w:val="9"/>
                <w:szCs w:val="9"/>
                <w:b w:val="1"/>
                <w:bCs w:val="1"/>
                <w:color w:val="auto"/>
                <w:w w:val="92"/>
              </w:rPr>
              <w:t>Investment</w:t>
            </w:r>
          </w:p>
        </w:tc>
        <w:tc>
          <w:tcPr>
            <w:tcW w:w="28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rPr>
              <w:t>Total</w:t>
            </w:r>
          </w:p>
        </w:tc>
        <w:tc>
          <w:tcPr>
            <w:tcW w:w="3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98"/>
              </w:rPr>
              <w:t>Cash Basis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000" w:type="dxa"/>
            <w:vAlign w:val="bottom"/>
            <w:shd w:val="clear" w:color="auto" w:fill="CCEEFF"/>
          </w:tcPr>
          <w:p>
            <w:pPr>
              <w:spacing w:after="0"/>
              <w:rPr>
                <w:sz w:val="20"/>
                <w:szCs w:val="20"/>
                <w:color w:val="auto"/>
              </w:rPr>
            </w:pPr>
            <w:r>
              <w:rPr>
                <w:rFonts w:ascii="Arial" w:cs="Arial" w:eastAsia="Arial" w:hAnsi="Arial"/>
                <w:sz w:val="10"/>
                <w:szCs w:val="10"/>
                <w:color w:val="auto"/>
              </w:rPr>
              <w:t>With an allowance recorded:</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120"/>
              <w:spacing w:after="0" w:line="108" w:lineRule="exact"/>
              <w:rPr>
                <w:sz w:val="20"/>
                <w:szCs w:val="20"/>
                <w:color w:val="auto"/>
              </w:rPr>
            </w:pPr>
            <w:r>
              <w:rPr>
                <w:rFonts w:ascii="Arial" w:cs="Arial" w:eastAsia="Arial" w:hAnsi="Arial"/>
                <w:sz w:val="10"/>
                <w:szCs w:val="10"/>
                <w:color w:val="auto"/>
              </w:rPr>
              <w:t>Commercial, financial, leasing, etc.</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121,744</w:t>
            </w:r>
          </w:p>
        </w:tc>
        <w:tc>
          <w:tcPr>
            <w:tcW w:w="2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170,888</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40,909</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Real estate:</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Commercial</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110,975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140,015</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17,393</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 builder and developer</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263,545</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295,031</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78,597</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Other commercial construction</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80,934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85,432</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22,067</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73,006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85,279</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3,375</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Residential Alt-A</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180,665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191,445</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36,000</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Consumer:</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Home equity lines and loans</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11,799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13,378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2,227</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Automobile</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58,858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58,858</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12,597</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2,978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2,978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768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904,504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1,043,304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213,933</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line="108" w:lineRule="exact"/>
              <w:rPr>
                <w:sz w:val="20"/>
                <w:szCs w:val="20"/>
                <w:color w:val="auto"/>
              </w:rPr>
            </w:pPr>
            <w:r>
              <w:rPr>
                <w:rFonts w:ascii="Arial" w:cs="Arial" w:eastAsia="Arial" w:hAnsi="Arial"/>
                <w:sz w:val="10"/>
                <w:szCs w:val="10"/>
                <w:color w:val="auto"/>
              </w:rPr>
              <w:t>With no related allowance recorded:</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Commercial, financial, leasing, etc.</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65,827</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86,332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120"/>
              <w:spacing w:after="0" w:line="108" w:lineRule="exact"/>
              <w:rPr>
                <w:sz w:val="20"/>
                <w:szCs w:val="20"/>
                <w:color w:val="auto"/>
              </w:rPr>
            </w:pPr>
            <w:r>
              <w:rPr>
                <w:rFonts w:ascii="Arial" w:cs="Arial" w:eastAsia="Arial" w:hAnsi="Arial"/>
                <w:sz w:val="10"/>
                <w:szCs w:val="10"/>
                <w:color w:val="auto"/>
              </w:rPr>
              <w:t>Real estate: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Commercial</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101,939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116,316</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Residential builder and developer</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100,799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124,383</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commercial construction</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46,656</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50,496</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Residential</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5,035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7,723</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 Alt-A</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28,967</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47,879</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349,223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433,129</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ind w:left="400"/>
              <w:spacing w:after="0" w:line="108" w:lineRule="exact"/>
              <w:rPr>
                <w:sz w:val="20"/>
                <w:szCs w:val="20"/>
                <w:color w:val="auto"/>
              </w:rPr>
            </w:pPr>
            <w:r>
              <w:rPr>
                <w:rFonts w:ascii="Arial" w:cs="Arial" w:eastAsia="Arial" w:hAnsi="Arial"/>
                <w:sz w:val="10"/>
                <w:szCs w:val="10"/>
                <w:color w:val="auto"/>
                <w:w w:val="79"/>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120"/>
              <w:spacing w:after="0" w:line="108" w:lineRule="exact"/>
              <w:rPr>
                <w:sz w:val="20"/>
                <w:szCs w:val="20"/>
                <w:color w:val="auto"/>
              </w:rPr>
            </w:pPr>
            <w:r>
              <w:rPr>
                <w:rFonts w:ascii="Arial" w:cs="Arial" w:eastAsia="Arial" w:hAnsi="Arial"/>
                <w:sz w:val="10"/>
                <w:szCs w:val="10"/>
                <w:color w:val="auto"/>
              </w:rPr>
              <w:t>Commercial, financial, leasing, etc.</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187,571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257,220</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40,909</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266,685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5,027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5,003</w:t>
            </w: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Real estate:</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Commercial</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212,914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256,331</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17,393</w:t>
            </w:r>
          </w:p>
        </w:tc>
        <w:tc>
          <w:tcPr>
            <w:tcW w:w="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233,429</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1,748</w:t>
            </w: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 builder and developer</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364,344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419,414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78,597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322,249</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1,723</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753</w:t>
            </w: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Other commercial construction</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127,590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135,928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22,067</w:t>
            </w:r>
          </w:p>
        </w:tc>
        <w:tc>
          <w:tcPr>
            <w:tcW w:w="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64,436</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462</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449</w:t>
            </w: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Residential</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78,041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93,002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62,104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3,079</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1,793</w:t>
            </w: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Residential Alt-A</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209,632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239,324</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36,000</w:t>
            </w:r>
          </w:p>
        </w:tc>
        <w:tc>
          <w:tcPr>
            <w:tcW w:w="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220,589</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8,397</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1,758</w:t>
            </w: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Consumer:</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Home equity lines and loans</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11,799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13,378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2,227</w:t>
            </w:r>
          </w:p>
        </w:tc>
        <w:tc>
          <w:tcPr>
            <w:tcW w:w="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11,807</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790</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08"/>
        </w:trPr>
        <w:tc>
          <w:tcPr>
            <w:tcW w:w="5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Automobile</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58,858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58,858</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54,221</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3,684</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1,233</w:t>
            </w:r>
          </w:p>
        </w:tc>
        <w:tc>
          <w:tcPr>
            <w:tcW w:w="0" w:type="dxa"/>
            <w:vAlign w:val="bottom"/>
          </w:tcPr>
          <w:p>
            <w:pPr>
              <w:spacing w:after="0"/>
              <w:rPr>
                <w:sz w:val="1"/>
                <w:szCs w:val="1"/>
                <w:color w:val="auto"/>
              </w:rPr>
            </w:pPr>
          </w:p>
        </w:tc>
      </w:tr>
      <w:tr>
        <w:trPr>
          <w:trHeight w:val="108"/>
        </w:trPr>
        <w:tc>
          <w:tcPr>
            <w:tcW w:w="5000" w:type="dxa"/>
            <w:vAlign w:val="bottom"/>
          </w:tcPr>
          <w:p>
            <w:pPr>
              <w:ind w:left="220"/>
              <w:spacing w:after="0" w:line="108" w:lineRule="exact"/>
              <w:rPr>
                <w:sz w:val="20"/>
                <w:szCs w:val="20"/>
                <w:color w:val="auto"/>
              </w:rPr>
            </w:pPr>
            <w:r>
              <w:rPr>
                <w:rFonts w:ascii="Arial" w:cs="Arial" w:eastAsia="Arial" w:hAnsi="Arial"/>
                <w:sz w:val="10"/>
                <w:szCs w:val="10"/>
                <w:color w:val="auto"/>
              </w:rPr>
              <w:t>Other</w:t>
            </w:r>
          </w:p>
        </w:tc>
        <w:tc>
          <w:tcPr>
            <w:tcW w:w="8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2,978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2,978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768</w:t>
            </w:r>
          </w:p>
        </w:tc>
        <w:tc>
          <w:tcPr>
            <w:tcW w:w="60" w:type="dxa"/>
            <w:vAlign w:val="bottom"/>
          </w:tcPr>
          <w:p>
            <w:pPr>
              <w:spacing w:after="0"/>
              <w:rPr>
                <w:sz w:val="9"/>
                <w:szCs w:val="9"/>
                <w:color w:val="auto"/>
              </w:rPr>
            </w:pPr>
          </w:p>
        </w:tc>
        <w:tc>
          <w:tcPr>
            <w:tcW w:w="8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3,165</w:t>
            </w:r>
          </w:p>
        </w:tc>
        <w:tc>
          <w:tcPr>
            <w:tcW w:w="8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243</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1,253,727</w:t>
            </w:r>
          </w:p>
        </w:tc>
        <w:tc>
          <w:tcPr>
            <w:tcW w:w="2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1,476,433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213,933</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1,238,685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25,395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12,987</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recorded investment in loans considered impaired for purposes of applying GAAP was $1,311,616,000 at December 31, 2009. The recorded investment in</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considered impaired for which there was a related valuation allowance for impairment included in the allowance for credit losses and the amount of such impairment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allowance were $1,077,626,000 and $244,137,000, respectively, at December 31, 2009. The recorded investment in loans considered impaired for which there was no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related valuation allowance for impairment was $233,990,000 at December 31, 2009. The average recorded investment in impaired loans during 2009 and 2008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$986,164,000 and $371,298,000, respectively. Interest income recognized on impaired loans totaled $10,224,000 and $7,222,000 for the years ended December 31, 2009</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and 2008, respectively.</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following table summarizes the loan grades applied to the Company’s commercial and commercial real estate loans as of December 31, 2010.</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Commercial,</w:t>
            </w: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Real Estate</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Residential</w:t>
            </w:r>
          </w:p>
        </w:tc>
        <w:tc>
          <w:tcPr>
            <w:tcW w:w="100" w:type="dxa"/>
            <w:vAlign w:val="bottom"/>
          </w:tcPr>
          <w:p>
            <w:pPr>
              <w:spacing w:after="0"/>
              <w:rPr>
                <w:sz w:val="7"/>
                <w:szCs w:val="7"/>
                <w:color w:val="auto"/>
              </w:rPr>
            </w:pPr>
          </w:p>
        </w:tc>
        <w:tc>
          <w:tcPr>
            <w:tcW w:w="7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Other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Financial,</w:t>
            </w:r>
          </w:p>
        </w:tc>
        <w:tc>
          <w:tcPr>
            <w:tcW w:w="120" w:type="dxa"/>
            <w:vAlign w:val="bottom"/>
          </w:tcPr>
          <w:p>
            <w:pPr>
              <w:spacing w:after="0"/>
              <w:rPr>
                <w:sz w:val="9"/>
                <w:szCs w:val="9"/>
                <w:color w:val="auto"/>
              </w:rPr>
            </w:pPr>
          </w:p>
        </w:tc>
        <w:tc>
          <w:tcPr>
            <w:tcW w:w="1160" w:type="dxa"/>
            <w:vAlign w:val="bottom"/>
            <w:gridSpan w:val="2"/>
            <w:vMerge w:val="restart"/>
          </w:tcPr>
          <w:p>
            <w:pPr>
              <w:jc w:val="right"/>
              <w:ind w:right="508"/>
              <w:spacing w:after="0"/>
              <w:rPr>
                <w:sz w:val="20"/>
                <w:szCs w:val="20"/>
                <w:color w:val="auto"/>
              </w:rPr>
            </w:pPr>
            <w:r>
              <w:rPr>
                <w:rFonts w:ascii="Arial" w:cs="Arial" w:eastAsia="Arial" w:hAnsi="Arial"/>
                <w:sz w:val="10"/>
                <w:szCs w:val="10"/>
                <w:b w:val="1"/>
                <w:bCs w:val="1"/>
                <w:color w:val="auto"/>
              </w:rPr>
              <w:t>Commercial</w:t>
            </w:r>
          </w:p>
        </w:tc>
        <w:tc>
          <w:tcPr>
            <w:tcW w:w="80" w:type="dxa"/>
            <w:vAlign w:val="bottom"/>
          </w:tcPr>
          <w:p>
            <w:pPr>
              <w:spacing w:after="0"/>
              <w:rPr>
                <w:sz w:val="9"/>
                <w:szCs w:val="9"/>
                <w:color w:val="auto"/>
              </w:rPr>
            </w:pPr>
          </w:p>
        </w:tc>
        <w:tc>
          <w:tcPr>
            <w:tcW w:w="11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4"/>
              </w:rPr>
              <w:t>Builder and</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4"/>
              </w:rPr>
              <w:t>Commercial</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Leasing, etc</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0"/>
              </w:rPr>
              <w:t>Developer</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Construction</w:t>
            </w: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Pass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12,371,138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15,831,104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693,110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2,253,589</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Criticized accrual</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832,733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891,655</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311,932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519,651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Criticized nonaccrual</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186,739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209,031</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346,448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126,641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13,390,610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48"/>
              <w:spacing w:after="0"/>
              <w:rPr>
                <w:sz w:val="20"/>
                <w:szCs w:val="20"/>
                <w:color w:val="auto"/>
              </w:rPr>
            </w:pPr>
            <w:r>
              <w:rPr>
                <w:rFonts w:ascii="Arial" w:cs="Arial" w:eastAsia="Arial" w:hAnsi="Arial"/>
                <w:sz w:val="13"/>
                <w:szCs w:val="13"/>
                <w:color w:val="auto"/>
              </w:rPr>
              <w:t>16,931,790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1,351,490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2,899,881</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firstLine="599"/>
        <w:spacing w:after="0" w:line="253" w:lineRule="auto"/>
        <w:rPr>
          <w:sz w:val="20"/>
          <w:szCs w:val="20"/>
          <w:color w:val="auto"/>
        </w:rPr>
      </w:pPr>
      <w:r>
        <w:rPr>
          <w:rFonts w:ascii="Arial" w:cs="Arial" w:eastAsia="Arial" w:hAnsi="Arial"/>
          <w:sz w:val="14"/>
          <w:szCs w:val="14"/>
          <w:color w:val="auto"/>
        </w:rPr>
        <w:t>In assessing the adequacy of the allowance for credit losses, residential real estate loans and consumer loans are generally evaluated collectively after considering such factors as payment performance (see note 4), collateral values and trends related thereto.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In addition, the Company also provides an inherent unallocated portion of the allowance that is intended to recognize probable losses that are not otherwise identifiable and includes management’s subjective determination of amounts necessary to provide for the possible use of imprecise estimates in determining the allocated portion of the allowance.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At December 31, 2010 the allocation of the allowance for credit losses summarized on the basis of the Company’s impairment methodology was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Commercial,</w:t>
            </w:r>
          </w:p>
        </w:tc>
        <w:tc>
          <w:tcPr>
            <w:tcW w:w="100" w:type="dxa"/>
            <w:vAlign w:val="bottom"/>
          </w:tcPr>
          <w:p>
            <w:pPr>
              <w:spacing w:after="0"/>
              <w:rPr>
                <w:sz w:val="10"/>
                <w:szCs w:val="10"/>
                <w:color w:val="auto"/>
              </w:rPr>
            </w:pPr>
          </w:p>
        </w:tc>
        <w:tc>
          <w:tcPr>
            <w:tcW w:w="1180" w:type="dxa"/>
            <w:vAlign w:val="bottom"/>
            <w:gridSpan w:val="4"/>
            <w:vMerge w:val="restart"/>
          </w:tcPr>
          <w:p>
            <w:pPr>
              <w:ind w:left="580"/>
              <w:spacing w:after="0"/>
              <w:rPr>
                <w:sz w:val="20"/>
                <w:szCs w:val="20"/>
                <w:color w:val="auto"/>
              </w:rPr>
            </w:pPr>
            <w:r>
              <w:rPr>
                <w:rFonts w:ascii="Arial" w:cs="Arial" w:eastAsia="Arial" w:hAnsi="Arial"/>
                <w:sz w:val="10"/>
                <w:szCs w:val="10"/>
                <w:b w:val="1"/>
                <w:bCs w:val="1"/>
                <w:color w:val="auto"/>
              </w:rPr>
              <w:t>Real Estate</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Financial,</w:t>
            </w: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2"/>
              </w:rPr>
              <w:t>Leasing, etc.</w:t>
            </w:r>
          </w:p>
        </w:tc>
        <w:tc>
          <w:tcPr>
            <w:tcW w:w="100" w:type="dxa"/>
            <w:vAlign w:val="bottom"/>
          </w:tcPr>
          <w:p>
            <w:pPr>
              <w:spacing w:after="0"/>
              <w:rPr>
                <w:sz w:val="8"/>
                <w:szCs w:val="8"/>
                <w:color w:val="auto"/>
              </w:rPr>
            </w:pPr>
          </w:p>
        </w:tc>
        <w:tc>
          <w:tcPr>
            <w:tcW w:w="80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Commercial</w:t>
            </w:r>
          </w:p>
        </w:tc>
        <w:tc>
          <w:tcPr>
            <w:tcW w:w="30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w:t>
            </w:r>
          </w:p>
        </w:tc>
        <w:tc>
          <w:tcPr>
            <w:tcW w:w="80" w:type="dxa"/>
            <w:vAlign w:val="bottom"/>
          </w:tcPr>
          <w:p>
            <w:pPr>
              <w:spacing w:after="0"/>
              <w:rPr>
                <w:sz w:val="8"/>
                <w:szCs w:val="8"/>
                <w:color w:val="auto"/>
              </w:rPr>
            </w:pPr>
          </w:p>
        </w:tc>
        <w:tc>
          <w:tcPr>
            <w:tcW w:w="600" w:type="dxa"/>
            <w:vAlign w:val="bottom"/>
          </w:tcPr>
          <w:p>
            <w:pPr>
              <w:spacing w:after="0" w:line="98" w:lineRule="exact"/>
              <w:rPr>
                <w:sz w:val="20"/>
                <w:szCs w:val="20"/>
                <w:color w:val="auto"/>
              </w:rPr>
            </w:pPr>
            <w:r>
              <w:rPr>
                <w:rFonts w:ascii="Arial" w:cs="Arial" w:eastAsia="Arial" w:hAnsi="Arial"/>
                <w:sz w:val="10"/>
                <w:szCs w:val="10"/>
                <w:b w:val="1"/>
                <w:bCs w:val="1"/>
                <w:color w:val="auto"/>
              </w:rPr>
              <w:t>Residential</w:t>
            </w:r>
          </w:p>
        </w:tc>
        <w:tc>
          <w:tcPr>
            <w:tcW w:w="400" w:type="dxa"/>
            <w:vAlign w:val="bottom"/>
          </w:tcPr>
          <w:p>
            <w:pPr>
              <w:spacing w:after="0"/>
              <w:rPr>
                <w:sz w:val="8"/>
                <w:szCs w:val="8"/>
                <w:color w:val="auto"/>
              </w:rPr>
            </w:pPr>
          </w:p>
        </w:tc>
        <w:tc>
          <w:tcPr>
            <w:tcW w:w="980" w:type="dxa"/>
            <w:vAlign w:val="bottom"/>
            <w:gridSpan w:val="3"/>
          </w:tcPr>
          <w:p>
            <w:pPr>
              <w:jc w:val="right"/>
              <w:ind w:right="460"/>
              <w:spacing w:after="0" w:line="98" w:lineRule="exact"/>
              <w:rPr>
                <w:sz w:val="20"/>
                <w:szCs w:val="20"/>
                <w:color w:val="auto"/>
              </w:rPr>
            </w:pPr>
            <w:r>
              <w:rPr>
                <w:rFonts w:ascii="Arial" w:cs="Arial" w:eastAsia="Arial" w:hAnsi="Arial"/>
                <w:sz w:val="10"/>
                <w:szCs w:val="10"/>
                <w:b w:val="1"/>
                <w:bCs w:val="1"/>
                <w:color w:val="auto"/>
              </w:rPr>
              <w:t>Consumer</w:t>
            </w:r>
          </w:p>
        </w:tc>
        <w:tc>
          <w:tcPr>
            <w:tcW w:w="120" w:type="dxa"/>
            <w:vAlign w:val="bottom"/>
          </w:tcPr>
          <w:p>
            <w:pPr>
              <w:spacing w:after="0"/>
              <w:rPr>
                <w:sz w:val="8"/>
                <w:szCs w:val="8"/>
                <w:color w:val="auto"/>
              </w:rPr>
            </w:pPr>
          </w:p>
        </w:tc>
        <w:tc>
          <w:tcPr>
            <w:tcW w:w="560" w:type="dxa"/>
            <w:vAlign w:val="bottom"/>
            <w:gridSpan w:val="2"/>
          </w:tcPr>
          <w:p>
            <w:pPr>
              <w:jc w:val="right"/>
              <w:ind w:right="280"/>
              <w:spacing w:after="0" w:line="9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40,459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114,082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15,492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209,033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Collectively evaluated for impairment</w:t>
            </w: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171,670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282,505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46,976</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117,475</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618,626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Purchased impaired</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3,975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color w:val="auto"/>
              </w:rPr>
              <w:t>Allocated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212,579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400,562</w:t>
            </w:r>
          </w:p>
        </w:tc>
        <w:tc>
          <w:tcPr>
            <w:tcW w:w="380" w:type="dxa"/>
            <w:vAlign w:val="bottom"/>
            <w:gridSpan w:val="2"/>
          </w:tcPr>
          <w:p>
            <w:pPr>
              <w:ind w:left="3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86,351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133,067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832,559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Unallocated</w:t>
            </w: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70,382</w:t>
            </w:r>
          </w:p>
        </w:tc>
        <w:tc>
          <w:tcPr>
            <w:tcW w:w="0" w:type="dxa"/>
            <w:vAlign w:val="bottom"/>
          </w:tcPr>
          <w:p>
            <w:pPr>
              <w:spacing w:after="0"/>
              <w:rPr>
                <w:sz w:val="1"/>
                <w:szCs w:val="1"/>
                <w:color w:val="auto"/>
              </w:rPr>
            </w:pPr>
          </w:p>
        </w:tc>
      </w:tr>
      <w:tr>
        <w:trPr>
          <w:trHeight w:val="166"/>
        </w:trPr>
        <w:tc>
          <w:tcPr>
            <w:tcW w:w="4800" w:type="dxa"/>
            <w:vAlign w:val="bottom"/>
          </w:tcPr>
          <w:p>
            <w:pPr>
              <w:spacing w:after="0"/>
              <w:rPr>
                <w:sz w:val="20"/>
                <w:szCs w:val="20"/>
                <w:color w:val="auto"/>
              </w:rPr>
            </w:pPr>
            <w:r>
              <w:rPr>
                <w:rFonts w:ascii="Arial" w:cs="Arial" w:eastAsia="Arial" w:hAnsi="Arial"/>
                <w:sz w:val="13"/>
                <w:szCs w:val="13"/>
                <w:color w:val="auto"/>
              </w:rPr>
              <w:t>Total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902,941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recorded investment in loans and leases summarized on the basis of the Company’s impairment methodology as of December 31, 2010 was as follows:</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6"/>
              </w:rPr>
              <w:t>Commercial,</w:t>
            </w:r>
          </w:p>
        </w:tc>
        <w:tc>
          <w:tcPr>
            <w:tcW w:w="120" w:type="dxa"/>
            <w:vAlign w:val="bottom"/>
          </w:tcPr>
          <w:p>
            <w:pPr>
              <w:spacing w:after="0"/>
              <w:rPr>
                <w:sz w:val="10"/>
                <w:szCs w:val="10"/>
                <w:color w:val="auto"/>
              </w:rPr>
            </w:pPr>
          </w:p>
        </w:tc>
        <w:tc>
          <w:tcPr>
            <w:tcW w:w="1280" w:type="dxa"/>
            <w:vAlign w:val="bottom"/>
            <w:gridSpan w:val="3"/>
            <w:vMerge w:val="restart"/>
          </w:tcPr>
          <w:p>
            <w:pPr>
              <w:jc w:val="right"/>
              <w:ind w:right="50"/>
              <w:spacing w:after="0"/>
              <w:rPr>
                <w:sz w:val="20"/>
                <w:szCs w:val="20"/>
                <w:color w:val="auto"/>
              </w:rPr>
            </w:pPr>
            <w:r>
              <w:rPr>
                <w:rFonts w:ascii="Arial" w:cs="Arial" w:eastAsia="Arial" w:hAnsi="Arial"/>
                <w:sz w:val="10"/>
                <w:szCs w:val="10"/>
                <w:b w:val="1"/>
                <w:bCs w:val="1"/>
                <w:color w:val="auto"/>
              </w:rPr>
              <w:t>Real Estate</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Financial,</w:t>
            </w: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center"/>
              <w:ind w:right="520"/>
              <w:spacing w:after="0" w:line="98" w:lineRule="exact"/>
              <w:rPr>
                <w:sz w:val="20"/>
                <w:szCs w:val="20"/>
                <w:color w:val="auto"/>
              </w:rPr>
            </w:pPr>
            <w:r>
              <w:rPr>
                <w:rFonts w:ascii="Arial" w:cs="Arial" w:eastAsia="Arial" w:hAnsi="Arial"/>
                <w:sz w:val="10"/>
                <w:szCs w:val="10"/>
                <w:b w:val="1"/>
                <w:bCs w:val="1"/>
                <w:color w:val="auto"/>
                <w:w w:val="92"/>
              </w:rPr>
              <w:t>Leasing, etc.</w:t>
            </w:r>
          </w:p>
        </w:tc>
        <w:tc>
          <w:tcPr>
            <w:tcW w:w="120" w:type="dxa"/>
            <w:vAlign w:val="bottom"/>
          </w:tcPr>
          <w:p>
            <w:pPr>
              <w:spacing w:after="0"/>
              <w:rPr>
                <w:sz w:val="8"/>
                <w:szCs w:val="8"/>
                <w:color w:val="auto"/>
              </w:rPr>
            </w:pPr>
          </w:p>
        </w:tc>
        <w:tc>
          <w:tcPr>
            <w:tcW w:w="118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Commercial</w:t>
            </w:r>
          </w:p>
        </w:tc>
        <w:tc>
          <w:tcPr>
            <w:tcW w:w="100" w:type="dxa"/>
            <w:vAlign w:val="bottom"/>
          </w:tcPr>
          <w:p>
            <w:pPr>
              <w:spacing w:after="0"/>
              <w:rPr>
                <w:sz w:val="8"/>
                <w:szCs w:val="8"/>
                <w:color w:val="auto"/>
              </w:rPr>
            </w:pPr>
          </w:p>
        </w:tc>
        <w:tc>
          <w:tcPr>
            <w:tcW w:w="680" w:type="dxa"/>
            <w:vAlign w:val="bottom"/>
          </w:tcPr>
          <w:p>
            <w:pPr>
              <w:jc w:val="center"/>
              <w:ind w:right="37"/>
              <w:spacing w:after="0" w:line="98" w:lineRule="exact"/>
              <w:rPr>
                <w:sz w:val="20"/>
                <w:szCs w:val="20"/>
                <w:color w:val="auto"/>
              </w:rPr>
            </w:pPr>
            <w:r>
              <w:rPr>
                <w:rFonts w:ascii="Arial" w:cs="Arial" w:eastAsia="Arial" w:hAnsi="Arial"/>
                <w:sz w:val="10"/>
                <w:szCs w:val="10"/>
                <w:b w:val="1"/>
                <w:bCs w:val="1"/>
                <w:color w:val="auto"/>
                <w:w w:val="93"/>
              </w:rPr>
              <w:t>Residential</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ind w:left="80"/>
              <w:spacing w:after="0" w:line="98" w:lineRule="exact"/>
              <w:rPr>
                <w:sz w:val="20"/>
                <w:szCs w:val="20"/>
                <w:color w:val="auto"/>
              </w:rPr>
            </w:pPr>
            <w:r>
              <w:rPr>
                <w:rFonts w:ascii="Arial" w:cs="Arial" w:eastAsia="Arial" w:hAnsi="Arial"/>
                <w:sz w:val="10"/>
                <w:szCs w:val="10"/>
                <w:b w:val="1"/>
                <w:bCs w:val="1"/>
                <w:color w:val="auto"/>
              </w:rPr>
              <w:t>Consumer</w:t>
            </w:r>
          </w:p>
        </w:tc>
        <w:tc>
          <w:tcPr>
            <w:tcW w:w="180" w:type="dxa"/>
            <w:vAlign w:val="bottom"/>
          </w:tcPr>
          <w:p>
            <w:pPr>
              <w:spacing w:after="0"/>
              <w:rPr>
                <w:sz w:val="8"/>
                <w:szCs w:val="8"/>
                <w:color w:val="auto"/>
              </w:rPr>
            </w:pPr>
          </w:p>
        </w:tc>
        <w:tc>
          <w:tcPr>
            <w:tcW w:w="800" w:type="dxa"/>
            <w:vAlign w:val="bottom"/>
            <w:gridSpan w:val="2"/>
          </w:tcPr>
          <w:p>
            <w:pPr>
              <w:jc w:val="right"/>
              <w:ind w:right="420"/>
              <w:spacing w:after="0" w:line="9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186,739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682,120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286,612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72,082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1,227,553</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Collectively evaluated for impairment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13,201,621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20,417,958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5,632,124</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11,414,107</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50,665,810</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Purchased impaired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83,083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9,320</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97,019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13,390,610</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21,183,161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5,928,056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11,488,555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51,990,382</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detail of premises and equipment was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64,728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63,961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Buildings — owned</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280,288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271,181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Buildings — capital leases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172,638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165,110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equipment — owned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366,227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345,421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Furniture and equipment — capital leases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1,387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886,399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846,804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Owned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449,571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410,218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Capital leases</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450,562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410,959</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Premises and equipment, net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435,837</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435,845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480" w:firstLine="599"/>
        <w:spacing w:after="0" w:line="280" w:lineRule="auto"/>
        <w:rPr>
          <w:sz w:val="20"/>
          <w:szCs w:val="20"/>
          <w:color w:val="auto"/>
        </w:rPr>
      </w:pPr>
      <w:r>
        <w:rPr>
          <w:rFonts w:ascii="Arial" w:cs="Arial" w:eastAsia="Arial" w:hAnsi="Arial"/>
          <w:sz w:val="14"/>
          <w:szCs w:val="14"/>
          <w:color w:val="auto"/>
        </w:rPr>
        <w:t>Net lease expense for all operating leases totaled $94,646,000 in 2010, $89,030,000 in 2009 and $73,886,000 in 2008. Minimum lease payments under noncancelable operating leases are presented in note 21. Minimum lease payments required under capital leases are not material.</w:t>
      </w:r>
    </w:p>
    <w:p>
      <w:pPr>
        <w:spacing w:after="0" w:line="122"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Capitalized servicing assets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capitalized servicing assets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4"/>
            <w:vMerge w:val="restart"/>
          </w:tcPr>
          <w:p>
            <w:pPr>
              <w:jc w:val="center"/>
              <w:ind w:right="60"/>
              <w:spacing w:after="0"/>
              <w:rPr>
                <w:sz w:val="20"/>
                <w:szCs w:val="20"/>
                <w:color w:val="auto"/>
              </w:rPr>
            </w:pPr>
            <w:r>
              <w:rPr>
                <w:rFonts w:ascii="Arial" w:cs="Arial" w:eastAsia="Arial" w:hAnsi="Arial"/>
                <w:sz w:val="10"/>
                <w:szCs w:val="10"/>
                <w:b w:val="1"/>
                <w:bCs w:val="1"/>
                <w:color w:val="auto"/>
                <w:w w:val="94"/>
              </w:rPr>
              <w:t>Residential Mortgage Loans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6"/>
              </w:rPr>
              <w:t>Small-Balance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 Year Ended December 31,</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Commercial Mortgage Loans</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60" w:type="dxa"/>
            <w:vAlign w:val="bottom"/>
          </w:tcPr>
          <w:p>
            <w:pPr>
              <w:spacing w:after="0"/>
              <w:rPr>
                <w:sz w:val="8"/>
                <w:szCs w:val="8"/>
                <w:color w:val="auto"/>
              </w:rPr>
            </w:pPr>
          </w:p>
        </w:tc>
        <w:tc>
          <w:tcPr>
            <w:tcW w:w="44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101,155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106,979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w w:val="97"/>
              </w:rPr>
              <w:t>118,763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40,251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Originations</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27,430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31,034</w:t>
            </w: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17,765</w:t>
            </w:r>
          </w:p>
        </w:tc>
        <w:tc>
          <w:tcPr>
            <w:tcW w:w="160" w:type="dxa"/>
            <w:vAlign w:val="bottom"/>
          </w:tcPr>
          <w:p>
            <w:pPr>
              <w:spacing w:after="0"/>
              <w:rPr>
                <w:sz w:val="13"/>
                <w:szCs w:val="13"/>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Purchases</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3,322</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Assumed in loan securitizations (note 19)</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788</w:t>
            </w: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8,455</w:t>
            </w:r>
          </w:p>
        </w:tc>
        <w:tc>
          <w:tcPr>
            <w:tcW w:w="160" w:type="dxa"/>
            <w:vAlign w:val="bottom"/>
          </w:tcPr>
          <w:p>
            <w:pPr>
              <w:spacing w:after="0"/>
              <w:rPr>
                <w:sz w:val="13"/>
                <w:szCs w:val="13"/>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Consolidation of loan securitization trusts (note 19)</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(1,843)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(35,269)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(38,618)</w:t>
            </w:r>
          </w:p>
        </w:tc>
        <w:tc>
          <w:tcPr>
            <w:tcW w:w="120" w:type="dxa"/>
            <w:vAlign w:val="bottom"/>
          </w:tcPr>
          <w:p>
            <w:pPr>
              <w:spacing w:after="0"/>
              <w:rPr>
                <w:sz w:val="13"/>
                <w:szCs w:val="13"/>
                <w:color w:val="auto"/>
              </w:rPr>
            </w:pPr>
          </w:p>
        </w:tc>
        <w:tc>
          <w:tcPr>
            <w:tcW w:w="860" w:type="dxa"/>
            <w:vAlign w:val="bottom"/>
            <w:gridSpan w:val="2"/>
          </w:tcPr>
          <w:p>
            <w:pPr>
              <w:jc w:val="right"/>
              <w:ind w:right="293"/>
              <w:spacing w:after="0"/>
              <w:rPr>
                <w:sz w:val="20"/>
                <w:szCs w:val="20"/>
                <w:color w:val="auto"/>
              </w:rPr>
            </w:pPr>
            <w:r>
              <w:rPr>
                <w:rFonts w:ascii="Arial" w:cs="Arial" w:eastAsia="Arial" w:hAnsi="Arial"/>
                <w:sz w:val="13"/>
                <w:szCs w:val="13"/>
                <w:color w:val="auto"/>
              </w:rPr>
              <w:t>(41,326)</w:t>
            </w:r>
          </w:p>
        </w:tc>
        <w:tc>
          <w:tcPr>
            <w:tcW w:w="16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color w:val="auto"/>
                <w:w w:val="94"/>
              </w:rPr>
              <w:t>(14,054)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(17,793)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(19,886)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92,066</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101,155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w w:val="97"/>
              </w:rPr>
              <w:t>106,979</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26,197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40,251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Valuation allowance</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860" w:type="dxa"/>
            <w:vAlign w:val="bottom"/>
            <w:gridSpan w:val="2"/>
          </w:tcPr>
          <w:p>
            <w:pPr>
              <w:jc w:val="right"/>
              <w:ind w:right="293"/>
              <w:spacing w:after="0"/>
              <w:rPr>
                <w:sz w:val="20"/>
                <w:szCs w:val="20"/>
                <w:color w:val="auto"/>
              </w:rPr>
            </w:pPr>
            <w:r>
              <w:rPr>
                <w:rFonts w:ascii="Arial" w:cs="Arial" w:eastAsia="Arial" w:hAnsi="Arial"/>
                <w:sz w:val="13"/>
                <w:szCs w:val="13"/>
                <w:color w:val="auto"/>
              </w:rPr>
              <w:t>(22,000)</w:t>
            </w:r>
          </w:p>
        </w:tc>
        <w:tc>
          <w:tcPr>
            <w:tcW w:w="160" w:type="dxa"/>
            <w:vAlign w:val="bottom"/>
          </w:tcPr>
          <w:p>
            <w:pPr>
              <w:spacing w:after="0"/>
              <w:rPr>
                <w:sz w:val="13"/>
                <w:szCs w:val="13"/>
                <w:color w:val="auto"/>
              </w:rPr>
            </w:pPr>
          </w:p>
        </w:tc>
        <w:tc>
          <w:tcPr>
            <w:tcW w:w="640" w:type="dxa"/>
            <w:vAlign w:val="bottom"/>
            <w:gridSpan w:val="2"/>
          </w:tcPr>
          <w:p>
            <w:pPr>
              <w:jc w:val="right"/>
              <w:ind w:right="1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 net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92,066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101,105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84,979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26,197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58,044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6"/>
        </w:trPr>
        <w:tc>
          <w:tcPr>
            <w:tcW w:w="6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124</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00" w:type="dxa"/>
            <w:vAlign w:val="bottom"/>
            <w:vMerge w:val="restart"/>
          </w:tcPr>
          <w:p>
            <w:pPr>
              <w:spacing w:after="0"/>
              <w:rPr>
                <w:sz w:val="20"/>
                <w:szCs w:val="20"/>
                <w:color w:val="auto"/>
              </w:rPr>
            </w:pPr>
            <w:r>
              <w:rPr>
                <w:rFonts w:ascii="Arial" w:cs="Arial" w:eastAsia="Arial" w:hAnsi="Arial"/>
                <w:sz w:val="10"/>
                <w:szCs w:val="10"/>
                <w:b w:val="1"/>
                <w:bCs w:val="1"/>
                <w:color w:val="auto"/>
              </w:rPr>
              <w:t>For Year Ended December 31,</w:t>
            </w:r>
          </w:p>
        </w:tc>
        <w:tc>
          <w:tcPr>
            <w:tcW w:w="200" w:type="dxa"/>
            <w:vAlign w:val="bottom"/>
            <w:vMerge w:val="restart"/>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5"/>
          </w:tcPr>
          <w:p>
            <w:pPr>
              <w:jc w:val="center"/>
              <w:ind w:left="317"/>
              <w:spacing w:after="0"/>
              <w:rPr>
                <w:sz w:val="20"/>
                <w:szCs w:val="20"/>
                <w:color w:val="auto"/>
              </w:rPr>
            </w:pPr>
            <w:r>
              <w:rPr>
                <w:rFonts w:ascii="Arial" w:cs="Arial" w:eastAsia="Arial" w:hAnsi="Arial"/>
                <w:sz w:val="10"/>
                <w:szCs w:val="10"/>
                <w:b w:val="1"/>
                <w:bCs w:val="1"/>
                <w:color w:val="auto"/>
                <w:w w:val="94"/>
              </w:rPr>
              <w:t>Commercial Mortgage Loans</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4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jc w:val="right"/>
              <w:ind w:right="276"/>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5"/>
              </w:rPr>
              <w:t>32,896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26,336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5"/>
              </w:rPr>
              <w:t>20,240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174,302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191,359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195,959</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Originations</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w w:val="95"/>
              </w:rPr>
              <w:t>16,976</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95"/>
              </w:rPr>
              <w:t>12,417</w:t>
            </w:r>
          </w:p>
        </w:tc>
        <w:tc>
          <w:tcPr>
            <w:tcW w:w="10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w w:val="95"/>
              </w:rPr>
              <w:t>10,606</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44,406</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43,451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28,371</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Purchases</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24,296</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Assumed in loan securitizations (note 19)</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788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Consolidation of loan securitization trusts (note 19)</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(7,259)</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(5,857)</w:t>
            </w:r>
          </w:p>
        </w:tc>
        <w:tc>
          <w:tcPr>
            <w:tcW w:w="10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(4,510)</w:t>
            </w: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(56,582)</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(62,268)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(65,722)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42,613</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32,896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5"/>
              </w:rPr>
              <w:t>26,336</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160,876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174,302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191,359</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Valuation allowance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 net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42,613</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5"/>
              </w:rPr>
              <w:t>32,896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w w:val="95"/>
              </w:rPr>
              <w:t>26,336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160,876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174,252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169,359</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Residential mortgage loans serviced for others were $15.9 billion at each of December 31, 2010 and December 31, 2009 and $15.4 billion at December 31, 2008.</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Small-balance commercial mortgage loans serviced for others were $5.2 billion, $5.5 billion and $5.9 billion at December 31, 2010, 2009 and 2008, respectively.</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Commercial mortgage loans serviced for others were $8.1 billion, $7.1 billion and $6.4 billion at December 31, 2010, 2009 and 2008, respectively.</w:t>
      </w:r>
    </w:p>
    <w:p>
      <w:pPr>
        <w:spacing w:after="0" w:line="6"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During 2010 and 2009, $50,000 and $21,950,000, respectively, of the valuation allowance for capitalized residential mortgage loan servicing assets was reversed because of increases in the market value of certain strata of servicing assets relative to the amortized cost basis of the servicing assets in such strata. During 2008, a provision for impairment of $16,000,000 was added to the valuation allowance for capitalized residential mortgage loan servicing assets because the carrying value of certain strata of capitalized servicing assets exceeded estimated fair value. The estimated fair value of capitalized residential mortgage loan servicing assets was approximately $162 million at December 31, 2010 and $158 million at December 31, 2009. The fair value of capitalized residential mortgage loan servicing assets was estimated using weighted-average discount rates of 13.2% and 13.3% at December 31, 2010 and 2009, respectively, and contemporaneous prepayment assumptions that vary by loan type. At December 31, 2010 and 2009, the discount rate represented a weighted-average option-adjusted spread (“OAS”) of 748 basis points (hundredths of one percent) and 775 basis points, respectively, over market implied forward London Interbank Offered Rates. The estimated fair value of capitalized small-balance commercial mortgage loan servicing assets was approximately $58 million at December 31, 2010 and $64 million at December 31, 2009. The fair value of capitalized small-balance commercial loan servicing assets was estimated using weighted-average discount rates of 19.7% and 20.3% at December 31, 2010 and 2009, respectively, and contemporaneous prepayment assumptions that vary by loan type. At December 31, 2010 and 2009, the discount rate represented a weighted-average OAS of 1,778 basis points and 1,779 basis points, respectively, over market 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 servicing assets was approximately $50 million and $39 million at December 31, 2010 and 2009, respectively. An 18% discount rate was used to estimate the fair value of capitalized commercial mortgage loan servicing rights at December 31, 2010 and 2009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3"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4"/>
          <w:szCs w:val="14"/>
          <w:color w:val="auto"/>
        </w:rPr>
        <w:t>The key economic assumptions used to determine the fair value of capitalized servicing rights at December 31, 2010 and the sensitivity of such value to changes in those assumptions are summarized in</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40"/>
        <w:spacing w:after="0" w:line="259" w:lineRule="auto"/>
        <w:rPr>
          <w:sz w:val="20"/>
          <w:szCs w:val="20"/>
          <w:color w:val="auto"/>
        </w:rPr>
      </w:pPr>
      <w:r>
        <w:rPr>
          <w:rFonts w:ascii="Arial" w:cs="Arial" w:eastAsia="Arial" w:hAnsi="Arial"/>
          <w:sz w:val="14"/>
          <w:szCs w:val="14"/>
          <w:color w:val="auto"/>
        </w:rPr>
        <w:t>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Residential</w:t>
            </w:r>
          </w:p>
        </w:tc>
        <w:tc>
          <w:tcPr>
            <w:tcW w:w="10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6"/>
              </w:rPr>
              <w:t>Small-Balance</w:t>
            </w:r>
          </w:p>
        </w:tc>
        <w:tc>
          <w:tcPr>
            <w:tcW w:w="10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Commercial</w:t>
            </w:r>
          </w:p>
        </w:tc>
        <w:tc>
          <w:tcPr>
            <w:tcW w:w="0" w:type="dxa"/>
            <w:vAlign w:val="bottom"/>
          </w:tcPr>
          <w:p>
            <w:pPr>
              <w:spacing w:after="0"/>
              <w:rPr>
                <w:sz w:val="1"/>
                <w:szCs w:val="1"/>
                <w:color w:val="auto"/>
              </w:rPr>
            </w:pPr>
          </w:p>
        </w:tc>
      </w:tr>
      <w:tr>
        <w:trPr>
          <w:trHeight w:val="125"/>
        </w:trPr>
        <w:tc>
          <w:tcPr>
            <w:tcW w:w="6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Commercial</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6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prepayment speeds</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13.60%</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7.98%</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tcPr>
          <w:p>
            <w:pPr>
              <w:ind w:left="140"/>
              <w:spacing w:after="0"/>
              <w:rPr>
                <w:sz w:val="20"/>
                <w:szCs w:val="20"/>
                <w:color w:val="auto"/>
              </w:rPr>
            </w:pPr>
            <w:r>
              <w:rPr>
                <w:rFonts w:ascii="Arial" w:cs="Arial" w:eastAsia="Arial" w:hAnsi="Arial"/>
                <w:sz w:val="13"/>
                <w:szCs w:val="13"/>
                <w:color w:val="auto"/>
              </w:rPr>
              <w:t>Impact on fair value of 10% adverse change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(8,017,000)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(2,358,000)</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Impact on fair value of 20% adverse change</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(15,254,000)</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(4,521,000)</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tcPr>
          <w:p>
            <w:pPr>
              <w:spacing w:after="0"/>
              <w:rPr>
                <w:sz w:val="20"/>
                <w:szCs w:val="20"/>
                <w:color w:val="auto"/>
              </w:rPr>
            </w:pPr>
            <w:r>
              <w:rPr>
                <w:rFonts w:ascii="Arial" w:cs="Arial" w:eastAsia="Arial" w:hAnsi="Arial"/>
                <w:sz w:val="13"/>
                <w:szCs w:val="13"/>
                <w:color w:val="auto"/>
              </w:rPr>
              <w:t>Weighted-average OAS</w:t>
            </w:r>
          </w:p>
        </w:tc>
        <w:tc>
          <w:tcPr>
            <w:tcW w:w="160" w:type="dxa"/>
            <w:vAlign w:val="bottom"/>
          </w:tcPr>
          <w:p>
            <w:pPr>
              <w:spacing w:after="0"/>
              <w:rPr>
                <w:sz w:val="13"/>
                <w:szCs w:val="1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17.78%</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Impact on fair value of 10% adverse change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(1,188,000)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(1,913,000)</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60" w:type="dxa"/>
            <w:vAlign w:val="bottom"/>
          </w:tcPr>
          <w:p>
            <w:pPr>
              <w:ind w:left="140"/>
              <w:spacing w:after="0"/>
              <w:rPr>
                <w:sz w:val="20"/>
                <w:szCs w:val="20"/>
                <w:color w:val="auto"/>
              </w:rPr>
            </w:pPr>
            <w:r>
              <w:rPr>
                <w:rFonts w:ascii="Arial" w:cs="Arial" w:eastAsia="Arial" w:hAnsi="Arial"/>
                <w:sz w:val="13"/>
                <w:szCs w:val="13"/>
                <w:color w:val="auto"/>
              </w:rPr>
              <w:t>Impact on fair value of 20% adverse change</w:t>
            </w:r>
          </w:p>
        </w:tc>
        <w:tc>
          <w:tcPr>
            <w:tcW w:w="1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(4,047,000)</w:t>
            </w: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(3,742,000)</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discount rate</w:t>
            </w:r>
          </w:p>
        </w:tc>
        <w:tc>
          <w:tcPr>
            <w:tcW w:w="3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r>
      <w:tr>
        <w:trPr>
          <w:trHeight w:val="157"/>
        </w:trPr>
        <w:tc>
          <w:tcPr>
            <w:tcW w:w="5720" w:type="dxa"/>
            <w:vAlign w:val="bottom"/>
          </w:tcPr>
          <w:p>
            <w:pPr>
              <w:ind w:left="140"/>
              <w:spacing w:after="0"/>
              <w:rPr>
                <w:sz w:val="20"/>
                <w:szCs w:val="20"/>
                <w:color w:val="auto"/>
              </w:rPr>
            </w:pPr>
            <w:r>
              <w:rPr>
                <w:rFonts w:ascii="Arial" w:cs="Arial" w:eastAsia="Arial" w:hAnsi="Arial"/>
                <w:sz w:val="13"/>
                <w:szCs w:val="13"/>
                <w:color w:val="auto"/>
              </w:rPr>
              <w:t>Impact on fair value of 10% adverse change</w:t>
            </w:r>
          </w:p>
        </w:tc>
        <w:tc>
          <w:tcPr>
            <w:tcW w:w="3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(2,245,000)</w:t>
            </w:r>
          </w:p>
        </w:tc>
      </w:tr>
      <w:tr>
        <w:trPr>
          <w:trHeight w:val="157"/>
        </w:trPr>
        <w:tc>
          <w:tcPr>
            <w:tcW w:w="5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Impact on fair value of 20% adverse change</w:t>
            </w:r>
          </w:p>
        </w:tc>
        <w:tc>
          <w:tcPr>
            <w:tcW w:w="3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(4,324,000)</w:t>
            </w:r>
          </w:p>
        </w:tc>
      </w:tr>
    </w:tbl>
    <w:p>
      <w:pPr>
        <w:spacing w:after="0" w:line="150"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22" w:lineRule="exact"/>
        <w:rPr>
          <w:sz w:val="20"/>
          <w:szCs w:val="20"/>
          <w:color w:val="auto"/>
        </w:rPr>
      </w:pPr>
    </w:p>
    <w:p>
      <w:pPr>
        <w:ind w:left="680" w:right="520"/>
        <w:spacing w:after="0" w:line="263" w:lineRule="auto"/>
        <w:rPr>
          <w:sz w:val="20"/>
          <w:szCs w:val="20"/>
          <w:color w:val="auto"/>
        </w:rPr>
      </w:pPr>
      <w:r>
        <w:rPr>
          <w:rFonts w:ascii="Arial" w:cs="Arial" w:eastAsia="Arial" w:hAnsi="Arial"/>
          <w:sz w:val="14"/>
          <w:szCs w:val="14"/>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8"/>
              </w:rPr>
              <w:t>Gross Carrying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6"/>
              </w:rPr>
              <w:t>Net Carrying</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Core deposit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701,000</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576,986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124,014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119,968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118,065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1,903</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820,968</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695,051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125,917</w:t>
            </w:r>
          </w:p>
        </w:tc>
        <w:tc>
          <w:tcPr>
            <w:tcW w:w="0" w:type="dxa"/>
            <w:vAlign w:val="bottom"/>
          </w:tcPr>
          <w:p>
            <w:pPr>
              <w:spacing w:after="0"/>
              <w:rPr>
                <w:sz w:val="1"/>
                <w:szCs w:val="1"/>
                <w:color w:val="auto"/>
              </w:rPr>
            </w:pPr>
          </w:p>
        </w:tc>
      </w:tr>
      <w:tr>
        <w:trPr>
          <w:trHeight w:val="165"/>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Core deposit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701,000</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524,358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176,642</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118,366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112,590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5,776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819,366</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636,948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182,418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635</wp:posOffset>
            </wp:positionV>
            <wp:extent cx="214693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6935" cy="18415"/>
                    </a:xfrm>
                    <a:prstGeom prst="rect">
                      <a:avLst/>
                    </a:prstGeom>
                    <a:noFill/>
                  </pic:spPr>
                </pic:pic>
              </a:graphicData>
            </a:graphic>
          </wp:anchor>
        </w:drawing>
      </w:r>
    </w:p>
    <w:p>
      <w:pPr>
        <w:spacing w:after="0" w:line="8" w:lineRule="exact"/>
        <w:rPr>
          <w:sz w:val="20"/>
          <w:szCs w:val="20"/>
          <w:color w:val="auto"/>
        </w:rPr>
      </w:pPr>
    </w:p>
    <w:p>
      <w:pPr>
        <w:ind w:left="680" w:firstLine="599"/>
        <w:spacing w:after="0" w:line="259" w:lineRule="auto"/>
        <w:rPr>
          <w:sz w:val="20"/>
          <w:szCs w:val="20"/>
          <w:color w:val="auto"/>
        </w:rPr>
      </w:pPr>
      <w:r>
        <w:rPr>
          <w:rFonts w:ascii="Arial" w:cs="Arial" w:eastAsia="Arial" w:hAnsi="Arial"/>
          <w:sz w:val="14"/>
          <w:szCs w:val="14"/>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2010 was approximately five years. Amortization expense for core deposit and other intangible assets was $58,103,000, $64,255,000 and $66,646,000 for the years ended December 31, 2010,</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2009 and 2008, respectively. Estimated amortization expense in future years for such intangible assets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42,139</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32,668</w:t>
            </w: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24,072</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16,109</w:t>
            </w: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2015</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8,346</w:t>
            </w:r>
          </w:p>
        </w:tc>
        <w:tc>
          <w:tcPr>
            <w:tcW w:w="100" w:type="dxa"/>
            <w:vAlign w:val="bottom"/>
          </w:tcPr>
          <w:p>
            <w:pPr>
              <w:spacing w:after="0"/>
              <w:rPr>
                <w:sz w:val="13"/>
                <w:szCs w:val="13"/>
                <w:color w:val="auto"/>
              </w:rPr>
            </w:pP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Later years</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100" w:type="dxa"/>
            <w:vAlign w:val="bottom"/>
            <w:shd w:val="clear" w:color="auto" w:fill="CCEEFF"/>
          </w:tcPr>
          <w:p>
            <w:pPr>
              <w:spacing w:after="0"/>
              <w:rPr>
                <w:sz w:val="13"/>
                <w:szCs w:val="13"/>
                <w:color w:val="auto"/>
              </w:rPr>
            </w:pPr>
          </w:p>
        </w:tc>
      </w:tr>
      <w:tr>
        <w:trPr>
          <w:trHeight w:val="166"/>
        </w:trPr>
        <w:tc>
          <w:tcPr>
            <w:tcW w:w="9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125,917</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140" w:firstLine="599"/>
        <w:spacing w:after="0" w:line="270" w:lineRule="auto"/>
        <w:rPr>
          <w:sz w:val="20"/>
          <w:szCs w:val="20"/>
          <w:color w:val="auto"/>
        </w:rPr>
      </w:pPr>
      <w:r>
        <w:rPr>
          <w:rFonts w:ascii="Arial" w:cs="Arial" w:eastAsia="Arial" w:hAnsi="Arial"/>
          <w:sz w:val="13"/>
          <w:szCs w:val="13"/>
          <w:color w:val="auto"/>
        </w:rPr>
        <w:t>In accordance with GAAP, the Company completed annual goodwill impairment tests as of October 1, 2010, 2009 and 2008.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 summary of goodwill assigned to each of the Company’s reportable segments as of December 31, 2010 and 2009 for purposes of testing for impairment is 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Business Banking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748,907</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Commercial Banking</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907,524</w:t>
            </w:r>
          </w:p>
        </w:tc>
        <w:tc>
          <w:tcPr>
            <w:tcW w:w="10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349,197</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Discretionary Portfolio</w:t>
            </w:r>
          </w:p>
        </w:tc>
        <w:tc>
          <w:tcPr>
            <w:tcW w:w="8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Residential Mortgage Banking</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Retail Banking</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1,144,404</w:t>
            </w:r>
          </w:p>
        </w:tc>
        <w:tc>
          <w:tcPr>
            <w:tcW w:w="100" w:type="dxa"/>
            <w:vAlign w:val="bottom"/>
          </w:tcPr>
          <w:p>
            <w:pPr>
              <w:spacing w:after="0"/>
              <w:rPr>
                <w:sz w:val="13"/>
                <w:szCs w:val="13"/>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All Other</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374,593</w:t>
            </w:r>
          </w:p>
        </w:tc>
        <w:tc>
          <w:tcPr>
            <w:tcW w:w="100" w:type="dxa"/>
            <w:vAlign w:val="bottom"/>
            <w:shd w:val="clear" w:color="auto" w:fill="CCEEFF"/>
          </w:tcPr>
          <w:p>
            <w:pPr>
              <w:spacing w:after="0"/>
              <w:rPr>
                <w:sz w:val="13"/>
                <w:szCs w:val="13"/>
                <w:color w:val="auto"/>
              </w:rPr>
            </w:pPr>
          </w:p>
        </w:tc>
      </w:tr>
      <w:tr>
        <w:trPr>
          <w:trHeight w:val="166"/>
        </w:trPr>
        <w:tc>
          <w:tcPr>
            <w:tcW w:w="9000" w:type="dxa"/>
            <w:vAlign w:val="bottom"/>
          </w:tcPr>
          <w:p>
            <w:pPr>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3,524,625</w:t>
            </w:r>
          </w:p>
        </w:tc>
        <w:tc>
          <w:tcPr>
            <w:tcW w:w="100" w:type="dxa"/>
            <w:vAlign w:val="bottom"/>
          </w:tcPr>
          <w:p>
            <w:pPr>
              <w:spacing w:after="0"/>
              <w:rPr>
                <w:sz w:val="14"/>
                <w:szCs w:val="14"/>
                <w:color w:val="auto"/>
              </w:rPr>
            </w:pP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and interest rates of short-term borrowings were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Federal Funds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Purchased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9"/>
              </w:rPr>
              <w:t>and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0"/>
              </w:rPr>
              <w:t>Repurchase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Short-term</w:t>
            </w:r>
          </w:p>
        </w:tc>
        <w:tc>
          <w:tcPr>
            <w:tcW w:w="180" w:type="dxa"/>
            <w:vAlign w:val="bottom"/>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Agreements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3"/>
              </w:rPr>
              <w:t>Borrowings</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0"/>
                <w:szCs w:val="10"/>
                <w:b w:val="1"/>
                <w:bCs w:val="1"/>
                <w:color w:val="auto"/>
                <w:w w:val="94"/>
              </w:rPr>
              <w:t>(Dollars in thousands)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At December 31, 2010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Amount outstanding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866,555</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80,877</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947,432</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0.20%</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For the year ended December 31, 2010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Highest amount at a month-end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2,612,727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236,842</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Daily-average amount outstanding</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1,749,525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104,508</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1,854,033</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0.33%</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0" w:type="dxa"/>
            <w:vAlign w:val="bottom"/>
          </w:tcPr>
          <w:p>
            <w:pPr>
              <w:spacing w:after="0"/>
              <w:rPr>
                <w:sz w:val="1"/>
                <w:szCs w:val="1"/>
                <w:color w:val="auto"/>
              </w:rPr>
            </w:pP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At December 31, 2009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2,211,692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230,890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2,442,582</w:t>
            </w: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0.04%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0.66%</w:t>
            </w:r>
          </w:p>
        </w:tc>
        <w:tc>
          <w:tcPr>
            <w:tcW w:w="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For the year ended December 31, 2009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Highest amount at a month-end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2,491,573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2,049,727</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Daily-average amount outstanding</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1,885,464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1,025,601</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2,911,065</w:t>
            </w: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0.15%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0.42%</w:t>
            </w:r>
          </w:p>
        </w:tc>
        <w:tc>
          <w:tcPr>
            <w:tcW w:w="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At December 31, 2008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Amount outstanding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970,529</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2,039,206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3,009,735</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0.36%</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For the year ended December 31, 2008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Highest amount at a month-end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5,291,846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2,039,206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Daily-average amount outstanding</w:t>
            </w:r>
          </w:p>
        </w:tc>
        <w:tc>
          <w:tcPr>
            <w:tcW w:w="8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4,652,388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1,433,734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6,086,122</w:t>
            </w:r>
          </w:p>
        </w:tc>
        <w:tc>
          <w:tcPr>
            <w:tcW w:w="0" w:type="dxa"/>
            <w:vAlign w:val="bottom"/>
          </w:tcPr>
          <w:p>
            <w:pPr>
              <w:spacing w:after="0"/>
              <w:rPr>
                <w:sz w:val="1"/>
                <w:szCs w:val="1"/>
                <w:color w:val="auto"/>
              </w:rPr>
            </w:pP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interest rate</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2.97%</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320" w:firstLine="599"/>
        <w:spacing w:after="0" w:line="277" w:lineRule="auto"/>
        <w:rPr>
          <w:sz w:val="20"/>
          <w:szCs w:val="20"/>
          <w:color w:val="auto"/>
        </w:rPr>
      </w:pPr>
      <w:r>
        <w:rPr>
          <w:rFonts w:ascii="Arial" w:cs="Arial" w:eastAsia="Arial" w:hAnsi="Arial"/>
          <w:sz w:val="13"/>
          <w:szCs w:val="13"/>
          <w:color w:val="auto"/>
        </w:rPr>
        <w:t>Short-term borrowings have a stated maturity of one year or less at the date the Company entered into the obligation. In general, federal funds purchased and short-term repurchase agreements outstanding at December 31, 2010 matured on the next business day following year-end. Other short-term borrowings included</w:t>
      </w:r>
    </w:p>
    <w:p>
      <w:pPr>
        <w:spacing w:after="0" w:line="1"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$28 million and $152 million at December 31, 2010 and 2009, respectively, of borrowings from the FHLB of Atlanta. The remaining short-term borrowings were from the U.S. Treasury and others.</w:t>
      </w:r>
    </w:p>
    <w:p>
      <w:pPr>
        <w:ind w:left="1280"/>
        <w:spacing w:after="0"/>
        <w:rPr>
          <w:sz w:val="20"/>
          <w:szCs w:val="20"/>
          <w:color w:val="auto"/>
        </w:rPr>
      </w:pPr>
      <w:r>
        <w:rPr>
          <w:rFonts w:ascii="Arial" w:cs="Arial" w:eastAsia="Arial" w:hAnsi="Arial"/>
          <w:sz w:val="14"/>
          <w:szCs w:val="14"/>
          <w:color w:val="auto"/>
        </w:rPr>
        <w:t>At December 31, 2010, the Company had lines of credit under formal agreements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720" w:type="dxa"/>
            <w:vAlign w:val="bottom"/>
            <w:vMerge w:val="restart"/>
          </w:tcPr>
          <w:p>
            <w:pPr>
              <w:jc w:val="right"/>
              <w:ind w:right="179"/>
              <w:spacing w:after="0"/>
              <w:rPr>
                <w:sz w:val="20"/>
                <w:szCs w:val="20"/>
                <w:color w:val="auto"/>
              </w:rPr>
            </w:pPr>
            <w:r>
              <w:rPr>
                <w:rFonts w:ascii="Arial" w:cs="Arial" w:eastAsia="Arial" w:hAnsi="Arial"/>
                <w:sz w:val="10"/>
                <w:szCs w:val="10"/>
                <w:b w:val="1"/>
                <w:bCs w:val="1"/>
                <w:color w:val="auto"/>
              </w:rPr>
              <w:t>M&amp;T</w:t>
            </w:r>
          </w:p>
        </w:tc>
        <w:tc>
          <w:tcPr>
            <w:tcW w:w="260" w:type="dxa"/>
            <w:vAlign w:val="bottom"/>
          </w:tcPr>
          <w:p>
            <w:pPr>
              <w:spacing w:after="0"/>
              <w:rPr>
                <w:sz w:val="10"/>
                <w:szCs w:val="10"/>
                <w:color w:val="auto"/>
              </w:rPr>
            </w:pPr>
          </w:p>
        </w:tc>
        <w:tc>
          <w:tcPr>
            <w:tcW w:w="1300" w:type="dxa"/>
            <w:vAlign w:val="bottom"/>
            <w:vMerge w:val="restart"/>
          </w:tcPr>
          <w:p>
            <w:pPr>
              <w:jc w:val="right"/>
              <w:ind w:right="328"/>
              <w:spacing w:after="0"/>
              <w:rPr>
                <w:sz w:val="20"/>
                <w:szCs w:val="20"/>
                <w:color w:val="auto"/>
              </w:rPr>
            </w:pPr>
            <w:r>
              <w:rPr>
                <w:rFonts w:ascii="Arial" w:cs="Arial" w:eastAsia="Arial" w:hAnsi="Arial"/>
                <w:sz w:val="10"/>
                <w:szCs w:val="10"/>
                <w:b w:val="1"/>
                <w:bCs w:val="1"/>
                <w:color w:val="auto"/>
              </w:rPr>
              <w:t>M&amp;T Bank</w:t>
            </w:r>
          </w:p>
        </w:tc>
        <w:tc>
          <w:tcPr>
            <w:tcW w:w="260" w:type="dxa"/>
            <w:vAlign w:val="bottom"/>
          </w:tcPr>
          <w:p>
            <w:pPr>
              <w:spacing w:after="0"/>
              <w:rPr>
                <w:sz w:val="10"/>
                <w:szCs w:val="10"/>
                <w:color w:val="auto"/>
              </w:rPr>
            </w:pPr>
          </w:p>
        </w:tc>
        <w:tc>
          <w:tcPr>
            <w:tcW w:w="940" w:type="dxa"/>
            <w:vAlign w:val="bottom"/>
          </w:tcPr>
          <w:p>
            <w:pPr>
              <w:jc w:val="right"/>
              <w:ind w:right="283"/>
              <w:spacing w:after="0"/>
              <w:rPr>
                <w:sz w:val="20"/>
                <w:szCs w:val="20"/>
                <w:color w:val="auto"/>
              </w:rPr>
            </w:pPr>
            <w:r>
              <w:rPr>
                <w:rFonts w:ascii="Arial" w:cs="Arial" w:eastAsia="Arial" w:hAnsi="Arial"/>
                <w:sz w:val="10"/>
                <w:szCs w:val="10"/>
                <w:b w:val="1"/>
                <w:bCs w:val="1"/>
                <w:color w:val="auto"/>
              </w:rPr>
              <w:t>M&amp;T</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0"/>
                <w:szCs w:val="10"/>
                <w:b w:val="1"/>
                <w:bCs w:val="1"/>
                <w:color w:val="auto"/>
              </w:rPr>
              <w:t>Bank, N.A.</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jc w:val="right"/>
              <w:ind w:right="168"/>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Outstanding borrowings</w:t>
            </w:r>
          </w:p>
        </w:tc>
        <w:tc>
          <w:tcPr>
            <w:tcW w:w="720" w:type="dxa"/>
            <w:vAlign w:val="bottom"/>
          </w:tcPr>
          <w:p>
            <w:pPr>
              <w:jc w:val="right"/>
              <w:ind w:right="119"/>
              <w:spacing w:after="0"/>
              <w:rPr>
                <w:sz w:val="20"/>
                <w:szCs w:val="20"/>
                <w:color w:val="auto"/>
              </w:rPr>
            </w:pPr>
            <w:r>
              <w:rPr>
                <w:rFonts w:ascii="Arial" w:cs="Arial" w:eastAsia="Arial" w:hAnsi="Arial"/>
                <w:sz w:val="13"/>
                <w:szCs w:val="13"/>
                <w:color w:val="auto"/>
              </w:rPr>
              <w:t>$    —</w:t>
            </w:r>
          </w:p>
        </w:tc>
        <w:tc>
          <w:tcPr>
            <w:tcW w:w="1560" w:type="dxa"/>
            <w:vAlign w:val="bottom"/>
            <w:gridSpan w:val="2"/>
          </w:tcPr>
          <w:p>
            <w:pPr>
              <w:jc w:val="right"/>
              <w:ind w:right="288"/>
              <w:spacing w:after="0"/>
              <w:rPr>
                <w:sz w:val="20"/>
                <w:szCs w:val="20"/>
                <w:color w:val="auto"/>
              </w:rPr>
            </w:pPr>
            <w:r>
              <w:rPr>
                <w:rFonts w:ascii="Arial" w:cs="Arial" w:eastAsia="Arial" w:hAnsi="Arial"/>
                <w:sz w:val="13"/>
                <w:szCs w:val="13"/>
                <w:color w:val="auto"/>
              </w:rPr>
              <w:t>$ 2,897,133</w:t>
            </w:r>
          </w:p>
        </w:tc>
        <w:tc>
          <w:tcPr>
            <w:tcW w:w="260" w:type="dxa"/>
            <w:vAlign w:val="bottom"/>
          </w:tcPr>
          <w:p>
            <w:pPr>
              <w:spacing w:after="0"/>
              <w:rPr>
                <w:sz w:val="13"/>
                <w:szCs w:val="13"/>
                <w:color w:val="auto"/>
              </w:rPr>
            </w:pPr>
          </w:p>
        </w:tc>
        <w:tc>
          <w:tcPr>
            <w:tcW w:w="940" w:type="dxa"/>
            <w:vAlign w:val="bottom"/>
          </w:tcPr>
          <w:p>
            <w:pPr>
              <w:jc w:val="right"/>
              <w:ind w:right="223"/>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Unused</w:t>
            </w:r>
          </w:p>
        </w:tc>
        <w:tc>
          <w:tcPr>
            <w:tcW w:w="720" w:type="dxa"/>
            <w:vAlign w:val="bottom"/>
          </w:tcPr>
          <w:p>
            <w:pPr>
              <w:jc w:val="right"/>
              <w:ind w:right="119"/>
              <w:spacing w:after="0"/>
              <w:rPr>
                <w:sz w:val="20"/>
                <w:szCs w:val="20"/>
                <w:color w:val="auto"/>
              </w:rPr>
            </w:pPr>
            <w:r>
              <w:rPr>
                <w:rFonts w:ascii="Arial" w:cs="Arial" w:eastAsia="Arial" w:hAnsi="Arial"/>
                <w:sz w:val="13"/>
                <w:szCs w:val="13"/>
                <w:color w:val="auto"/>
              </w:rPr>
              <w:t>30,000</w:t>
            </w:r>
          </w:p>
        </w:tc>
        <w:tc>
          <w:tcPr>
            <w:tcW w:w="1560" w:type="dxa"/>
            <w:vAlign w:val="bottom"/>
            <w:gridSpan w:val="2"/>
          </w:tcPr>
          <w:p>
            <w:pPr>
              <w:jc w:val="right"/>
              <w:ind w:right="288"/>
              <w:spacing w:after="0"/>
              <w:rPr>
                <w:sz w:val="20"/>
                <w:szCs w:val="20"/>
                <w:color w:val="auto"/>
              </w:rPr>
            </w:pPr>
            <w:r>
              <w:rPr>
                <w:rFonts w:ascii="Arial" w:cs="Arial" w:eastAsia="Arial" w:hAnsi="Arial"/>
                <w:sz w:val="13"/>
                <w:szCs w:val="13"/>
                <w:color w:val="auto"/>
              </w:rPr>
              <w:t>12,914,549</w:t>
            </w:r>
          </w:p>
        </w:tc>
        <w:tc>
          <w:tcPr>
            <w:tcW w:w="1200" w:type="dxa"/>
            <w:vAlign w:val="bottom"/>
            <w:gridSpan w:val="2"/>
          </w:tcPr>
          <w:p>
            <w:pPr>
              <w:jc w:val="right"/>
              <w:ind w:right="223"/>
              <w:spacing w:after="0"/>
              <w:rPr>
                <w:sz w:val="20"/>
                <w:szCs w:val="20"/>
                <w:color w:val="auto"/>
              </w:rPr>
            </w:pPr>
            <w:r>
              <w:rPr>
                <w:rFonts w:ascii="Arial" w:cs="Arial" w:eastAsia="Arial" w:hAnsi="Arial"/>
                <w:sz w:val="13"/>
                <w:szCs w:val="13"/>
                <w:color w:val="auto"/>
              </w:rPr>
              <w:t>98,158</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80" w:right="100" w:firstLine="599"/>
        <w:spacing w:after="0" w:line="257" w:lineRule="auto"/>
        <w:rPr>
          <w:sz w:val="20"/>
          <w:szCs w:val="20"/>
          <w:color w:val="auto"/>
        </w:rPr>
      </w:pPr>
      <w:r>
        <w:rPr>
          <w:rFonts w:ascii="Arial" w:cs="Arial" w:eastAsia="Arial" w:hAnsi="Arial"/>
          <w:sz w:val="14"/>
          <w:szCs w:val="14"/>
          <w:color w:val="auto"/>
        </w:rPr>
        <w:t>M&amp;T has a revolving credit agreement with an unaffiliated commercial bank whereby M&amp;T may borrow up to $30 million at its discretion through December 2, 2011. At December 31, 2010, M&amp;T Bank had borrowing facilities available with the FHLBs whereby M&amp;T Bank could borrow up to approximately $6.0 billion. Additionally, M&amp;T Bank and M&amp;T Bank, National Association (“M&amp;T Bank, N.A.”), a wholly owned subsidiary of M&amp;T, had available lines of credit with the Federal Reserve Bank of New York totaling approximately $9.9 billion at December 31, 2010. M&amp;T Bank and M&amp;T Bank, N.A. are required to pledge loans and investment securities as collateral for these borrowing facilities.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were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131"/>
        </w:trPr>
        <w:tc>
          <w:tcPr>
            <w:tcW w:w="7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(In 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Senior notes of M&amp;T — 5.375% due 2012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299,971</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299,950</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Advances from FHLB:</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Variable rates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2,525,268</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4,405,925</w:t>
            </w: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Fixed rates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347,161</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818,562</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Agreements to repurchase securities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1,625,001</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1,625,001</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Subordinated notes of M&amp;T Bank:</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8% due 2010</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140,854</w:t>
            </w: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3.85% due 2013, variable rate commenced in 2008</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400,000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400,000</w:t>
            </w: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6.625% due 2017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425,969</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404,428</w:t>
            </w: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9.5% due 2018</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50,000</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r>
      <w:tr>
        <w:trPr>
          <w:trHeight w:val="157"/>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5.585% due 2020, variable rate commencing 2015</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372,668</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366,883</w:t>
            </w: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5.629% due 2021, variable rate commencing 2016</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568,196</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545,194</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Junior subordinated debentures associated with preferred capital securities: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Fixed rates: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M&amp;T Capital Trust I — 8.234%, due 2027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154,640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154,640</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M&amp;T Capital Trust II — 8.277%, due 2027</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103,093</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103,093</w:t>
            </w: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M&amp;T Capital Trust III — 9.25%, due 2027</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67,084</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67,409</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BSB Capital Trust I — 8.125%, due 2028</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15,519</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15,496</w:t>
            </w: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Provident Trust I — 8.29%, due 2028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24,256</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24,061</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Southern Financial Statutory Trust I — 10.60%, due 2030</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6,455</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6,439</w:t>
            </w: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M&amp;T Capital Trust IV — 8.50%, due 2068</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350,010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350,010</w:t>
            </w:r>
          </w:p>
        </w:tc>
      </w:tr>
      <w:tr>
        <w:trPr>
          <w:trHeight w:val="157"/>
        </w:trPr>
        <w:tc>
          <w:tcPr>
            <w:tcW w:w="7800" w:type="dxa"/>
            <w:vAlign w:val="bottom"/>
          </w:tcPr>
          <w:p>
            <w:pPr>
              <w:ind w:left="140"/>
              <w:spacing w:after="0"/>
              <w:rPr>
                <w:sz w:val="20"/>
                <w:szCs w:val="20"/>
                <w:color w:val="auto"/>
              </w:rPr>
            </w:pPr>
            <w:r>
              <w:rPr>
                <w:rFonts w:ascii="Arial" w:cs="Arial" w:eastAsia="Arial" w:hAnsi="Arial"/>
                <w:sz w:val="13"/>
                <w:szCs w:val="13"/>
                <w:color w:val="auto"/>
              </w:rPr>
              <w:t>Variable rates: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First Maryland Capital I — due 2027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143,025</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142,487</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First Maryland Capital II — due 2027</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143,975</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143,312</w:t>
            </w: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Allfirst Asset Trust — due 2029</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95,623</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95,477</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BSB Capital Trust III — due 2033</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15,464</w:t>
            </w: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15,464</w:t>
            </w:r>
          </w:p>
        </w:tc>
      </w:tr>
      <w:tr>
        <w:trPr>
          <w:trHeight w:val="157"/>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Provident Trust III — due 2033</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50,823</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50,430</w:t>
            </w:r>
          </w:p>
        </w:tc>
      </w:tr>
      <w:tr>
        <w:trPr>
          <w:trHeight w:val="157"/>
        </w:trPr>
        <w:tc>
          <w:tcPr>
            <w:tcW w:w="7800" w:type="dxa"/>
            <w:vAlign w:val="bottom"/>
          </w:tcPr>
          <w:p>
            <w:pPr>
              <w:ind w:left="280"/>
              <w:spacing w:after="0"/>
              <w:rPr>
                <w:sz w:val="20"/>
                <w:szCs w:val="20"/>
                <w:color w:val="auto"/>
              </w:rPr>
            </w:pPr>
            <w:r>
              <w:rPr>
                <w:rFonts w:ascii="Arial" w:cs="Arial" w:eastAsia="Arial" w:hAnsi="Arial"/>
                <w:sz w:val="13"/>
                <w:szCs w:val="13"/>
                <w:color w:val="auto"/>
              </w:rPr>
              <w:t>Southern Financial Capital Trust III — due 2033</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7,566</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7,513</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48,384</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7,388</w:t>
            </w: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7,840,151</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10,240,016</w:t>
            </w:r>
          </w:p>
        </w:tc>
      </w:tr>
      <w:tr>
        <w:trPr>
          <w:trHeight w:val="30"/>
        </w:trPr>
        <w:tc>
          <w:tcPr>
            <w:tcW w:w="7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Long-term variable rate advances from the FHLB had contractual interest rates that ranged from 0.24% to 2.00% at December 31, 2010 and from 0% to 3.53% at December 31, 2009. The weighted-average contractual interest rates were 0.32% at December 31, 2010 and 0.35% at December 31, 2009. Long-term fixed rate advances from the FHLB had contractual interest rates ranging from 3.48% to 7.32%. The weighted-average contractual interest rates payable were 4.33% at December 31, 2010 and 4.89% at December 31, 2009. Advances from the FHLB mature at various dates through 2035 and are secured by residential real estate loans, commercial real estate loans and investment securities.</w:t>
      </w:r>
    </w:p>
    <w:p>
      <w:pPr>
        <w:spacing w:after="0" w:line="2" w:lineRule="exact"/>
        <w:rPr>
          <w:sz w:val="20"/>
          <w:szCs w:val="20"/>
          <w:color w:val="auto"/>
        </w:rPr>
      </w:pPr>
    </w:p>
    <w:p>
      <w:pPr>
        <w:ind w:left="680" w:right="240" w:firstLine="599"/>
        <w:spacing w:after="0" w:line="256" w:lineRule="auto"/>
        <w:rPr>
          <w:sz w:val="20"/>
          <w:szCs w:val="20"/>
          <w:color w:val="auto"/>
        </w:rPr>
      </w:pPr>
      <w:r>
        <w:rPr>
          <w:rFonts w:ascii="Arial" w:cs="Arial" w:eastAsia="Arial" w:hAnsi="Arial"/>
          <w:sz w:val="14"/>
          <w:szCs w:val="14"/>
          <w:color w:val="auto"/>
        </w:rPr>
        <w:t>Long-term agreements to repurchase securities had contractual interest rates that ranged from 3.69% to 5.14%. The weighted-average contractual interest rates were 4.16% at December 31, 2010 and 4.21% at December 31, 2009. The agreements outstanding at December 31, 2010 reflect various repurchase dates through 2017, however, the contractual maturities of the underlying investment securities extend beyond such repurchase dates.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60" w:firstLine="599"/>
        <w:spacing w:after="0" w:line="274" w:lineRule="auto"/>
        <w:rPr>
          <w:sz w:val="20"/>
          <w:szCs w:val="20"/>
          <w:color w:val="auto"/>
        </w:rPr>
      </w:pPr>
      <w:r>
        <w:rPr>
          <w:rFonts w:ascii="Arial" w:cs="Arial" w:eastAsia="Arial" w:hAnsi="Arial"/>
          <w:sz w:val="13"/>
          <w:szCs w:val="13"/>
          <w:color w:val="auto"/>
        </w:rPr>
        <w:t>The subordinated notes of M&amp;T Bank are unsecured and are subordinate to the claims of depositors and other creditors of M&amp;T Bank. The subordinated notes of M&amp;T Bank due 2013 had a fixed rate of interest of 3.85% through March 2008 and bear a floating rate of interest thereafter until maturity in April 2013, at a rate equal to the three-month London Interbank Offered Rate (“LIBOR”) plus 1.50%. That variable rate was 1.79% at each of December 31, 2010 and 2009.</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fixed and floating rate junior subordinated deferrable interest debentures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However, the Dodd-Frank Wall Street Reform and Consumer Protection Act that was signed into law on July 21, 2010 provides for a three-year phase-in related to the exclusion of trust preferred capital securities from Tier 1 capital for large financial institutions, including M&amp;T. That phase-in period begins on January 1, 2013. The variable rate Junior Subordinated Debentures pay interest quarterly at rates that are indexed to the three-month LIBOR. Those rates ranged from 1.14% to 3.64% at December 31, 2010 and from 1.13% to 3.63% at December 31, 2009. The weighted-average variable rates payable on those Junior Subordinated Debentures were 1.72% and 1.70% at December 31, 2010 and 2009, respectively.</w:t>
      </w:r>
    </w:p>
    <w:p>
      <w:pPr>
        <w:spacing w:after="0" w:line="2"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 w:lineRule="exact"/>
        <w:rPr>
          <w:sz w:val="20"/>
          <w:szCs w:val="20"/>
          <w:color w:val="auto"/>
        </w:rPr>
      </w:pPr>
    </w:p>
    <w:p>
      <w:pPr>
        <w:ind w:left="680" w:firstLine="599"/>
        <w:spacing w:after="0" w:line="250" w:lineRule="auto"/>
        <w:rPr>
          <w:sz w:val="20"/>
          <w:szCs w:val="20"/>
          <w:color w:val="auto"/>
        </w:rPr>
      </w:pPr>
      <w:r>
        <w:rPr>
          <w:rFonts w:ascii="Arial" w:cs="Arial" w:eastAsia="Arial" w:hAnsi="Arial"/>
          <w:sz w:val="14"/>
          <w:szCs w:val="14"/>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repayment, redemption or purchase, and (ii) M&amp;T has obtained the prior approval of the Federal Reserve Board, if required.</w:t>
      </w:r>
    </w:p>
    <w:p>
      <w:pPr>
        <w:spacing w:after="0" w:line="18"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9000" w:type="dxa"/>
            <w:vAlign w:val="bottom"/>
          </w:tcPr>
          <w:p>
            <w:pPr>
              <w:ind w:left="600"/>
              <w:spacing w:after="0"/>
              <w:rPr>
                <w:sz w:val="20"/>
                <w:szCs w:val="20"/>
                <w:color w:val="auto"/>
              </w:rPr>
            </w:pPr>
            <w:r>
              <w:rPr>
                <w:rFonts w:ascii="Arial" w:cs="Arial" w:eastAsia="Arial" w:hAnsi="Arial"/>
                <w:sz w:val="14"/>
                <w:szCs w:val="14"/>
                <w:color w:val="auto"/>
              </w:rPr>
              <w:t>Long-term borrowings at December 31, 2010 mature as follows: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9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1,886,860</w:t>
            </w:r>
          </w:p>
        </w:tc>
        <w:tc>
          <w:tcPr>
            <w:tcW w:w="100" w:type="dxa"/>
            <w:vAlign w:val="bottom"/>
          </w:tcPr>
          <w:p>
            <w:pPr>
              <w:spacing w:after="0"/>
              <w:rPr>
                <w:sz w:val="13"/>
                <w:szCs w:val="13"/>
                <w:color w:val="auto"/>
              </w:rPr>
            </w:pP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1,560,616</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392,870</w:t>
            </w:r>
          </w:p>
        </w:tc>
        <w:tc>
          <w:tcPr>
            <w:tcW w:w="100" w:type="dxa"/>
            <w:vAlign w:val="bottom"/>
          </w:tcPr>
          <w:p>
            <w:pPr>
              <w:spacing w:after="0"/>
              <w:rPr>
                <w:sz w:val="13"/>
                <w:szCs w:val="13"/>
                <w:color w:val="auto"/>
              </w:rPr>
            </w:pP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7,570</w:t>
            </w: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Later years</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3,992,235</w:t>
            </w:r>
          </w:p>
        </w:tc>
        <w:tc>
          <w:tcPr>
            <w:tcW w:w="100" w:type="dxa"/>
            <w:vAlign w:val="bottom"/>
            <w:shd w:val="clear" w:color="auto" w:fill="CCEEFF"/>
          </w:tcPr>
          <w:p>
            <w:pPr>
              <w:spacing w:after="0"/>
              <w:rPr>
                <w:sz w:val="13"/>
                <w:szCs w:val="13"/>
                <w:color w:val="auto"/>
              </w:rPr>
            </w:pPr>
          </w:p>
        </w:tc>
      </w:tr>
      <w:tr>
        <w:trPr>
          <w:trHeight w:val="166"/>
        </w:trPr>
        <w:tc>
          <w:tcPr>
            <w:tcW w:w="9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7,840,151</w:t>
            </w:r>
          </w:p>
        </w:tc>
        <w:tc>
          <w:tcPr>
            <w:tcW w:w="100" w:type="dxa"/>
            <w:vAlign w:val="bottom"/>
          </w:tcPr>
          <w:p>
            <w:pPr>
              <w:spacing w:after="0"/>
              <w:rPr>
                <w:sz w:val="14"/>
                <w:szCs w:val="14"/>
                <w:color w:val="auto"/>
              </w:rPr>
            </w:pPr>
          </w:p>
        </w:tc>
      </w:tr>
    </w:tbl>
    <w:p>
      <w:pPr>
        <w:spacing w:after="0" w:line="160"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Shareholders’ equity</w:t>
      </w:r>
    </w:p>
    <w:p>
      <w:pPr>
        <w:spacing w:after="0" w:line="22" w:lineRule="exact"/>
        <w:rPr>
          <w:sz w:val="20"/>
          <w:szCs w:val="20"/>
          <w:color w:val="auto"/>
        </w:rPr>
      </w:pPr>
    </w:p>
    <w:p>
      <w:pPr>
        <w:ind w:left="680" w:right="380"/>
        <w:spacing w:after="0" w:line="249" w:lineRule="auto"/>
        <w:rPr>
          <w:sz w:val="20"/>
          <w:szCs w:val="20"/>
          <w:color w:val="auto"/>
        </w:rPr>
      </w:pPr>
      <w:r>
        <w:rPr>
          <w:rFonts w:ascii="Arial" w:cs="Arial" w:eastAsia="Arial" w:hAnsi="Arial"/>
          <w:sz w:val="14"/>
          <w:szCs w:val="14"/>
          <w:color w:val="auto"/>
        </w:rPr>
        <w:t>M&amp;T is authorized to issue 1,000,000 shares of preferred stock with a $1.00 par value per share. Preferred shares outstanding rank senior to common shares both as to dividends and liquidation preference, but have no general voting rights.</w:t>
      </w:r>
    </w:p>
    <w:p>
      <w:pPr>
        <w:ind w:left="1280"/>
        <w:spacing w:after="0"/>
        <w:rPr>
          <w:sz w:val="20"/>
          <w:szCs w:val="20"/>
          <w:color w:val="auto"/>
        </w:rPr>
      </w:pPr>
      <w:r>
        <w:rPr>
          <w:rFonts w:ascii="Arial" w:cs="Arial" w:eastAsia="Arial" w:hAnsi="Arial"/>
          <w:sz w:val="14"/>
          <w:szCs w:val="14"/>
          <w:color w:val="auto"/>
        </w:rPr>
        <w:t>Issued and outstanding preferred stock of M&amp;T is presented below:</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Carrying</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Carrying</w:t>
            </w:r>
          </w:p>
        </w:tc>
      </w:tr>
      <w:tr>
        <w:trPr>
          <w:trHeight w:val="108"/>
        </w:trPr>
        <w:tc>
          <w:tcPr>
            <w:tcW w:w="570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Issued and</w:t>
            </w:r>
          </w:p>
        </w:tc>
        <w:tc>
          <w:tcPr>
            <w:tcW w:w="140" w:type="dxa"/>
            <w:vAlign w:val="bottom"/>
          </w:tcPr>
          <w:p>
            <w:pPr>
              <w:spacing w:after="0"/>
              <w:rPr>
                <w:sz w:val="9"/>
                <w:szCs w:val="9"/>
                <w:color w:val="auto"/>
              </w:rPr>
            </w:pPr>
          </w:p>
        </w:tc>
        <w:tc>
          <w:tcPr>
            <w:tcW w:w="15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89"/>
              </w:rPr>
              <w:t>Value</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89"/>
              </w:rPr>
              <w:t>Value</w:t>
            </w: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3"/>
              </w:rPr>
              <w:t>December 31, 2010</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2009</w:t>
            </w:r>
          </w:p>
        </w:tc>
      </w:tr>
      <w:tr>
        <w:trPr>
          <w:trHeight w:val="131"/>
        </w:trPr>
        <w:tc>
          <w:tcPr>
            <w:tcW w:w="57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ind w:left="240"/>
              <w:spacing w:after="0"/>
              <w:rPr>
                <w:sz w:val="20"/>
                <w:szCs w:val="20"/>
                <w:color w:val="auto"/>
              </w:rPr>
            </w:pPr>
            <w:r>
              <w:rPr>
                <w:rFonts w:ascii="Arial" w:cs="Arial" w:eastAsia="Arial" w:hAnsi="Arial"/>
                <w:sz w:val="10"/>
                <w:szCs w:val="10"/>
                <w:b w:val="1"/>
                <w:bCs w:val="1"/>
                <w:color w:val="auto"/>
                <w:w w:val="83"/>
              </w:rPr>
              <w:t>(Dollars in thousands)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Series A(a)</w:t>
            </w: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5700" w:type="dxa"/>
            <w:vAlign w:val="bottom"/>
          </w:tcPr>
          <w:p>
            <w:pPr>
              <w:spacing w:after="0" w:line="149" w:lineRule="exact"/>
              <w:rPr>
                <w:sz w:val="20"/>
                <w:szCs w:val="20"/>
                <w:color w:val="auto"/>
              </w:rPr>
            </w:pPr>
            <w:r>
              <w:rPr>
                <w:rFonts w:ascii="Arial" w:cs="Arial" w:eastAsia="Arial" w:hAnsi="Arial"/>
                <w:sz w:val="13"/>
                <w:szCs w:val="13"/>
                <w:color w:val="auto"/>
              </w:rPr>
              <w:t>Fixed Rate Cumulative Perpetual Preferred Stock,</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Series A, $1,000 liquidation preference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per share, 600,000 shares authorized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600,000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578,630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572,580</w:t>
            </w: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Series B(b)</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5700" w:type="dxa"/>
            <w:vAlign w:val="bottom"/>
          </w:tcPr>
          <w:p>
            <w:pPr>
              <w:spacing w:after="0" w:line="149" w:lineRule="exact"/>
              <w:rPr>
                <w:sz w:val="20"/>
                <w:szCs w:val="20"/>
                <w:color w:val="auto"/>
              </w:rPr>
            </w:pPr>
            <w:r>
              <w:rPr>
                <w:rFonts w:ascii="Arial" w:cs="Arial" w:eastAsia="Arial" w:hAnsi="Arial"/>
                <w:sz w:val="13"/>
                <w:szCs w:val="13"/>
                <w:color w:val="auto"/>
              </w:rPr>
              <w:t>Series B Mandatory Convertible Non-cumulative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Preferred Stock, $1,000 liquidation preference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per share, 26,500 shares authorized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26,500</w:t>
            </w:r>
          </w:p>
        </w:tc>
        <w:tc>
          <w:tcPr>
            <w:tcW w:w="14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26,500</w:t>
            </w: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26,500</w:t>
            </w: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Series C(a)(c)</w:t>
            </w: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5700" w:type="dxa"/>
            <w:vAlign w:val="bottom"/>
          </w:tcPr>
          <w:p>
            <w:pPr>
              <w:spacing w:after="0" w:line="149" w:lineRule="exact"/>
              <w:rPr>
                <w:sz w:val="20"/>
                <w:szCs w:val="20"/>
                <w:color w:val="auto"/>
              </w:rPr>
            </w:pPr>
            <w:r>
              <w:rPr>
                <w:rFonts w:ascii="Arial" w:cs="Arial" w:eastAsia="Arial" w:hAnsi="Arial"/>
                <w:sz w:val="13"/>
                <w:szCs w:val="13"/>
                <w:color w:val="auto"/>
              </w:rPr>
              <w:t>Fixed Rate Cumulative Perpetual Preferred Stock,</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Series C, $1,000 liquidation preference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per share, 151,500 shares authorized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151,500</w:t>
            </w:r>
          </w:p>
        </w:tc>
        <w:tc>
          <w:tcPr>
            <w:tcW w:w="14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135,527</w:t>
            </w: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131,155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80" w:right="60" w:hanging="241"/>
        <w:spacing w:after="0" w:line="257" w:lineRule="auto"/>
        <w:tabs>
          <w:tab w:leader="none" w:pos="10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2" w:lineRule="exact"/>
        <w:rPr>
          <w:rFonts w:ascii="Arial" w:cs="Arial" w:eastAsia="Arial" w:hAnsi="Arial"/>
          <w:sz w:val="13"/>
          <w:szCs w:val="13"/>
          <w:i w:val="1"/>
          <w:iCs w:val="1"/>
          <w:color w:val="auto"/>
        </w:rPr>
      </w:pPr>
    </w:p>
    <w:p>
      <w:pPr>
        <w:ind w:left="1080" w:right="280" w:hanging="241"/>
        <w:spacing w:after="0" w:line="264" w:lineRule="auto"/>
        <w:tabs>
          <w:tab w:leader="none" w:pos="10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spacing w:after="0" w:line="17" w:lineRule="exact"/>
        <w:rPr>
          <w:rFonts w:ascii="Arial" w:cs="Arial" w:eastAsia="Arial" w:hAnsi="Arial"/>
          <w:sz w:val="13"/>
          <w:szCs w:val="13"/>
          <w:i w:val="1"/>
          <w:iCs w:val="1"/>
          <w:color w:val="auto"/>
        </w:rPr>
      </w:pPr>
    </w:p>
    <w:p>
      <w:pPr>
        <w:ind w:left="1080" w:hanging="234"/>
        <w:spacing w:after="0"/>
        <w:tabs>
          <w:tab w:leader="none" w:pos="10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assumed in the Provident acquisition and a new Series C Preferred Stock was designated.</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Stock-based compensation expense was $54 million in each of 2010 and 2009 and $50 million in 2008. The Company recognized income tax benefits related to stock-based compensation of $17 million in each of 2010 and 2009 and $11 million in 2008.</w:t>
      </w:r>
    </w:p>
    <w:p>
      <w:pPr>
        <w:ind w:left="680" w:firstLine="599"/>
        <w:spacing w:after="0" w:line="253" w:lineRule="auto"/>
        <w:rPr>
          <w:sz w:val="20"/>
          <w:szCs w:val="20"/>
          <w:color w:val="auto"/>
        </w:rPr>
      </w:pPr>
      <w:r>
        <w:rPr>
          <w:rFonts w:ascii="Arial" w:cs="Arial" w:eastAsia="Arial" w:hAnsi="Arial"/>
          <w:sz w:val="14"/>
          <w:szCs w:val="14"/>
          <w:color w:val="auto"/>
        </w:rPr>
        <w:t>The Company’s equity incentive compensation plan allows for the issuance of various forms of stock-based compensation, including stock options, restricted stock, restricted stock units and performance-based awards. Through December 31, 2010, only stock-based compensation awards, including stock options, restricted stock and restricted stock units, that vest with the passage of time as service is provided have been issued. At December 31, 2010 and 2009, respectively, there were 5,959,828 and 6,134,264 shares available for future grant under the Company’s equity incentive compensation plan.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95" w:lineRule="exact"/>
        <w:rPr>
          <w:sz w:val="20"/>
          <w:szCs w:val="20"/>
          <w:color w:val="auto"/>
        </w:rPr>
      </w:pPr>
    </w:p>
    <w:p>
      <w:pPr>
        <w:ind w:left="680" w:right="200"/>
        <w:spacing w:after="0" w:line="271" w:lineRule="auto"/>
        <w:rPr>
          <w:sz w:val="20"/>
          <w:szCs w:val="20"/>
          <w:color w:val="auto"/>
        </w:rPr>
      </w:pPr>
      <w:r>
        <w:rPr>
          <w:rFonts w:ascii="Arial" w:cs="Arial" w:eastAsia="Arial" w:hAnsi="Arial"/>
          <w:sz w:val="13"/>
          <w:szCs w:val="13"/>
          <w:color w:val="auto"/>
        </w:rPr>
        <w:t>Restricted stock awards are comprised of restricted stock and restricted stock units. Restricted stock awards generally vest over four years. Unrecognized compensation expense associated with restricted stock was $23 million as of December 31, 2010 and is expected to be recognized over a weighted-average period of 1.5 years. The Company generally will issue restricted shares from treasury stock to the extent available, but may also issue new shares. During 2010, 2009 and 2008, the number of restricted shares issued was 423,002, 709,415 and 37,747, respectively, with a weighted-average grant date fair value of $31,880,000, $27,932,000 and $3,446,000, respectively. Unrecognized compensation expense associated with restricted stock units was $7 million as of December 31, 2010 and is expected to be recognized over a weighted-average period of 1.2 years. During 2010 and 2009, the number of restricted stock units issued was 231,037 and 578,131, respectively, with a weighted-average grant date fair value of $17,039,000 and $22,663,000, respectively. There were no restricted stock units issued in 2008.</w:t>
      </w:r>
    </w:p>
    <w:p>
      <w:pPr>
        <w:ind w:left="1280"/>
        <w:spacing w:after="0"/>
        <w:rPr>
          <w:sz w:val="20"/>
          <w:szCs w:val="20"/>
          <w:color w:val="auto"/>
        </w:rPr>
      </w:pPr>
      <w:r>
        <w:rPr>
          <w:rFonts w:ascii="Arial" w:cs="Arial" w:eastAsia="Arial" w:hAnsi="Arial"/>
          <w:sz w:val="14"/>
          <w:szCs w:val="14"/>
          <w:color w:val="auto"/>
        </w:rPr>
        <w:t>A summary of restricted stock and restricted stock unit activity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Restricted</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Restricted</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Weighted-</w:t>
            </w:r>
          </w:p>
        </w:tc>
      </w:tr>
      <w:tr>
        <w:trPr>
          <w:trHeight w:val="108"/>
        </w:trPr>
        <w:tc>
          <w:tcPr>
            <w:tcW w:w="570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Stock Units</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Average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Stock</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rPr>
              <w:t>Grant 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Grant Price</w:t>
            </w:r>
          </w:p>
        </w:tc>
      </w:tr>
      <w:tr>
        <w:trPr>
          <w:trHeight w:val="29"/>
        </w:trPr>
        <w:tc>
          <w:tcPr>
            <w:tcW w:w="57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Unvested at January 1,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566,449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39.21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733,687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42.52</w:t>
            </w: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231,037</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73.75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423,002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75.37</w:t>
            </w: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(74,144)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41.58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(165,799)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65.33</w:t>
            </w: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Cancelled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(3,366)</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52.07</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(25,818)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49.74</w:t>
            </w:r>
          </w:p>
        </w:tc>
      </w:tr>
      <w:tr>
        <w:trPr>
          <w:trHeight w:val="20"/>
        </w:trPr>
        <w:tc>
          <w:tcPr>
            <w:tcW w:w="5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719,976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49.99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965,072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52.81</w:t>
            </w:r>
          </w:p>
        </w:tc>
      </w:tr>
      <w:tr>
        <w:trPr>
          <w:trHeight w:val="29"/>
        </w:trPr>
        <w:tc>
          <w:tcPr>
            <w:tcW w:w="5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option awards</w:t>
      </w:r>
    </w:p>
    <w:p>
      <w:pPr>
        <w:spacing w:after="0" w:line="95" w:lineRule="exact"/>
        <w:rPr>
          <w:sz w:val="20"/>
          <w:szCs w:val="20"/>
          <w:color w:val="auto"/>
        </w:rPr>
      </w:pPr>
    </w:p>
    <w:p>
      <w:pPr>
        <w:ind w:left="680" w:right="40"/>
        <w:spacing w:after="0" w:line="275" w:lineRule="auto"/>
        <w:rPr>
          <w:sz w:val="20"/>
          <w:szCs w:val="20"/>
          <w:color w:val="auto"/>
        </w:rPr>
      </w:pPr>
      <w:r>
        <w:rPr>
          <w:rFonts w:ascii="Arial" w:cs="Arial" w:eastAsia="Arial" w:hAnsi="Arial"/>
          <w:sz w:val="13"/>
          <w:szCs w:val="13"/>
          <w:color w:val="auto"/>
        </w:rPr>
        <w:t>Stock options issued generally vest over four years and are exercisable over terms not exceeding ten years and one day. The Company used an option pricing model to estimate the grant date present value of stock options granted. Stock options granted in 2010 and 2009 were not significant. For 2008 the weighted-average estimated grant date value per option was $15.85. The value was calculated using the following weighted-average assumptions: an option term of 6.5 years (representing the estimated period between grant date and exercise date based on historical data); a risk-free interest rate of 3.21% (representing the yield on a U.S. Treasury security with a remaining term equal to the expected option term); expected volatility of 21% (based on historical volatility of M&amp;T’s common stock price); and an estimated dividend yield of 3.07%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to reflect the probability of forfeiture prior to vesting. Aggregate fair value of options expected to vest that were granted in 2008 were $46 million.</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stock option activity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Stock</w:t>
            </w:r>
          </w:p>
        </w:tc>
        <w:tc>
          <w:tcPr>
            <w:tcW w:w="100" w:type="dxa"/>
            <w:vAlign w:val="bottom"/>
          </w:tcPr>
          <w:p>
            <w:pPr>
              <w:spacing w:after="0"/>
              <w:rPr>
                <w:sz w:val="10"/>
                <w:szCs w:val="10"/>
                <w:color w:val="auto"/>
              </w:rPr>
            </w:pPr>
          </w:p>
        </w:tc>
        <w:tc>
          <w:tcPr>
            <w:tcW w:w="1780" w:type="dxa"/>
            <w:vAlign w:val="bottom"/>
            <w:gridSpan w:val="4"/>
          </w:tcPr>
          <w:p>
            <w:pPr>
              <w:ind w:left="220"/>
              <w:spacing w:after="0"/>
              <w:rPr>
                <w:sz w:val="20"/>
                <w:szCs w:val="20"/>
                <w:color w:val="auto"/>
              </w:rPr>
            </w:pPr>
            <w:r>
              <w:rPr>
                <w:rFonts w:ascii="Arial" w:cs="Arial" w:eastAsia="Arial" w:hAnsi="Arial"/>
                <w:sz w:val="10"/>
                <w:szCs w:val="10"/>
                <w:b w:val="1"/>
                <w:bCs w:val="1"/>
                <w:color w:val="auto"/>
              </w:rPr>
              <w:t>Weighted-Average</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81"/>
        </w:trPr>
        <w:tc>
          <w:tcPr>
            <w:tcW w:w="5900" w:type="dxa"/>
            <w:vAlign w:val="bottom"/>
          </w:tcPr>
          <w:p>
            <w:pPr>
              <w:spacing w:after="0"/>
              <w:rPr>
                <w:sz w:val="7"/>
                <w:szCs w:val="7"/>
                <w:color w:val="auto"/>
              </w:rPr>
            </w:pPr>
          </w:p>
        </w:tc>
        <w:tc>
          <w:tcPr>
            <w:tcW w:w="122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Options</w:t>
            </w:r>
          </w:p>
        </w:tc>
        <w:tc>
          <w:tcPr>
            <w:tcW w:w="880" w:type="dxa"/>
            <w:vAlign w:val="bottom"/>
            <w:tcBorders>
              <w:top w:val="single" w:sz="8" w:color="auto"/>
            </w:tcBorders>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Exercise</w:t>
            </w: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Life</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Intrinsic Value</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10"/>
                <w:szCs w:val="10"/>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(In Years)</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(In thousands)</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12,180,017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94.45</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3,386</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73.75</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(1,148,798)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65.32</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Cancelled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(50,368)</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98.40</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Expired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(405,822)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5"/>
              </w:rPr>
              <w:t>100.65</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Outstanding at December 31, 2010</w:t>
            </w: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4.6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25,690</w:t>
            </w:r>
          </w:p>
        </w:tc>
        <w:tc>
          <w:tcPr>
            <w:tcW w:w="0" w:type="dxa"/>
            <w:vAlign w:val="bottom"/>
          </w:tcPr>
          <w:p>
            <w:pPr>
              <w:spacing w:after="0" w:line="20" w:lineRule="exact"/>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10,578,415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97.35</w:t>
            </w:r>
          </w:p>
        </w:tc>
        <w:tc>
          <w:tcPr>
            <w:tcW w:w="10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8,106,077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97.49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22,882</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0" w:firstLine="599"/>
        <w:spacing w:after="0" w:line="277" w:lineRule="auto"/>
        <w:rPr>
          <w:sz w:val="20"/>
          <w:szCs w:val="20"/>
          <w:color w:val="auto"/>
        </w:rPr>
      </w:pPr>
      <w:r>
        <w:rPr>
          <w:rFonts w:ascii="Arial" w:cs="Arial" w:eastAsia="Arial" w:hAnsi="Arial"/>
          <w:sz w:val="13"/>
          <w:szCs w:val="13"/>
          <w:color w:val="auto"/>
        </w:rPr>
        <w:t>For 2010, 2009 and 2008, M&amp;T received $55 million, $15 million and $25 million, respectively, in cash and realized tax benefits from the exercise of stock options of $7 million, $3 million and $4 million, respectively. The intrinsic value of stock options exercised during those periods was $21 million, $6 million and</w:t>
      </w:r>
    </w:p>
    <w:p>
      <w:pPr>
        <w:spacing w:after="0" w:line="1"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$13 million, respectively. As of December 31, 2010, there was $4 million of total unrecognized compensation cost related to non-vested stock options. That cost is expected to be recognized over a weighted-average period of 1 year. The total grant date fair value of stock options vested during 2010, 2009 and 2008 was $38 million, $37 million and $36 million, respectively. Upon the exercise of stock options, the Company generally issues shares from treasury stock to the extent available, but may also issue new shares.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95" w:lineRule="exact"/>
        <w:rPr>
          <w:sz w:val="20"/>
          <w:szCs w:val="20"/>
          <w:color w:val="auto"/>
        </w:rPr>
      </w:pPr>
    </w:p>
    <w:p>
      <w:pPr>
        <w:ind w:left="680" w:right="140"/>
        <w:spacing w:after="0" w:line="252" w:lineRule="auto"/>
        <w:rPr>
          <w:sz w:val="20"/>
          <w:szCs w:val="20"/>
          <w:color w:val="auto"/>
        </w:rPr>
      </w:pPr>
      <w:r>
        <w:rPr>
          <w:rFonts w:ascii="Arial" w:cs="Arial" w:eastAsia="Arial" w:hAnsi="Arial"/>
          <w:sz w:val="14"/>
          <w:szCs w:val="14"/>
          <w:color w:val="auto"/>
        </w:rPr>
        <w:t>The stock purchase plan provides eligible employees of the Company with the right to purchase shares of M&amp;T common stock through accumulated payroll deductions. Shares of M&amp;T common stock will be issued at the end of an option period, typically one year or six months. In connection with the employee stock purchase plan, 1,000,000 shares of M&amp;T common stock were authorized for issuance, of which 568,886 shares have been issued. There were 170,405 shares issued in 2010, 3,149 shares issued in 2009 and 2,377 shares issued in 2008. For 2010, 2009 and 2008, respectively, M&amp;T received $8,998,000, $100,000 and $173,000 in cash for shares purchased through the employee stock purchase plan.</w:t>
      </w:r>
    </w:p>
    <w:p>
      <w:pPr>
        <w:spacing w:after="0" w:line="2"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The Company used an option pricing model to estimate the grant date present value of purchase rights under the stock purchase plan. The estimated weighted-average grant date value per right was $14.33 in 2010, $16.39 in 2009 and $12.79 in 2008. Such values were calculated using the following weighted-average assumptions: a term of six months to one year (representing the period between grant date and exercise date); a risk-free interest rate of 0.29% in 2010, 0.45% in 2009 and 2.05% in 2008 (representing the yield on a U.S. Treasury security with a like term); expected volatility of 34% in 2010 and 2008 and 69% in 2009 (based on historical volatility of M&amp;T’s common stock price); and an estimated dividend yield of 3.20% in 2010, 4.77% in 2009 and 3.84% in 2008 (representing the approximate annualized cash dividend rate paid with respect to a share of common stock at or near the grant date).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Deferred bonus plan</w:t>
      </w:r>
    </w:p>
    <w:p>
      <w:pPr>
        <w:spacing w:after="0" w:line="95"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51,439 and 54,386 at December 31, 2010 and 2009, respectively. The obligation to issue shares is included in “common stock issuable” in the consolidated balance sheet. Through December 31, 2010, 117,117 shares have been issued in connection with the deferred bonus plan.</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Directors’ stock plan</w:t>
      </w:r>
    </w:p>
    <w:p>
      <w:pPr>
        <w:spacing w:after="0" w:line="95" w:lineRule="exact"/>
        <w:rPr>
          <w:sz w:val="20"/>
          <w:szCs w:val="20"/>
          <w:color w:val="auto"/>
        </w:rPr>
      </w:pPr>
    </w:p>
    <w:p>
      <w:pPr>
        <w:ind w:left="680" w:right="820"/>
        <w:spacing w:after="0" w:line="255" w:lineRule="auto"/>
        <w:rPr>
          <w:sz w:val="20"/>
          <w:szCs w:val="20"/>
          <w:color w:val="auto"/>
        </w:rPr>
      </w:pPr>
      <w:r>
        <w:rPr>
          <w:rFonts w:ascii="Arial" w:cs="Arial" w:eastAsia="Arial" w:hAnsi="Arial"/>
          <w:sz w:val="14"/>
          <w:szCs w:val="14"/>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2010, 148,534 shares had been issued in connection with the directors’ stock plan.</w:t>
      </w:r>
    </w:p>
    <w:p>
      <w:pPr>
        <w:jc w:val="both"/>
        <w:ind w:left="680" w:right="880" w:firstLine="599"/>
        <w:spacing w:after="0" w:line="256" w:lineRule="auto"/>
        <w:rPr>
          <w:sz w:val="20"/>
          <w:szCs w:val="20"/>
          <w:color w:val="auto"/>
        </w:rPr>
      </w:pPr>
      <w:r>
        <w:rPr>
          <w:rFonts w:ascii="Arial" w:cs="Arial" w:eastAsia="Arial" w:hAnsi="Arial"/>
          <w:sz w:val="14"/>
          <w:szCs w:val="14"/>
          <w:color w:val="auto"/>
        </w:rPr>
        <w:t>Through an acquisition, the Company assumed an obligation to issue shares of M&amp;T common stock related to a deferred directors compensation plan. Shares of common stock issuable under such plan were 19,906 and 20,784 at December 31, 2010 and 2009, respectively. The obligation to issue shares is included in “common stock issuable” in the consolidated balance sheet.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Management stock ownership program</w:t>
      </w:r>
    </w:p>
    <w:p>
      <w:pPr>
        <w:spacing w:after="0" w:line="95" w:lineRule="exact"/>
        <w:rPr>
          <w:sz w:val="20"/>
          <w:szCs w:val="20"/>
          <w:color w:val="auto"/>
        </w:rPr>
      </w:pPr>
    </w:p>
    <w:p>
      <w:pPr>
        <w:ind w:left="680" w:right="940"/>
        <w:spacing w:after="0" w:line="265" w:lineRule="auto"/>
        <w:rPr>
          <w:sz w:val="20"/>
          <w:szCs w:val="20"/>
          <w:color w:val="auto"/>
        </w:rPr>
      </w:pPr>
      <w:r>
        <w:rPr>
          <w:rFonts w:ascii="Arial" w:cs="Arial" w:eastAsia="Arial" w:hAnsi="Arial"/>
          <w:sz w:val="14"/>
          <w:szCs w:val="14"/>
          <w:color w:val="auto"/>
        </w:rPr>
        <w:t>Through an acquisition, M&amp;T obtained loans that were secured by M&amp;T common stock purchased by former executives of the acquired entity. At December 31, 2009, the loan amounts owed M&amp;T were less than the fair value of the financed stock purchased and totaled approximately $4 million. Such loans were classified as a reduction of “additional paid-in capital” in the consolidated balance sheet at that date. The amounts due to M&amp;T were repaid in full during 2010.</w:t>
      </w:r>
    </w:p>
    <w:p>
      <w:pPr>
        <w:spacing w:after="0" w:line="131"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Pension plans and other postretirement benefits</w:t>
      </w:r>
    </w:p>
    <w:p>
      <w:pPr>
        <w:spacing w:after="0" w:line="22" w:lineRule="exact"/>
        <w:rPr>
          <w:sz w:val="20"/>
          <w:szCs w:val="20"/>
          <w:color w:val="auto"/>
        </w:rPr>
      </w:pPr>
    </w:p>
    <w:p>
      <w:pPr>
        <w:ind w:left="680" w:right="960"/>
        <w:spacing w:after="0" w:line="249" w:lineRule="auto"/>
        <w:rPr>
          <w:sz w:val="20"/>
          <w:szCs w:val="20"/>
          <w:color w:val="auto"/>
        </w:rPr>
      </w:pPr>
      <w:r>
        <w:rPr>
          <w:rFonts w:ascii="Arial" w:cs="Arial" w:eastAsia="Arial" w:hAnsi="Arial"/>
          <w:sz w:val="14"/>
          <w:szCs w:val="14"/>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ind w:left="1280"/>
        <w:spacing w:after="0"/>
        <w:rPr>
          <w:sz w:val="20"/>
          <w:szCs w:val="20"/>
          <w:color w:val="auto"/>
        </w:rPr>
      </w:pPr>
      <w:r>
        <w:rPr>
          <w:rFonts w:ascii="Arial" w:cs="Arial" w:eastAsia="Arial" w:hAnsi="Arial"/>
          <w:sz w:val="14"/>
          <w:szCs w:val="14"/>
          <w:color w:val="auto"/>
        </w:rPr>
        <w:t>Net periodic pension expense for defined benefit plans consisted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left="20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19,670</w:t>
            </w:r>
          </w:p>
        </w:tc>
        <w:tc>
          <w:tcPr>
            <w:tcW w:w="100" w:type="dxa"/>
            <w:vAlign w:val="bottom"/>
            <w:tcBorders>
              <w:left w:val="single" w:sz="8" w:color="CCEEFF"/>
            </w:tcBorders>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19,483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19,409</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cost on benefit obligation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47,905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46,107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42,544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(50,844)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(46,976)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(46,092)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Amortization of prior service cost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(6,559)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(6,559)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(6,559)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Recognized net actuarial loss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13,551</w:t>
            </w:r>
          </w:p>
        </w:tc>
        <w:tc>
          <w:tcPr>
            <w:tcW w:w="10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8,292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3,942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periodic pension expense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23,723</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20,347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13,244</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Net other postretirement benefits expense for defined benefit plans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2010</w:t>
            </w:r>
          </w:p>
        </w:tc>
        <w:tc>
          <w:tcPr>
            <w:tcW w:w="140" w:type="dxa"/>
            <w:vAlign w:val="bottom"/>
          </w:tcPr>
          <w:p>
            <w:pPr>
              <w:spacing w:after="0"/>
              <w:rPr>
                <w:sz w:val="8"/>
                <w:szCs w:val="8"/>
                <w:color w:val="auto"/>
              </w:rPr>
            </w:pPr>
          </w:p>
        </w:tc>
        <w:tc>
          <w:tcPr>
            <w:tcW w:w="240" w:type="dxa"/>
            <w:vAlign w:val="bottom"/>
            <w:vMerge w:val="restart"/>
          </w:tcPr>
          <w:p>
            <w:pPr>
              <w:ind w:left="100"/>
              <w:spacing w:after="0"/>
              <w:rPr>
                <w:sz w:val="20"/>
                <w:szCs w:val="20"/>
                <w:color w:val="auto"/>
              </w:rPr>
            </w:pPr>
            <w:r>
              <w:rPr>
                <w:rFonts w:ascii="Arial" w:cs="Arial" w:eastAsia="Arial" w:hAnsi="Arial"/>
                <w:sz w:val="10"/>
                <w:szCs w:val="10"/>
                <w:b w:val="1"/>
                <w:bCs w:val="1"/>
                <w:color w:val="auto"/>
                <w:w w:val="97"/>
              </w:rPr>
              <w:t>(In</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00" w:type="dxa"/>
            <w:vAlign w:val="bottom"/>
            <w:gridSpan w:val="2"/>
          </w:tcPr>
          <w:p>
            <w:pPr>
              <w:ind w:left="20"/>
              <w:spacing w:after="0"/>
              <w:rPr>
                <w:sz w:val="20"/>
                <w:szCs w:val="20"/>
                <w:color w:val="auto"/>
              </w:rPr>
            </w:pPr>
            <w:r>
              <w:rPr>
                <w:rFonts w:ascii="Arial" w:cs="Arial" w:eastAsia="Arial" w:hAnsi="Arial"/>
                <w:sz w:val="9"/>
                <w:szCs w:val="9"/>
                <w:b w:val="1"/>
                <w:bCs w:val="1"/>
                <w:color w:val="auto"/>
                <w:w w:val="74"/>
              </w:rPr>
              <w:t>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383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Interest cost on benefit obligation</w:t>
            </w:r>
          </w:p>
        </w:tc>
        <w:tc>
          <w:tcPr>
            <w:tcW w:w="80" w:type="dxa"/>
            <w:vAlign w:val="bottom"/>
          </w:tcPr>
          <w:p>
            <w:pPr>
              <w:spacing w:after="0"/>
              <w:rPr>
                <w:sz w:val="13"/>
                <w:szCs w:val="13"/>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3"/>
                <w:szCs w:val="13"/>
                <w:color w:val="auto"/>
                <w:w w:val="98"/>
              </w:rPr>
              <w:t>3,130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3,302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4,033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cost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176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80" w:type="dxa"/>
            <w:vAlign w:val="bottom"/>
          </w:tcPr>
          <w:p>
            <w:pPr>
              <w:spacing w:after="0"/>
              <w:rPr>
                <w:sz w:val="13"/>
                <w:szCs w:val="13"/>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other postretirement benefits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3,680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3,879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4,909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134</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Data relating to the funding position of the defined benefit plans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7"/>
              </w:rPr>
              <w:t>Other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Postretirement Benefits</w:t>
            </w:r>
          </w:p>
        </w:tc>
        <w:tc>
          <w:tcPr>
            <w:tcW w:w="0" w:type="dxa"/>
            <w:vAlign w:val="bottom"/>
          </w:tcPr>
          <w:p>
            <w:pPr>
              <w:spacing w:after="0"/>
              <w:rPr>
                <w:sz w:val="1"/>
                <w:szCs w:val="1"/>
                <w:color w:val="auto"/>
              </w:rPr>
            </w:pPr>
          </w:p>
        </w:tc>
      </w:tr>
      <w:tr>
        <w:trPr>
          <w:trHeight w:val="98"/>
        </w:trPr>
        <w:tc>
          <w:tcPr>
            <w:tcW w:w="62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Benefit obligation at beginning of year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857,122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w w:val="93"/>
              </w:rPr>
              <w:t>750,913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56,575</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62,950</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19,670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19,483</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47,905</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46,107</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3,130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3,302</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2,776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3,138</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Actuarial (gain) loss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64,061</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26,694</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6,433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(5,209)</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Settlements/curtailments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(3,231)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(7,232)</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Business combinations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58,239</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Medicare Part D reimbursement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(37,534)</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(37,082)</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(8,411)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(9,172)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 obligation at end of year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947,993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857,122</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61,675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56,575</w:t>
            </w:r>
          </w:p>
        </w:tc>
        <w:tc>
          <w:tcPr>
            <w:tcW w:w="0" w:type="dxa"/>
            <w:vAlign w:val="bottom"/>
          </w:tcPr>
          <w:p>
            <w:pPr>
              <w:spacing w:after="0"/>
              <w:rPr>
                <w:sz w:val="1"/>
                <w:szCs w:val="1"/>
                <w:color w:val="auto"/>
              </w:rPr>
            </w:pPr>
          </w:p>
        </w:tc>
      </w:tr>
      <w:tr>
        <w:trPr>
          <w:trHeight w:val="156"/>
        </w:trPr>
        <w:tc>
          <w:tcPr>
            <w:tcW w:w="6200" w:type="dxa"/>
            <w:vAlign w:val="bottom"/>
          </w:tcPr>
          <w:p>
            <w:pPr>
              <w:spacing w:after="0"/>
              <w:rPr>
                <w:sz w:val="20"/>
                <w:szCs w:val="20"/>
                <w:color w:val="auto"/>
              </w:rPr>
            </w:pPr>
            <w:r>
              <w:rPr>
                <w:rFonts w:ascii="Arial" w:cs="Arial" w:eastAsia="Arial" w:hAnsi="Arial"/>
                <w:sz w:val="13"/>
                <w:szCs w:val="13"/>
                <w:color w:val="auto"/>
              </w:rPr>
              <w:t>Change in plan assets: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plan assets at beginning of year</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766,880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550,671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107,846</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w w:val="93"/>
              </w:rPr>
              <w:t>158,945</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48,528</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5,164</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Business combinations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51,657</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2,776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3,138</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Medicare Part D reimbursement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789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(3,231)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(5,839)</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Benefits and other payments</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(37,534)</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(37,082)</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(8,411)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(9,172)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plan assets at end of year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838,465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766,880</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3"/>
                <w:szCs w:val="13"/>
                <w:color w:val="auto"/>
              </w:rPr>
              <w:t>Funded status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(109,528)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(90,242)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(61,675)</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(56,575)</w:t>
            </w:r>
          </w:p>
        </w:tc>
        <w:tc>
          <w:tcPr>
            <w:tcW w:w="0" w:type="dxa"/>
            <w:vAlign w:val="bottom"/>
          </w:tcPr>
          <w:p>
            <w:pPr>
              <w:spacing w:after="0"/>
              <w:rPr>
                <w:sz w:val="1"/>
                <w:szCs w:val="1"/>
                <w:color w:val="auto"/>
              </w:rPr>
            </w:pPr>
          </w:p>
        </w:tc>
      </w:tr>
      <w:tr>
        <w:trPr>
          <w:trHeight w:val="165"/>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Assets and liabilities recognized in the consolidated balance sheet were:</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Net prepaid asset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6,629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6,266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(116,157)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w w:val="99"/>
              </w:rPr>
              <w:t>(96,508)</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(61,675)</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(56,575)</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Arial" w:cs="Arial" w:eastAsia="Arial" w:hAnsi="Arial"/>
                <w:sz w:val="13"/>
                <w:szCs w:val="13"/>
                <w:color w:val="auto"/>
              </w:rPr>
              <w:t>Amounts recognized in accumulated other comprehensive income (“AOCI”) were:</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(gain)</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232,725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239,219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2,577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(3,663)</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Net prior service cost</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(36,572)</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(43,131)</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269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Pre-tax adjustment to AOCI</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196,153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196,088</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2,846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Taxes</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(76,990)</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w w:val="99"/>
              </w:rPr>
              <w:t>(76,950)</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(1,117)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adjustment to AOCI</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119,163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119,138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1,729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500" w:firstLine="599"/>
        <w:spacing w:after="0" w:line="274" w:lineRule="auto"/>
        <w:rPr>
          <w:sz w:val="20"/>
          <w:szCs w:val="20"/>
          <w:color w:val="auto"/>
        </w:rPr>
      </w:pPr>
      <w:r>
        <w:rPr>
          <w:rFonts w:ascii="Arial" w:cs="Arial" w:eastAsia="Arial" w:hAnsi="Arial"/>
          <w:sz w:val="13"/>
          <w:szCs w:val="13"/>
          <w:color w:val="auto"/>
        </w:rPr>
        <w:t>The Company has an unfunded supplemental pension plan for certain key executives. The projected benefit obligation and accumulated benefit obligation included in the preceding data related to such plan were $66,254,000 and $66,208,000 respectively, as of December 31, 2010 and $63,705,000 and $63,640,000, respectively, as of December 31, 2009. Included in the amounts for 2009 was approximately $15 million assumed in the Provident acquisition.</w:t>
      </w:r>
    </w:p>
    <w:p>
      <w:pPr>
        <w:spacing w:after="0" w:line="1" w:lineRule="exact"/>
        <w:rPr>
          <w:sz w:val="20"/>
          <w:szCs w:val="20"/>
          <w:color w:val="auto"/>
        </w:rPr>
      </w:pPr>
    </w:p>
    <w:p>
      <w:pPr>
        <w:ind w:left="680" w:right="40" w:firstLine="599"/>
        <w:spacing w:after="0" w:line="253" w:lineRule="auto"/>
        <w:rPr>
          <w:sz w:val="20"/>
          <w:szCs w:val="20"/>
          <w:color w:val="auto"/>
        </w:rPr>
      </w:pPr>
      <w:r>
        <w:rPr>
          <w:rFonts w:ascii="Arial" w:cs="Arial" w:eastAsia="Arial" w:hAnsi="Arial"/>
          <w:sz w:val="14"/>
          <w:szCs w:val="14"/>
          <w:color w:val="auto"/>
        </w:rPr>
        <w:t>The accumulated benefit obligation for all defined benefit pension plans was $929,775,000 and $843,279,000 at December 31, 2010 and 2009, respectively. As of December 31, 2010, the accumulated benefit obligation for those defined benefit pension plans in which such obligation exceeded plan assets totaled $884,269,000 (including $66,208,000 related to the unfunded supplemental pension plan). As of December 31, 2009, the accumulated benefit obligation for those defined benefit pension plans in which</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such obligation exceeded plan assets totaled $797,101,000 (including $63,640,000 related to the unfunded supplemental pension plan).</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GAAP requires an employer to recognize in its balance sheet as an asset or liability the overfunded or underfunded status of a defined benefit postretirement plan,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measured as the difference between the fair value of plan assets and the benefit obligation. For a pension plan, the benefit obligation is the projected benefit obligation;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other postretirement benefit plan, such as a retiree health care plan, the benefit obligation is the accumulated postretirement benefit obligation. Gains or losses and prior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service costs or credits that arise during the period, but are not included as components of net periodic benefit expense, are recognized as a component of other</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comprehensive income. As indicated in the preceding table, as of December 31, 2010 the Company recorded a minimum liability adjustment of $198,999,000</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($196,153,000 related to pension plans and $2,846,000 related to other postretirement benefits) with a corresponding reduction of shareholders’ equity, net of applicable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deferred taxes, of $120,892,000. Of the $196,153,000 related to pension plans, $11,995,000 was related to unfunded nonqualified defined benefit plans. In aggregate,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 plans incurred a net loss during 2010 that resulted from actual experience differing from the plan assumptions utilized and from changes in actuarial assumptions.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main factor contributing to those losses was a reduction in the discount rate used to measure the benefit obligations at December 31, 2010 to 5.25% from the 5.75% rate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used at December 31, 2009. For the qualified defined benefit pension plans, the losses associated with that change in assumption were largely mitigated by gains associated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a positive return on assets of approximately $108 million as compared with an expected gain of approximately $51 million. As a result, the Company increased its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minimum liability adjustment from that which was recorded at December 31, 2009 by $6,331,000 with a corresponding decrease to shareholders’ equity that, net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deferred taxes, was $3,846,000. The table below reflects the changes in plan assets and benefit obligations recognized in other comprehensive income related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Company’s postretirement benefit plans.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3"/>
              </w:rPr>
              <w:t>Pension Plans</w:t>
            </w:r>
          </w:p>
        </w:tc>
        <w:tc>
          <w:tcPr>
            <w:tcW w:w="2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Postretirement</w:t>
            </w: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4"/>
              </w:rPr>
              <w:t>Benefit Plans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4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w w:val="89"/>
              </w:rPr>
              <w:t>2010</w:t>
            </w:r>
          </w:p>
        </w:tc>
        <w:tc>
          <w:tcPr>
            <w:tcW w:w="6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Net loss (gain)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7,057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6,433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13,490</w:t>
            </w: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prior service (cost) credit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6,559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6,383</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Amortization of (loss) gain</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(13,551)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(13,542)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recognized in other comprehensive income, pre-tax</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6,331</w:t>
            </w:r>
          </w:p>
        </w:tc>
        <w:tc>
          <w:tcPr>
            <w:tcW w:w="0" w:type="dxa"/>
            <w:vAlign w:val="bottom"/>
          </w:tcPr>
          <w:p>
            <w:pPr>
              <w:spacing w:after="0"/>
              <w:rPr>
                <w:sz w:val="1"/>
                <w:szCs w:val="1"/>
                <w:color w:val="auto"/>
              </w:rPr>
            </w:pPr>
          </w:p>
        </w:tc>
      </w:tr>
      <w:tr>
        <w:trPr>
          <w:trHeight w:val="147"/>
        </w:trPr>
        <w:tc>
          <w:tcPr>
            <w:tcW w:w="280" w:type="dxa"/>
            <w:vAlign w:val="bottom"/>
            <w:tcBorders>
              <w:bottom w:val="single" w:sz="8" w:color="auto"/>
            </w:tcBorders>
          </w:tcPr>
          <w:p>
            <w:pPr>
              <w:spacing w:after="0" w:line="138" w:lineRule="exact"/>
              <w:rPr>
                <w:sz w:val="20"/>
                <w:szCs w:val="20"/>
                <w:color w:val="auto"/>
              </w:rPr>
            </w:pPr>
            <w:r>
              <w:rPr>
                <w:rFonts w:ascii="Arial" w:cs="Arial" w:eastAsia="Arial" w:hAnsi="Arial"/>
                <w:sz w:val="13"/>
                <w:szCs w:val="13"/>
                <w:color w:val="auto"/>
                <w:w w:val="89"/>
              </w:rPr>
              <w:t>2009</w:t>
            </w:r>
          </w:p>
        </w:tc>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(85,265)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(90,474)</w:t>
            </w:r>
          </w:p>
        </w:tc>
        <w:tc>
          <w:tcPr>
            <w:tcW w:w="0" w:type="dxa"/>
            <w:vAlign w:val="bottom"/>
          </w:tcPr>
          <w:p>
            <w:pPr>
              <w:spacing w:after="0"/>
              <w:rPr>
                <w:sz w:val="1"/>
                <w:szCs w:val="1"/>
                <w:color w:val="auto"/>
              </w:rPr>
            </w:pPr>
          </w:p>
        </w:tc>
      </w:tr>
      <w:tr>
        <w:trPr>
          <w:trHeight w:val="157"/>
        </w:trPr>
        <w:tc>
          <w:tcPr>
            <w:tcW w:w="6700" w:type="dxa"/>
            <w:vAlign w:val="bottom"/>
            <w:gridSpan w:val="2"/>
          </w:tcPr>
          <w:p>
            <w:pPr>
              <w:spacing w:after="0"/>
              <w:rPr>
                <w:sz w:val="20"/>
                <w:szCs w:val="20"/>
                <w:color w:val="auto"/>
              </w:rPr>
            </w:pPr>
            <w:r>
              <w:rPr>
                <w:rFonts w:ascii="Arial" w:cs="Arial" w:eastAsia="Arial" w:hAnsi="Arial"/>
                <w:sz w:val="13"/>
                <w:szCs w:val="13"/>
                <w:color w:val="auto"/>
              </w:rPr>
              <w:t>Amortization of prior service (cost) credit</w:t>
            </w:r>
          </w:p>
        </w:tc>
        <w:tc>
          <w:tcPr>
            <w:tcW w:w="10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6,559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(242)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6,317</w:t>
            </w:r>
          </w:p>
        </w:tc>
        <w:tc>
          <w:tcPr>
            <w:tcW w:w="0" w:type="dxa"/>
            <w:vAlign w:val="bottom"/>
          </w:tcPr>
          <w:p>
            <w:pPr>
              <w:spacing w:after="0"/>
              <w:rPr>
                <w:sz w:val="1"/>
                <w:szCs w:val="1"/>
                <w:color w:val="auto"/>
              </w:rPr>
            </w:pPr>
          </w:p>
        </w:tc>
      </w:tr>
      <w:tr>
        <w:trPr>
          <w:trHeight w:val="157"/>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(loss) gain</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(9,685)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(9,666)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3"/>
                <w:szCs w:val="13"/>
                <w:color w:val="auto"/>
              </w:rPr>
              <w:t>Total recognized in other comprehensive income, pre-tax</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(88,391)</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(5,432)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(93,823)</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20" w:firstLine="599"/>
        <w:spacing w:after="0" w:line="280" w:lineRule="auto"/>
        <w:rPr>
          <w:sz w:val="20"/>
          <w:szCs w:val="20"/>
          <w:color w:val="auto"/>
        </w:rPr>
      </w:pPr>
      <w:r>
        <w:rPr>
          <w:rFonts w:ascii="Arial" w:cs="Arial" w:eastAsia="Arial" w:hAnsi="Arial"/>
          <w:sz w:val="14"/>
          <w:szCs w:val="14"/>
          <w:color w:val="auto"/>
        </w:rPr>
        <w:t>The following table reflects the amortization of amounts in accumulated other comprehensive income expected to be recognized as components of net periodic benefit expense during 2011:</w:t>
      </w:r>
    </w:p>
    <w:p>
      <w:pPr>
        <w:spacing w:after="0" w:line="53" w:lineRule="exact"/>
        <w:rPr>
          <w:sz w:val="20"/>
          <w:szCs w:val="20"/>
          <w:color w:val="auto"/>
        </w:rPr>
      </w:pPr>
    </w:p>
    <w:p>
      <w:pPr>
        <w:jc w:val="center"/>
        <w:ind w:left="8880"/>
        <w:spacing w:after="0"/>
        <w:rPr>
          <w:sz w:val="20"/>
          <w:szCs w:val="20"/>
          <w:color w:val="auto"/>
        </w:rPr>
      </w:pPr>
      <w:r>
        <w:rPr>
          <w:rFonts w:ascii="Arial" w:cs="Arial" w:eastAsia="Arial" w:hAnsi="Arial"/>
          <w:sz w:val="10"/>
          <w:szCs w:val="10"/>
          <w:b w:val="1"/>
          <w:bCs w:val="1"/>
          <w:color w:val="auto"/>
        </w:rPr>
        <w:t>Other</w:t>
      </w:r>
    </w:p>
    <w:p>
      <w:pPr>
        <w:jc w:val="center"/>
        <w:ind w:left="8880"/>
        <w:spacing w:after="0" w:line="236" w:lineRule="auto"/>
        <w:rPr>
          <w:sz w:val="20"/>
          <w:szCs w:val="20"/>
          <w:color w:val="auto"/>
        </w:rPr>
      </w:pPr>
      <w:r>
        <w:rPr>
          <w:rFonts w:ascii="Arial" w:cs="Arial" w:eastAsia="Arial" w:hAnsi="Arial"/>
          <w:sz w:val="10"/>
          <w:szCs w:val="10"/>
          <w:b w:val="1"/>
          <w:bCs w:val="1"/>
          <w:color w:val="auto"/>
        </w:rPr>
        <w:t>Postretirement</w:t>
      </w:r>
    </w:p>
    <w:p>
      <w:pPr>
        <w:ind w:left="8520"/>
        <w:spacing w:after="0"/>
        <w:tabs>
          <w:tab w:leader="none" w:pos="9860" w:val="left"/>
        </w:tabs>
        <w:rPr>
          <w:sz w:val="20"/>
          <w:szCs w:val="20"/>
          <w:color w:val="auto"/>
        </w:rPr>
      </w:pPr>
      <w:r>
        <w:rPr>
          <w:rFonts w:ascii="Arial" w:cs="Arial" w:eastAsia="Arial" w:hAnsi="Arial"/>
          <w:sz w:val="10"/>
          <w:szCs w:val="10"/>
          <w:b w:val="1"/>
          <w:bCs w:val="1"/>
          <w:color w:val="auto"/>
        </w:rPr>
        <w:t>Pension Plans</w:t>
      </w:r>
      <w:r>
        <w:rPr>
          <w:sz w:val="20"/>
          <w:szCs w:val="20"/>
          <w:color w:val="auto"/>
        </w:rPr>
        <w:tab/>
      </w:r>
      <w:r>
        <w:rPr>
          <w:rFonts w:ascii="Arial" w:cs="Arial" w:eastAsia="Arial" w:hAnsi="Arial"/>
          <w:sz w:val="9"/>
          <w:szCs w:val="9"/>
          <w:b w:val="1"/>
          <w:bCs w:val="1"/>
          <w:color w:val="auto"/>
        </w:rPr>
        <w:t>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5235575</wp:posOffset>
            </wp:positionH>
            <wp:positionV relativeFrom="paragraph">
              <wp:posOffset>-635</wp:posOffset>
            </wp:positionV>
            <wp:extent cx="153543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35430" cy="6350"/>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0"/>
          <w:szCs w:val="10"/>
          <w:b w:val="1"/>
          <w:bCs w:val="1"/>
          <w:color w:val="auto"/>
        </w:rPr>
        <w:t>(In thousands)</w:t>
      </w:r>
    </w:p>
    <w:p>
      <w:pPr>
        <w:spacing w:after="0" w:line="2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140" w:type="dxa"/>
            <w:vAlign w:val="bottom"/>
          </w:tcPr>
          <w:p>
            <w:pPr>
              <w:spacing w:after="0"/>
              <w:rPr>
                <w:sz w:val="20"/>
                <w:szCs w:val="20"/>
                <w:color w:val="auto"/>
              </w:rPr>
            </w:pPr>
            <w:r>
              <w:rPr>
                <w:rFonts w:ascii="Arial" w:cs="Arial" w:eastAsia="Arial" w:hAnsi="Arial"/>
                <w:sz w:val="13"/>
                <w:szCs w:val="13"/>
                <w:color w:val="auto"/>
              </w:rPr>
              <w:t>Amortization of net prior service cost (credit)</w:t>
            </w:r>
          </w:p>
        </w:tc>
        <w:tc>
          <w:tcPr>
            <w:tcW w:w="3700" w:type="dxa"/>
            <w:vAlign w:val="bottom"/>
          </w:tcPr>
          <w:p>
            <w:pPr>
              <w:jc w:val="right"/>
              <w:ind w:right="414"/>
              <w:spacing w:after="0"/>
              <w:rPr>
                <w:sz w:val="20"/>
                <w:szCs w:val="20"/>
                <w:color w:val="auto"/>
              </w:rPr>
            </w:pPr>
            <w:r>
              <w:rPr>
                <w:rFonts w:ascii="Arial" w:cs="Arial" w:eastAsia="Arial" w:hAnsi="Arial"/>
                <w:sz w:val="13"/>
                <w:szCs w:val="13"/>
                <w:color w:val="auto"/>
              </w:rPr>
              <w:t>$ (6,559)</w:t>
            </w:r>
          </w:p>
        </w:tc>
        <w:tc>
          <w:tcPr>
            <w:tcW w:w="76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65"/>
        </w:trPr>
        <w:tc>
          <w:tcPr>
            <w:tcW w:w="5140" w:type="dxa"/>
            <w:vAlign w:val="bottom"/>
          </w:tcPr>
          <w:p>
            <w:pPr>
              <w:spacing w:after="0"/>
              <w:rPr>
                <w:sz w:val="20"/>
                <w:szCs w:val="20"/>
                <w:color w:val="auto"/>
              </w:rPr>
            </w:pPr>
            <w:r>
              <w:rPr>
                <w:rFonts w:ascii="Arial" w:cs="Arial" w:eastAsia="Arial" w:hAnsi="Arial"/>
                <w:sz w:val="13"/>
                <w:szCs w:val="13"/>
                <w:color w:val="auto"/>
              </w:rPr>
              <w:t>Amortization of net loss</w:t>
            </w:r>
          </w:p>
        </w:tc>
        <w:tc>
          <w:tcPr>
            <w:tcW w:w="3700" w:type="dxa"/>
            <w:vAlign w:val="bottom"/>
          </w:tcPr>
          <w:p>
            <w:pPr>
              <w:jc w:val="right"/>
              <w:ind w:right="454"/>
              <w:spacing w:after="0"/>
              <w:rPr>
                <w:sz w:val="20"/>
                <w:szCs w:val="20"/>
                <w:color w:val="auto"/>
              </w:rPr>
            </w:pPr>
            <w:r>
              <w:rPr>
                <w:rFonts w:ascii="Arial" w:cs="Arial" w:eastAsia="Arial" w:hAnsi="Arial"/>
                <w:sz w:val="13"/>
                <w:szCs w:val="13"/>
                <w:color w:val="auto"/>
              </w:rPr>
              <w:t>20,379</w:t>
            </w: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r>
    </w:tbl>
    <w:p>
      <w:pPr>
        <w:spacing w:after="0" w:line="77" w:lineRule="exact"/>
        <w:rPr>
          <w:sz w:val="20"/>
          <w:szCs w:val="20"/>
          <w:color w:val="auto"/>
        </w:rPr>
      </w:pPr>
    </w:p>
    <w:p>
      <w:pPr>
        <w:ind w:left="680" w:right="140" w:firstLine="599"/>
        <w:spacing w:after="0" w:line="259" w:lineRule="auto"/>
        <w:rPr>
          <w:sz w:val="20"/>
          <w:szCs w:val="20"/>
          <w:color w:val="auto"/>
        </w:rPr>
      </w:pPr>
      <w:r>
        <w:rPr>
          <w:rFonts w:ascii="Arial" w:cs="Arial" w:eastAsia="Arial" w:hAnsi="Arial"/>
          <w:sz w:val="14"/>
          <w:szCs w:val="14"/>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0"/>
        <w:spacing w:after="0" w:line="280" w:lineRule="auto"/>
        <w:rPr>
          <w:sz w:val="20"/>
          <w:szCs w:val="20"/>
          <w:color w:val="auto"/>
        </w:rPr>
      </w:pPr>
      <w:r>
        <w:rPr>
          <w:rFonts w:ascii="Arial" w:cs="Arial" w:eastAsia="Arial" w:hAnsi="Arial"/>
          <w:sz w:val="14"/>
          <w:szCs w:val="14"/>
          <w:color w:val="auto"/>
        </w:rPr>
        <w:t>and bonuses) and years of service. Participants do not contribute to the defined contribution pension plan. Pension expense recorded in 2010, 2009 and 2008 associated with the defined contribution pension plan was approximately $14 million, $11 million and $10 million, respectively.</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Assumptions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assumed weighted-average rates used to determine benefit obligations at December 31 were:</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Pension</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Other</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3"/>
          </w:tcPr>
          <w:p>
            <w:pPr>
              <w:jc w:val="center"/>
              <w:ind w:left="384"/>
              <w:spacing w:after="0" w:line="108" w:lineRule="exact"/>
              <w:rPr>
                <w:sz w:val="20"/>
                <w:szCs w:val="20"/>
                <w:color w:val="auto"/>
              </w:rPr>
            </w:pPr>
            <w:r>
              <w:rPr>
                <w:rFonts w:ascii="Arial" w:cs="Arial" w:eastAsia="Arial" w:hAnsi="Arial"/>
                <w:sz w:val="10"/>
                <w:szCs w:val="10"/>
                <w:b w:val="1"/>
                <w:bCs w:val="1"/>
                <w:color w:val="auto"/>
                <w:w w:val="93"/>
              </w:rPr>
              <w:t>Postretirement</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Benefits</w:t>
            </w:r>
          </w:p>
        </w:tc>
        <w:tc>
          <w:tcPr>
            <w:tcW w:w="280" w:type="dxa"/>
            <w:vAlign w:val="bottom"/>
          </w:tcPr>
          <w:p>
            <w:pPr>
              <w:spacing w:after="0"/>
              <w:rPr>
                <w:sz w:val="10"/>
                <w:szCs w:val="10"/>
                <w:color w:val="auto"/>
              </w:rPr>
            </w:pPr>
          </w:p>
        </w:tc>
        <w:tc>
          <w:tcPr>
            <w:tcW w:w="110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0"/>
                <w:szCs w:val="10"/>
                <w:b w:val="1"/>
                <w:bCs w:val="1"/>
                <w:color w:val="auto"/>
                <w:w w:val="91"/>
              </w:rPr>
              <w:t>Benefits</w:t>
            </w: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660" w:type="dxa"/>
            <w:vAlign w:val="bottom"/>
          </w:tcPr>
          <w:p>
            <w:pPr>
              <w:spacing w:after="0"/>
              <w:rPr>
                <w:sz w:val="8"/>
                <w:szCs w:val="8"/>
                <w:color w:val="auto"/>
              </w:rPr>
            </w:pPr>
          </w:p>
        </w:tc>
        <w:tc>
          <w:tcPr>
            <w:tcW w:w="540" w:type="dxa"/>
            <w:vAlign w:val="bottom"/>
            <w:tcBorders>
              <w:bottom w:val="single" w:sz="8" w:color="auto"/>
            </w:tcBorders>
          </w:tcPr>
          <w:p>
            <w:pPr>
              <w:ind w:left="200"/>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ind w:left="200"/>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20" w:type="dxa"/>
            <w:vAlign w:val="bottom"/>
            <w:tcBorders>
              <w:bottom w:val="single" w:sz="8" w:color="auto"/>
            </w:tcBorders>
          </w:tcPr>
          <w:p>
            <w:pPr>
              <w:jc w:val="right"/>
              <w:ind w:right="144"/>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w w:val="89"/>
              </w:rPr>
              <w:t>2009</w:t>
            </w:r>
          </w:p>
        </w:tc>
        <w:tc>
          <w:tcPr>
            <w:tcW w:w="0" w:type="dxa"/>
            <w:vAlign w:val="bottom"/>
          </w:tcPr>
          <w:p>
            <w:pPr>
              <w:spacing w:after="0"/>
              <w:rPr>
                <w:sz w:val="1"/>
                <w:szCs w:val="1"/>
                <w:color w:val="auto"/>
              </w:rPr>
            </w:pPr>
          </w:p>
        </w:tc>
      </w:tr>
      <w:tr>
        <w:trPr>
          <w:trHeight w:val="178"/>
        </w:trPr>
        <w:tc>
          <w:tcPr>
            <w:tcW w:w="6660" w:type="dxa"/>
            <w:vAlign w:val="bottom"/>
          </w:tcPr>
          <w:p>
            <w:pPr>
              <w:spacing w:after="0"/>
              <w:rPr>
                <w:sz w:val="20"/>
                <w:szCs w:val="20"/>
                <w:color w:val="auto"/>
              </w:rPr>
            </w:pPr>
            <w:r>
              <w:rPr>
                <w:rFonts w:ascii="Arial" w:cs="Arial" w:eastAsia="Arial" w:hAnsi="Arial"/>
                <w:sz w:val="13"/>
                <w:szCs w:val="13"/>
                <w:color w:val="auto"/>
              </w:rPr>
              <w:t>Discount rate</w:t>
            </w:r>
          </w:p>
        </w:tc>
        <w:tc>
          <w:tcPr>
            <w:tcW w:w="540" w:type="dxa"/>
            <w:vAlign w:val="bottom"/>
          </w:tcPr>
          <w:p>
            <w:pPr>
              <w:ind w:left="180"/>
              <w:spacing w:after="0"/>
              <w:rPr>
                <w:sz w:val="20"/>
                <w:szCs w:val="20"/>
                <w:color w:val="auto"/>
              </w:rPr>
            </w:pPr>
            <w:r>
              <w:rPr>
                <w:rFonts w:ascii="Arial" w:cs="Arial" w:eastAsia="Arial" w:hAnsi="Arial"/>
                <w:sz w:val="13"/>
                <w:szCs w:val="13"/>
                <w:color w:val="auto"/>
                <w:w w:val="92"/>
              </w:rPr>
              <w:t>5.25%</w:t>
            </w:r>
          </w:p>
        </w:tc>
        <w:tc>
          <w:tcPr>
            <w:tcW w:w="980" w:type="dxa"/>
            <w:vAlign w:val="bottom"/>
            <w:gridSpan w:val="3"/>
          </w:tcPr>
          <w:p>
            <w:pPr>
              <w:ind w:left="560"/>
              <w:spacing w:after="0"/>
              <w:rPr>
                <w:sz w:val="20"/>
                <w:szCs w:val="20"/>
                <w:color w:val="auto"/>
              </w:rPr>
            </w:pPr>
            <w:r>
              <w:rPr>
                <w:rFonts w:ascii="Arial" w:cs="Arial" w:eastAsia="Arial" w:hAnsi="Arial"/>
                <w:sz w:val="13"/>
                <w:szCs w:val="13"/>
                <w:color w:val="auto"/>
              </w:rPr>
              <w:t>5.75%</w:t>
            </w:r>
          </w:p>
        </w:tc>
        <w:tc>
          <w:tcPr>
            <w:tcW w:w="900" w:type="dxa"/>
            <w:vAlign w:val="bottom"/>
            <w:gridSpan w:val="2"/>
          </w:tcPr>
          <w:p>
            <w:pPr>
              <w:jc w:val="right"/>
              <w:ind w:right="24"/>
              <w:spacing w:after="0"/>
              <w:rPr>
                <w:sz w:val="20"/>
                <w:szCs w:val="20"/>
                <w:color w:val="auto"/>
              </w:rPr>
            </w:pPr>
            <w:r>
              <w:rPr>
                <w:rFonts w:ascii="Arial" w:cs="Arial" w:eastAsia="Arial" w:hAnsi="Arial"/>
                <w:sz w:val="13"/>
                <w:szCs w:val="13"/>
                <w:color w:val="auto"/>
              </w:rPr>
              <w:t>5.25%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jc w:val="right"/>
              <w:ind w:right="19"/>
              <w:spacing w:after="0"/>
              <w:rPr>
                <w:sz w:val="20"/>
                <w:szCs w:val="20"/>
                <w:color w:val="auto"/>
              </w:rPr>
            </w:pPr>
            <w:r>
              <w:rPr>
                <w:rFonts w:ascii="Arial" w:cs="Arial" w:eastAsia="Arial" w:hAnsi="Arial"/>
                <w:sz w:val="13"/>
                <w:szCs w:val="13"/>
                <w:color w:val="auto"/>
                <w:w w:val="86"/>
              </w:rPr>
              <w:t>5.75%</w:t>
            </w:r>
          </w:p>
        </w:tc>
        <w:tc>
          <w:tcPr>
            <w:tcW w:w="0" w:type="dxa"/>
            <w:vAlign w:val="bottom"/>
          </w:tcPr>
          <w:p>
            <w:pPr>
              <w:spacing w:after="0"/>
              <w:rPr>
                <w:sz w:val="1"/>
                <w:szCs w:val="1"/>
                <w:color w:val="auto"/>
              </w:rPr>
            </w:pPr>
          </w:p>
        </w:tc>
      </w:tr>
      <w:tr>
        <w:trPr>
          <w:trHeight w:val="165"/>
        </w:trPr>
        <w:tc>
          <w:tcPr>
            <w:tcW w:w="6660" w:type="dxa"/>
            <w:vAlign w:val="bottom"/>
          </w:tcPr>
          <w:p>
            <w:pPr>
              <w:spacing w:after="0"/>
              <w:rPr>
                <w:sz w:val="20"/>
                <w:szCs w:val="20"/>
                <w:color w:val="auto"/>
              </w:rPr>
            </w:pPr>
            <w:r>
              <w:rPr>
                <w:rFonts w:ascii="Arial" w:cs="Arial" w:eastAsia="Arial" w:hAnsi="Arial"/>
                <w:sz w:val="13"/>
                <w:szCs w:val="13"/>
                <w:color w:val="auto"/>
              </w:rPr>
              <w:t>Rate of increase in future compensation levels</w:t>
            </w:r>
          </w:p>
        </w:tc>
        <w:tc>
          <w:tcPr>
            <w:tcW w:w="540" w:type="dxa"/>
            <w:vAlign w:val="bottom"/>
          </w:tcPr>
          <w:p>
            <w:pPr>
              <w:ind w:left="180"/>
              <w:spacing w:after="0"/>
              <w:rPr>
                <w:sz w:val="20"/>
                <w:szCs w:val="20"/>
                <w:color w:val="auto"/>
              </w:rPr>
            </w:pPr>
            <w:r>
              <w:rPr>
                <w:rFonts w:ascii="Arial" w:cs="Arial" w:eastAsia="Arial" w:hAnsi="Arial"/>
                <w:sz w:val="13"/>
                <w:szCs w:val="13"/>
                <w:color w:val="auto"/>
                <w:w w:val="92"/>
              </w:rPr>
              <w:t>4.50%</w:t>
            </w:r>
          </w:p>
        </w:tc>
        <w:tc>
          <w:tcPr>
            <w:tcW w:w="980" w:type="dxa"/>
            <w:vAlign w:val="bottom"/>
            <w:gridSpan w:val="3"/>
          </w:tcPr>
          <w:p>
            <w:pPr>
              <w:ind w:left="560"/>
              <w:spacing w:after="0"/>
              <w:rPr>
                <w:sz w:val="20"/>
                <w:szCs w:val="20"/>
                <w:color w:val="auto"/>
              </w:rPr>
            </w:pPr>
            <w:r>
              <w:rPr>
                <w:rFonts w:ascii="Arial" w:cs="Arial" w:eastAsia="Arial" w:hAnsi="Arial"/>
                <w:sz w:val="13"/>
                <w:szCs w:val="13"/>
                <w:color w:val="auto"/>
              </w:rPr>
              <w:t>4.50%</w:t>
            </w:r>
          </w:p>
        </w:tc>
        <w:tc>
          <w:tcPr>
            <w:tcW w:w="280" w:type="dxa"/>
            <w:vAlign w:val="bottom"/>
          </w:tcPr>
          <w:p>
            <w:pPr>
              <w:spacing w:after="0"/>
              <w:rPr>
                <w:sz w:val="14"/>
                <w:szCs w:val="14"/>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net benefit expense for the years ended December 31 were: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rPr>
              <w:t>Other</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Borders>
              <w:bottom w:val="single" w:sz="8" w:color="auto"/>
            </w:tcBorders>
            <w:gridSpan w:val="5"/>
          </w:tcPr>
          <w:p>
            <w:pPr>
              <w:jc w:val="center"/>
              <w:ind w:left="321"/>
              <w:spacing w:after="0"/>
              <w:rPr>
                <w:sz w:val="20"/>
                <w:szCs w:val="20"/>
                <w:color w:val="auto"/>
              </w:rPr>
            </w:pPr>
            <w:r>
              <w:rPr>
                <w:rFonts w:ascii="Arial" w:cs="Arial" w:eastAsia="Arial" w:hAnsi="Arial"/>
                <w:sz w:val="10"/>
                <w:szCs w:val="10"/>
                <w:b w:val="1"/>
                <w:bCs w:val="1"/>
                <w:color w:val="auto"/>
                <w:w w:val="92"/>
              </w:rPr>
              <w:t>Postretirement Benefits</w:t>
            </w: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940" w:type="dxa"/>
            <w:vAlign w:val="bottom"/>
          </w:tcPr>
          <w:p>
            <w:pPr>
              <w:spacing w:after="0"/>
              <w:rPr>
                <w:sz w:val="8"/>
                <w:szCs w:val="8"/>
                <w:color w:val="auto"/>
              </w:rPr>
            </w:pPr>
          </w:p>
        </w:tc>
        <w:tc>
          <w:tcPr>
            <w:tcW w:w="46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rPr>
              <w:t>2010</w:t>
            </w:r>
          </w:p>
        </w:tc>
        <w:tc>
          <w:tcPr>
            <w:tcW w:w="720" w:type="dxa"/>
            <w:vAlign w:val="bottom"/>
            <w:gridSpan w:val="2"/>
          </w:tcPr>
          <w:p>
            <w:pPr>
              <w:jc w:val="right"/>
              <w:ind w:right="120"/>
              <w:spacing w:after="0" w:line="98" w:lineRule="exact"/>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8"/>
                <w:szCs w:val="8"/>
                <w:color w:val="auto"/>
              </w:rPr>
            </w:pPr>
          </w:p>
        </w:tc>
        <w:tc>
          <w:tcPr>
            <w:tcW w:w="46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440" w:type="dxa"/>
            <w:vAlign w:val="bottom"/>
          </w:tcPr>
          <w:p>
            <w:pPr>
              <w:jc w:val="right"/>
              <w:ind w:right="61"/>
              <w:spacing w:after="0" w:line="98" w:lineRule="exact"/>
              <w:rPr>
                <w:sz w:val="20"/>
                <w:szCs w:val="20"/>
                <w:color w:val="auto"/>
              </w:rPr>
            </w:pPr>
            <w:r>
              <w:rPr>
                <w:rFonts w:ascii="Arial" w:cs="Arial" w:eastAsia="Arial" w:hAnsi="Arial"/>
                <w:sz w:val="10"/>
                <w:szCs w:val="10"/>
                <w:b w:val="1"/>
                <w:bCs w:val="1"/>
                <w:color w:val="auto"/>
              </w:rPr>
              <w:t>2010</w:t>
            </w:r>
          </w:p>
        </w:tc>
        <w:tc>
          <w:tcPr>
            <w:tcW w:w="720" w:type="dxa"/>
            <w:vAlign w:val="bottom"/>
            <w:gridSpan w:val="2"/>
          </w:tcPr>
          <w:p>
            <w:pPr>
              <w:jc w:val="right"/>
              <w:ind w:right="59"/>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ind w:right="58"/>
              <w:spacing w:after="0" w:line="98" w:lineRule="exact"/>
              <w:rPr>
                <w:sz w:val="20"/>
                <w:szCs w:val="20"/>
                <w:color w:val="auto"/>
              </w:rPr>
            </w:pPr>
            <w:r>
              <w:rPr>
                <w:rFonts w:ascii="Arial" w:cs="Arial" w:eastAsia="Arial" w:hAnsi="Arial"/>
                <w:sz w:val="10"/>
                <w:szCs w:val="10"/>
                <w:b w:val="1"/>
                <w:bCs w:val="1"/>
                <w:color w:val="auto"/>
              </w:rPr>
              <w:t>2008</w:t>
            </w:r>
          </w:p>
        </w:tc>
        <w:tc>
          <w:tcPr>
            <w:tcW w:w="0" w:type="dxa"/>
            <w:vAlign w:val="bottom"/>
          </w:tcPr>
          <w:p>
            <w:pPr>
              <w:spacing w:after="0"/>
              <w:rPr>
                <w:sz w:val="1"/>
                <w:szCs w:val="1"/>
                <w:color w:val="auto"/>
              </w:rPr>
            </w:pPr>
          </w:p>
        </w:tc>
      </w:tr>
      <w:tr>
        <w:trPr>
          <w:trHeight w:val="29"/>
        </w:trPr>
        <w:tc>
          <w:tcPr>
            <w:tcW w:w="59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6.00%</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Long-term rate of return on plan assets</w:t>
            </w:r>
          </w:p>
        </w:tc>
        <w:tc>
          <w:tcPr>
            <w:tcW w:w="460" w:type="dxa"/>
            <w:vAlign w:val="bottom"/>
          </w:tcPr>
          <w:p>
            <w:pPr>
              <w:jc w:val="right"/>
              <w:spacing w:after="0"/>
              <w:rPr>
                <w:sz w:val="20"/>
                <w:szCs w:val="20"/>
                <w:color w:val="auto"/>
              </w:rPr>
            </w:pPr>
            <w:r>
              <w:rPr>
                <w:rFonts w:ascii="Arial" w:cs="Arial" w:eastAsia="Arial" w:hAnsi="Arial"/>
                <w:sz w:val="13"/>
                <w:szCs w:val="13"/>
                <w:color w:val="auto"/>
              </w:rPr>
              <w:t>6.50%</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6.50%</w:t>
            </w: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7.50%</w:t>
            </w:r>
          </w:p>
        </w:tc>
        <w:tc>
          <w:tcPr>
            <w:tcW w:w="260" w:type="dxa"/>
            <w:vAlign w:val="bottom"/>
          </w:tcPr>
          <w:p>
            <w:pPr>
              <w:spacing w:after="0"/>
              <w:rPr>
                <w:sz w:val="13"/>
                <w:szCs w:val="13"/>
                <w:color w:val="auto"/>
              </w:rPr>
            </w:pPr>
          </w:p>
        </w:tc>
        <w:tc>
          <w:tcPr>
            <w:tcW w:w="440" w:type="dxa"/>
            <w:vAlign w:val="bottom"/>
          </w:tcPr>
          <w:p>
            <w:pPr>
              <w:jc w:val="right"/>
              <w:ind w:right="4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Rate of increase in future compensation levels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4.60%</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500" w:firstLine="599"/>
        <w:spacing w:after="0" w:line="258" w:lineRule="auto"/>
        <w:rPr>
          <w:sz w:val="20"/>
          <w:szCs w:val="20"/>
          <w:color w:val="auto"/>
        </w:rPr>
      </w:pPr>
      <w:r>
        <w:rPr>
          <w:rFonts w:ascii="Arial" w:cs="Arial" w:eastAsia="Arial" w:hAnsi="Arial"/>
          <w:sz w:val="14"/>
          <w:szCs w:val="14"/>
          <w:color w:val="auto"/>
        </w:rPr>
        <w:t>On May 23, 2009, pension and other obligations were assumed as a result of the acquisition of Provident. Initial liabilities were determined using a 7.00% discount rate. All future benefit accruals related to the former Provident qualified pension plan were frozen.</w:t>
      </w:r>
    </w:p>
    <w:p>
      <w:pPr>
        <w:jc w:val="both"/>
        <w:ind w:left="680" w:right="400" w:firstLine="599"/>
        <w:spacing w:after="0" w:line="268" w:lineRule="auto"/>
        <w:rPr>
          <w:sz w:val="20"/>
          <w:szCs w:val="20"/>
          <w:color w:val="auto"/>
        </w:rPr>
      </w:pPr>
      <w:r>
        <w:rPr>
          <w:rFonts w:ascii="Arial" w:cs="Arial" w:eastAsia="Arial" w:hAnsi="Arial"/>
          <w:sz w:val="13"/>
          <w:szCs w:val="13"/>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ind w:left="680" w:firstLine="599"/>
        <w:spacing w:after="0" w:line="256" w:lineRule="auto"/>
        <w:rPr>
          <w:sz w:val="20"/>
          <w:szCs w:val="20"/>
          <w:color w:val="auto"/>
        </w:rPr>
      </w:pPr>
      <w:r>
        <w:rPr>
          <w:rFonts w:ascii="Arial" w:cs="Arial" w:eastAsia="Arial" w:hAnsi="Arial"/>
          <w:sz w:val="14"/>
          <w:szCs w:val="14"/>
          <w:color w:val="auto"/>
        </w:rPr>
        <w:t>For measurement of other postretirement benefits, an 8.0% annual rate of increase in the per capita cost of covered health care benefits was assumed for 2011. The rate was assumed to decrease to 5% over 30 years. Assumed health care cost trend rates have a significant effect on the amounts reported for health care plans. A one-percentage point change in assumed health care cost trend rates would have had the following effects: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0"/>
                <w:szCs w:val="10"/>
                <w:color w:val="auto"/>
              </w:rPr>
            </w:pPr>
          </w:p>
        </w:tc>
      </w:tr>
      <w:tr>
        <w:trPr>
          <w:trHeight w:val="131"/>
        </w:trPr>
        <w:tc>
          <w:tcPr>
            <w:tcW w:w="8600" w:type="dxa"/>
            <w:vAlign w:val="bottom"/>
          </w:tcPr>
          <w:p>
            <w:pPr>
              <w:spacing w:after="0"/>
              <w:rPr>
                <w:sz w:val="11"/>
                <w:szCs w:val="11"/>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w:t>
            </w:r>
          </w:p>
        </w:tc>
      </w:tr>
      <w:tr>
        <w:trPr>
          <w:trHeight w:val="163"/>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Service and interest cost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  143</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   (128)</w:t>
            </w: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Accumulated postretirement benefit obligation</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(2,876)</w:t>
            </w: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Plan Assets</w:t>
      </w:r>
    </w:p>
    <w:p>
      <w:pPr>
        <w:spacing w:after="0" w:line="95" w:lineRule="exact"/>
        <w:rPr>
          <w:sz w:val="20"/>
          <w:szCs w:val="20"/>
          <w:color w:val="auto"/>
        </w:rPr>
      </w:pPr>
    </w:p>
    <w:p>
      <w:pPr>
        <w:ind w:left="680" w:right="20"/>
        <w:spacing w:after="0" w:line="278" w:lineRule="auto"/>
        <w:rPr>
          <w:sz w:val="20"/>
          <w:szCs w:val="20"/>
          <w:color w:val="auto"/>
        </w:rPr>
      </w:pPr>
      <w:r>
        <w:rPr>
          <w:rFonts w:ascii="Arial" w:cs="Arial" w:eastAsia="Arial" w:hAnsi="Arial"/>
          <w:sz w:val="13"/>
          <w:szCs w:val="13"/>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allocation as a principal determinant for establishing an appropriate risk profile. The target allocations for plan assets are generally 55 to 70 percent equity securities, 25 to 40 percent debt securities, and 3 to 10 percent money-market funds or other short-term investments. Equity securities include investments in large-cap and mid-cap companies located in the United States, equity mutual funds with international investments, and, to a lesser extent, direct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800"/>
        <w:spacing w:after="0" w:line="253" w:lineRule="auto"/>
        <w:rPr>
          <w:sz w:val="20"/>
          <w:szCs w:val="20"/>
          <w:color w:val="auto"/>
        </w:rPr>
      </w:pPr>
      <w:r>
        <w:rPr>
          <w:rFonts w:ascii="Arial" w:cs="Arial" w:eastAsia="Arial" w:hAnsi="Arial"/>
          <w:sz w:val="14"/>
          <w:szCs w:val="14"/>
          <w:color w:val="auto"/>
        </w:rPr>
        <w:t>investments in foreign-based companies. Debt securities include corporate bonds of companies from diversified industries, mortgage-backed securities guaranteed by government agencies, U.S. Treasury securities, and mutual funds that invest in debt securities.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fair values of the Company’s pension plan assets at December 31, 2010, by asset category,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Fair Value Measurement of Plan Assets At December 31, 2010</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Quoted Prices</w:t>
            </w: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3"/>
              </w:rPr>
              <w:t>Significant</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7"/>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5"/>
              </w:rPr>
              <w:t>in Active</w:t>
            </w:r>
          </w:p>
        </w:tc>
        <w:tc>
          <w:tcPr>
            <w:tcW w:w="10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Markets</w:t>
            </w: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Observable</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jc w:val="right"/>
              <w:ind w:right="135"/>
              <w:spacing w:after="0"/>
              <w:rPr>
                <w:sz w:val="20"/>
                <w:szCs w:val="20"/>
                <w:color w:val="auto"/>
              </w:rPr>
            </w:pPr>
            <w:r>
              <w:rPr>
                <w:rFonts w:ascii="Arial" w:cs="Arial" w:eastAsia="Arial" w:hAnsi="Arial"/>
                <w:sz w:val="10"/>
                <w:szCs w:val="10"/>
                <w:b w:val="1"/>
                <w:bCs w:val="1"/>
                <w:color w:val="auto"/>
              </w:rPr>
              <w:t>Total</w:t>
            </w:r>
          </w:p>
        </w:tc>
        <w:tc>
          <w:tcPr>
            <w:tcW w:w="14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for Identical Assets</w:t>
            </w:r>
          </w:p>
        </w:tc>
        <w:tc>
          <w:tcPr>
            <w:tcW w:w="10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9"/>
              </w:rPr>
              <w:t>Inputs</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38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2)</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2"/>
          </w:tcPr>
          <w:p>
            <w:pPr>
              <w:jc w:val="center"/>
              <w:ind w:left="820"/>
              <w:spacing w:after="0"/>
              <w:rPr>
                <w:sz w:val="20"/>
                <w:szCs w:val="20"/>
                <w:color w:val="auto"/>
              </w:rPr>
            </w:pPr>
            <w:r>
              <w:rPr>
                <w:rFonts w:ascii="Arial" w:cs="Arial" w:eastAsia="Arial" w:hAnsi="Arial"/>
                <w:sz w:val="10"/>
                <w:szCs w:val="10"/>
                <w:b w:val="1"/>
                <w:bCs w:val="1"/>
                <w:color w:val="auto"/>
                <w:w w:val="92"/>
              </w:rPr>
              <w:t>(In thousands)</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Asset category:</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Arial" w:cs="Arial" w:eastAsia="Arial" w:hAnsi="Arial"/>
                <w:sz w:val="13"/>
                <w:szCs w:val="13"/>
                <w:color w:val="auto"/>
              </w:rPr>
              <w:t>Money-market funds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26,389</w:t>
            </w:r>
          </w:p>
        </w:tc>
        <w:tc>
          <w:tcPr>
            <w:tcW w:w="1940" w:type="dxa"/>
            <w:vAlign w:val="bottom"/>
            <w:gridSpan w:val="3"/>
          </w:tcPr>
          <w:p>
            <w:pPr>
              <w:jc w:val="right"/>
              <w:ind w:right="380"/>
              <w:spacing w:after="0"/>
              <w:rPr>
                <w:sz w:val="20"/>
                <w:szCs w:val="20"/>
                <w:color w:val="auto"/>
              </w:rPr>
            </w:pPr>
            <w:r>
              <w:rPr>
                <w:rFonts w:ascii="Arial" w:cs="Arial" w:eastAsia="Arial" w:hAnsi="Arial"/>
                <w:sz w:val="13"/>
                <w:szCs w:val="13"/>
                <w:color w:val="auto"/>
              </w:rPr>
              <w:t>26,389</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M&amp;T</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97"/>
              </w:rPr>
              <w:t>106,891</w:t>
            </w:r>
          </w:p>
        </w:tc>
        <w:tc>
          <w:tcPr>
            <w:tcW w:w="1940" w:type="dxa"/>
            <w:vAlign w:val="bottom"/>
            <w:gridSpan w:val="3"/>
          </w:tcPr>
          <w:p>
            <w:pPr>
              <w:jc w:val="right"/>
              <w:ind w:right="380"/>
              <w:spacing w:after="0"/>
              <w:rPr>
                <w:sz w:val="20"/>
                <w:szCs w:val="20"/>
                <w:color w:val="auto"/>
              </w:rPr>
            </w:pPr>
            <w:r>
              <w:rPr>
                <w:rFonts w:ascii="Arial" w:cs="Arial" w:eastAsia="Arial" w:hAnsi="Arial"/>
                <w:sz w:val="13"/>
                <w:szCs w:val="13"/>
                <w:color w:val="auto"/>
              </w:rPr>
              <w:t>106,891</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Domestic(a)</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7"/>
              </w:rPr>
              <w:t>148,218</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148,218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9,690</w:t>
            </w:r>
          </w:p>
        </w:tc>
        <w:tc>
          <w:tcPr>
            <w:tcW w:w="1940" w:type="dxa"/>
            <w:vAlign w:val="bottom"/>
            <w:gridSpan w:val="3"/>
          </w:tcPr>
          <w:p>
            <w:pPr>
              <w:jc w:val="right"/>
              <w:ind w:right="380"/>
              <w:spacing w:after="0"/>
              <w:rPr>
                <w:sz w:val="20"/>
                <w:szCs w:val="20"/>
                <w:color w:val="auto"/>
              </w:rPr>
            </w:pPr>
            <w:r>
              <w:rPr>
                <w:rFonts w:ascii="Arial" w:cs="Arial" w:eastAsia="Arial" w:hAnsi="Arial"/>
                <w:sz w:val="13"/>
                <w:szCs w:val="13"/>
                <w:color w:val="auto"/>
              </w:rPr>
              <w:t>9,690</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Mutual funds: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280"/>
              <w:spacing w:after="0"/>
              <w:rPr>
                <w:sz w:val="20"/>
                <w:szCs w:val="20"/>
                <w:color w:val="auto"/>
              </w:rPr>
            </w:pPr>
            <w:r>
              <w:rPr>
                <w:rFonts w:ascii="Arial" w:cs="Arial" w:eastAsia="Arial" w:hAnsi="Arial"/>
                <w:sz w:val="13"/>
                <w:szCs w:val="13"/>
                <w:color w:val="auto"/>
              </w:rPr>
              <w:t>Domestic</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54,039</w:t>
            </w:r>
          </w:p>
        </w:tc>
        <w:tc>
          <w:tcPr>
            <w:tcW w:w="1940" w:type="dxa"/>
            <w:vAlign w:val="bottom"/>
            <w:gridSpan w:val="3"/>
          </w:tcPr>
          <w:p>
            <w:pPr>
              <w:jc w:val="right"/>
              <w:ind w:right="380"/>
              <w:spacing w:after="0"/>
              <w:rPr>
                <w:sz w:val="20"/>
                <w:szCs w:val="20"/>
                <w:color w:val="auto"/>
              </w:rPr>
            </w:pPr>
            <w:r>
              <w:rPr>
                <w:rFonts w:ascii="Arial" w:cs="Arial" w:eastAsia="Arial" w:hAnsi="Arial"/>
                <w:sz w:val="13"/>
                <w:szCs w:val="13"/>
                <w:color w:val="auto"/>
              </w:rPr>
              <w:t>54,039</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International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150,961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150,961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469,799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469,799</w:t>
            </w: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Corporate(b)</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97"/>
              </w:rPr>
              <w:t>204,899</w:t>
            </w:r>
          </w:p>
        </w:tc>
        <w:tc>
          <w:tcPr>
            <w:tcW w:w="260" w:type="dxa"/>
            <w:vAlign w:val="bottom"/>
          </w:tcPr>
          <w:p>
            <w:pPr>
              <w:spacing w:after="0"/>
              <w:rPr>
                <w:sz w:val="13"/>
                <w:szCs w:val="13"/>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204,899</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65,589</w:t>
            </w:r>
          </w:p>
        </w:tc>
        <w:tc>
          <w:tcPr>
            <w:tcW w:w="26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65,589</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7,143</w:t>
            </w:r>
          </w:p>
        </w:tc>
        <w:tc>
          <w:tcPr>
            <w:tcW w:w="260" w:type="dxa"/>
            <w:vAlign w:val="bottom"/>
          </w:tcPr>
          <w:p>
            <w:pPr>
              <w:spacing w:after="0"/>
              <w:rPr>
                <w:sz w:val="13"/>
                <w:szCs w:val="13"/>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7,143</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Mutual funds: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tcPr>
          <w:p>
            <w:pPr>
              <w:ind w:left="280"/>
              <w:spacing w:after="0"/>
              <w:rPr>
                <w:sz w:val="20"/>
                <w:szCs w:val="20"/>
                <w:color w:val="auto"/>
              </w:rPr>
            </w:pPr>
            <w:r>
              <w:rPr>
                <w:rFonts w:ascii="Arial" w:cs="Arial" w:eastAsia="Arial" w:hAnsi="Arial"/>
                <w:sz w:val="13"/>
                <w:szCs w:val="13"/>
                <w:color w:val="auto"/>
              </w:rPr>
              <w:t>Domestic(c)</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35,594</w:t>
            </w:r>
          </w:p>
        </w:tc>
        <w:tc>
          <w:tcPr>
            <w:tcW w:w="1940" w:type="dxa"/>
            <w:vAlign w:val="bottom"/>
            <w:gridSpan w:val="3"/>
          </w:tcPr>
          <w:p>
            <w:pPr>
              <w:jc w:val="right"/>
              <w:ind w:right="380"/>
              <w:spacing w:after="0"/>
              <w:rPr>
                <w:sz w:val="20"/>
                <w:szCs w:val="20"/>
                <w:color w:val="auto"/>
              </w:rPr>
            </w:pPr>
            <w:r>
              <w:rPr>
                <w:rFonts w:ascii="Arial" w:cs="Arial" w:eastAsia="Arial" w:hAnsi="Arial"/>
                <w:sz w:val="13"/>
                <w:szCs w:val="13"/>
                <w:color w:val="auto"/>
              </w:rPr>
              <w:t>35,594</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International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338,716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61,085</w:t>
            </w: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277,631</w:t>
            </w:r>
          </w:p>
        </w:tc>
        <w:tc>
          <w:tcPr>
            <w:tcW w:w="38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834,904</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557,273</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277,631</w:t>
            </w:r>
          </w:p>
        </w:tc>
        <w:tc>
          <w:tcPr>
            <w:tcW w:w="3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2"/>
                <w:szCs w:val="12"/>
                <w:color w:val="auto"/>
              </w:rPr>
              <w:t>138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fair values of the Company’s pension plan assets at December 31, 2009, by asset category, are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5"/>
          </w:tcPr>
          <w:p>
            <w:pPr>
              <w:jc w:val="center"/>
              <w:ind w:left="36"/>
              <w:spacing w:after="0"/>
              <w:rPr>
                <w:sz w:val="20"/>
                <w:szCs w:val="20"/>
                <w:color w:val="auto"/>
              </w:rPr>
            </w:pPr>
            <w:r>
              <w:rPr>
                <w:rFonts w:ascii="Arial" w:cs="Arial" w:eastAsia="Arial" w:hAnsi="Arial"/>
                <w:sz w:val="10"/>
                <w:szCs w:val="10"/>
                <w:b w:val="1"/>
                <w:bCs w:val="1"/>
                <w:color w:val="auto"/>
                <w:w w:val="94"/>
              </w:rPr>
              <w:t>Fair Value Measurement of Plan Assets At December 31, 2009</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Quoted Prices</w:t>
            </w: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Significant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5"/>
              </w:rPr>
              <w:t>in Active</w:t>
            </w:r>
          </w:p>
        </w:tc>
        <w:tc>
          <w:tcPr>
            <w:tcW w:w="11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Markets</w:t>
            </w:r>
          </w:p>
        </w:tc>
        <w:tc>
          <w:tcPr>
            <w:tcW w:w="1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Observable</w:t>
            </w:r>
          </w:p>
        </w:tc>
        <w:tc>
          <w:tcPr>
            <w:tcW w:w="9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jc w:val="right"/>
              <w:ind w:right="135"/>
              <w:spacing w:after="0"/>
              <w:rPr>
                <w:sz w:val="20"/>
                <w:szCs w:val="20"/>
                <w:color w:val="auto"/>
              </w:rPr>
            </w:pPr>
            <w:r>
              <w:rPr>
                <w:rFonts w:ascii="Arial" w:cs="Arial" w:eastAsia="Arial" w:hAnsi="Arial"/>
                <w:sz w:val="10"/>
                <w:szCs w:val="10"/>
                <w:b w:val="1"/>
                <w:bCs w:val="1"/>
                <w:color w:val="auto"/>
              </w:rPr>
              <w:t>Total</w:t>
            </w:r>
          </w:p>
        </w:tc>
        <w:tc>
          <w:tcPr>
            <w:tcW w:w="1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for Identical Assets</w:t>
            </w: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Inputs</w:t>
            </w:r>
          </w:p>
        </w:tc>
        <w:tc>
          <w:tcPr>
            <w:tcW w:w="9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(Level 1)</w:t>
            </w:r>
          </w:p>
        </w:tc>
        <w:tc>
          <w:tcPr>
            <w:tcW w:w="38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(Level 2)</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left="920"/>
              <w:spacing w:after="0"/>
              <w:rPr>
                <w:sz w:val="20"/>
                <w:szCs w:val="20"/>
                <w:color w:val="auto"/>
              </w:rPr>
            </w:pPr>
            <w:r>
              <w:rPr>
                <w:rFonts w:ascii="Arial" w:cs="Arial" w:eastAsia="Arial" w:hAnsi="Arial"/>
                <w:sz w:val="10"/>
                <w:szCs w:val="10"/>
                <w:b w:val="1"/>
                <w:bCs w:val="1"/>
                <w:color w:val="auto"/>
                <w:w w:val="95"/>
              </w:rPr>
              <w:t>(In thousands)</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 category:</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Money-market funds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27,560</w:t>
            </w:r>
          </w:p>
        </w:tc>
        <w:tc>
          <w:tcPr>
            <w:tcW w:w="1900" w:type="dxa"/>
            <w:vAlign w:val="bottom"/>
            <w:gridSpan w:val="3"/>
          </w:tcPr>
          <w:p>
            <w:pPr>
              <w:jc w:val="right"/>
              <w:ind w:right="380"/>
              <w:spacing w:after="0"/>
              <w:rPr>
                <w:sz w:val="20"/>
                <w:szCs w:val="20"/>
                <w:color w:val="auto"/>
              </w:rPr>
            </w:pPr>
            <w:r>
              <w:rPr>
                <w:rFonts w:ascii="Arial" w:cs="Arial" w:eastAsia="Arial" w:hAnsi="Arial"/>
                <w:sz w:val="13"/>
                <w:szCs w:val="13"/>
                <w:color w:val="auto"/>
              </w:rPr>
              <w:t>27,560</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M&amp;T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82,136</w:t>
            </w:r>
          </w:p>
        </w:tc>
        <w:tc>
          <w:tcPr>
            <w:tcW w:w="1900" w:type="dxa"/>
            <w:vAlign w:val="bottom"/>
            <w:gridSpan w:val="3"/>
          </w:tcPr>
          <w:p>
            <w:pPr>
              <w:jc w:val="right"/>
              <w:ind w:right="380"/>
              <w:spacing w:after="0"/>
              <w:rPr>
                <w:sz w:val="20"/>
                <w:szCs w:val="20"/>
                <w:color w:val="auto"/>
              </w:rPr>
            </w:pPr>
            <w:r>
              <w:rPr>
                <w:rFonts w:ascii="Arial" w:cs="Arial" w:eastAsia="Arial" w:hAnsi="Arial"/>
                <w:sz w:val="13"/>
                <w:szCs w:val="13"/>
                <w:color w:val="auto"/>
              </w:rPr>
              <w:t>82,136</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Domestic(a)</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7"/>
              </w:rPr>
              <w:t>162,401</w:t>
            </w:r>
          </w:p>
        </w:tc>
        <w:tc>
          <w:tcPr>
            <w:tcW w:w="19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162,401</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International</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8,021</w:t>
            </w:r>
          </w:p>
        </w:tc>
        <w:tc>
          <w:tcPr>
            <w:tcW w:w="1900" w:type="dxa"/>
            <w:vAlign w:val="bottom"/>
            <w:gridSpan w:val="3"/>
          </w:tcPr>
          <w:p>
            <w:pPr>
              <w:jc w:val="right"/>
              <w:ind w:right="380"/>
              <w:spacing w:after="0"/>
              <w:rPr>
                <w:sz w:val="20"/>
                <w:szCs w:val="20"/>
                <w:color w:val="auto"/>
              </w:rPr>
            </w:pPr>
            <w:r>
              <w:rPr>
                <w:rFonts w:ascii="Arial" w:cs="Arial" w:eastAsia="Arial" w:hAnsi="Arial"/>
                <w:sz w:val="13"/>
                <w:szCs w:val="13"/>
                <w:color w:val="auto"/>
              </w:rPr>
              <w:t>8,021</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Mutual Funds: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Domestic</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40,195</w:t>
            </w:r>
          </w:p>
        </w:tc>
        <w:tc>
          <w:tcPr>
            <w:tcW w:w="1900" w:type="dxa"/>
            <w:vAlign w:val="bottom"/>
            <w:gridSpan w:val="3"/>
          </w:tcPr>
          <w:p>
            <w:pPr>
              <w:jc w:val="right"/>
              <w:ind w:right="380"/>
              <w:spacing w:after="0"/>
              <w:rPr>
                <w:sz w:val="20"/>
                <w:szCs w:val="20"/>
                <w:color w:val="auto"/>
              </w:rPr>
            </w:pPr>
            <w:r>
              <w:rPr>
                <w:rFonts w:ascii="Arial" w:cs="Arial" w:eastAsia="Arial" w:hAnsi="Arial"/>
                <w:sz w:val="13"/>
                <w:szCs w:val="13"/>
                <w:color w:val="auto"/>
              </w:rPr>
              <w:t>40,195</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International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130,767</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130,767</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423,520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423,520</w:t>
            </w: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securities:</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Corporate(b)</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w w:val="97"/>
              </w:rPr>
              <w:t>194,515</w:t>
            </w:r>
          </w:p>
        </w:tc>
        <w:tc>
          <w:tcPr>
            <w:tcW w:w="220" w:type="dxa"/>
            <w:vAlign w:val="bottom"/>
          </w:tcPr>
          <w:p>
            <w:pPr>
              <w:spacing w:after="0"/>
              <w:rPr>
                <w:sz w:val="13"/>
                <w:szCs w:val="13"/>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194,515</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Government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50,054</w:t>
            </w:r>
          </w:p>
        </w:tc>
        <w:tc>
          <w:tcPr>
            <w:tcW w:w="22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50,054</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International</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5,440</w:t>
            </w:r>
          </w:p>
        </w:tc>
        <w:tc>
          <w:tcPr>
            <w:tcW w:w="220" w:type="dxa"/>
            <w:vAlign w:val="bottom"/>
          </w:tcPr>
          <w:p>
            <w:pPr>
              <w:spacing w:after="0"/>
              <w:rPr>
                <w:sz w:val="13"/>
                <w:szCs w:val="13"/>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5,440</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Mutual Funds: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Domestic(c)</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38,833</w:t>
            </w:r>
          </w:p>
        </w:tc>
        <w:tc>
          <w:tcPr>
            <w:tcW w:w="1900" w:type="dxa"/>
            <w:vAlign w:val="bottom"/>
            <w:gridSpan w:val="3"/>
          </w:tcPr>
          <w:p>
            <w:pPr>
              <w:jc w:val="right"/>
              <w:ind w:right="380"/>
              <w:spacing w:after="0"/>
              <w:rPr>
                <w:sz w:val="20"/>
                <w:szCs w:val="20"/>
                <w:color w:val="auto"/>
              </w:rPr>
            </w:pPr>
            <w:r>
              <w:rPr>
                <w:rFonts w:ascii="Arial" w:cs="Arial" w:eastAsia="Arial" w:hAnsi="Arial"/>
                <w:sz w:val="13"/>
                <w:szCs w:val="13"/>
                <w:color w:val="auto"/>
              </w:rPr>
              <w:t>38,833</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International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23,320</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312,162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62,153</w:t>
            </w: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250,009</w:t>
            </w:r>
          </w:p>
        </w:tc>
        <w:tc>
          <w:tcPr>
            <w:tcW w:w="400" w:type="dxa"/>
            <w:vAlign w:val="bottom"/>
          </w:tcPr>
          <w:p>
            <w:pPr>
              <w:spacing w:after="0"/>
              <w:rPr>
                <w:sz w:val="13"/>
                <w:szCs w:val="13"/>
                <w:color w:val="auto"/>
              </w:rPr>
            </w:pPr>
          </w:p>
        </w:tc>
        <w:tc>
          <w:tcPr>
            <w:tcW w:w="98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763,242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513,233</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250,009</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241"/>
        <w:spacing w:after="0"/>
        <w:tabs>
          <w:tab w:leader="none" w:pos="10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This category is comprised of equities of companies primarily within the mid-cap and large-cap sector of the U.S. economy and range across diverse industries.</w:t>
      </w:r>
    </w:p>
    <w:p>
      <w:pPr>
        <w:spacing w:after="0" w:line="47" w:lineRule="exact"/>
        <w:rPr>
          <w:rFonts w:ascii="Arial" w:cs="Arial" w:eastAsia="Arial" w:hAnsi="Arial"/>
          <w:sz w:val="13"/>
          <w:szCs w:val="13"/>
          <w:i w:val="1"/>
          <w:iCs w:val="1"/>
          <w:color w:val="auto"/>
        </w:rPr>
      </w:pPr>
    </w:p>
    <w:p>
      <w:pPr>
        <w:ind w:left="1080" w:hanging="241"/>
        <w:spacing w:after="0"/>
        <w:tabs>
          <w:tab w:leader="none" w:pos="10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This category represents investment grade bonds of U.S. issuers from diverse industries.</w:t>
      </w:r>
    </w:p>
    <w:p>
      <w:pPr>
        <w:spacing w:after="0" w:line="47" w:lineRule="exact"/>
        <w:rPr>
          <w:rFonts w:ascii="Arial" w:cs="Arial" w:eastAsia="Arial" w:hAnsi="Arial"/>
          <w:sz w:val="13"/>
          <w:szCs w:val="13"/>
          <w:i w:val="1"/>
          <w:iCs w:val="1"/>
          <w:color w:val="auto"/>
        </w:rPr>
      </w:pPr>
    </w:p>
    <w:p>
      <w:pPr>
        <w:ind w:left="1080" w:right="340" w:hanging="234"/>
        <w:spacing w:after="0" w:line="276" w:lineRule="auto"/>
        <w:tabs>
          <w:tab w:leader="none" w:pos="10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Approximately 30% of the mutual funds are invested in investment grade bonds of U.S. issuers and 70% in high-yielding bonds. The holdings within the funds are spread across diverse industries.</w:t>
      </w:r>
    </w:p>
    <w:p>
      <w:pPr>
        <w:spacing w:after="0" w:line="10" w:lineRule="exact"/>
        <w:rPr>
          <w:rFonts w:ascii="Arial" w:cs="Arial" w:eastAsia="Arial" w:hAnsi="Arial"/>
          <w:sz w:val="13"/>
          <w:szCs w:val="13"/>
          <w:i w:val="1"/>
          <w:iCs w:val="1"/>
          <w:color w:val="auto"/>
        </w:rPr>
      </w:pPr>
    </w:p>
    <w:p>
      <w:pPr>
        <w:ind w:left="1080" w:hanging="241"/>
        <w:spacing w:after="0"/>
        <w:tabs>
          <w:tab w:leader="none" w:pos="1080"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dividends and interest receivable totaling $3,561,000 and $3,638,000 at December 31, 2010 and 2009, respectively.</w:t>
      </w:r>
    </w:p>
    <w:p>
      <w:pPr>
        <w:spacing w:after="0" w:line="15"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Pension plan assets included common stock of M&amp;T with a fair value of $106,891,000 (12.7% of total plan assets) at December 31, 2010 and $82,136,000 (10.7% of total plan assets) at December 31, 2009. No other investment in securities of a non-U.S. Government or government agency issuer exceeded ten percent of plan assets at December 31, 2010.</w:t>
      </w:r>
    </w:p>
    <w:p>
      <w:pPr>
        <w:spacing w:after="0" w:line="1" w:lineRule="exact"/>
        <w:rPr>
          <w:sz w:val="20"/>
          <w:szCs w:val="20"/>
          <w:color w:val="auto"/>
        </w:rPr>
      </w:pPr>
    </w:p>
    <w:p>
      <w:pPr>
        <w:ind w:left="680" w:right="100" w:firstLine="599"/>
        <w:spacing w:after="0" w:line="251" w:lineRule="auto"/>
        <w:rPr>
          <w:sz w:val="20"/>
          <w:szCs w:val="20"/>
          <w:color w:val="auto"/>
        </w:rPr>
      </w:pPr>
      <w:r>
        <w:rPr>
          <w:rFonts w:ascii="Arial" w:cs="Arial" w:eastAsia="Arial" w:hAnsi="Arial"/>
          <w:sz w:val="14"/>
          <w:szCs w:val="14"/>
          <w:color w:val="auto"/>
        </w:rPr>
        <w:t>The Company makes contributions to its funded qualified defined benefit pension plans as required by government regulation or as deemed appropriate by management after considering factors such as the fair value of plan assets, expected returns on such assets, and the present value of benefit obligations of the plans. Subject to the impact of actual events and circumstances that may occur in 2011, the Company may make contributions to the qualified defined benefit pension plans in 2011, but the amount of any such contribution has not yet been determined. No minimum contribution is required in 2011 under government regulations for the qualified defined benefit pension plans. The Company’s contributions to the qualified defined benefit pension plans totaled $44 million in 2009 in the form of common stock of M&amp;T. The Company did not make any contributions to those plans in 2010.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jc w:val="both"/>
        <w:ind w:left="680" w:right="100"/>
        <w:spacing w:after="0" w:line="285" w:lineRule="auto"/>
        <w:rPr>
          <w:sz w:val="20"/>
          <w:szCs w:val="20"/>
          <w:color w:val="auto"/>
        </w:rPr>
      </w:pPr>
      <w:r>
        <w:rPr>
          <w:rFonts w:ascii="Arial" w:cs="Arial" w:eastAsia="Arial" w:hAnsi="Arial"/>
          <w:sz w:val="13"/>
          <w:szCs w:val="13"/>
          <w:color w:val="auto"/>
        </w:rPr>
        <w:t>Company regularly funds the payment of benefit obligations for the supplemental defined benefit pension and postretirement benefit plans because such plans do not hold assets for investment. Payments made by the Company for supplemental pension benefits were $4,504,000 and $4,239,000 in 2010 and 2009, respectively. Payments made by the Company for postretirement benefits were $4,846,000 and $5,164,000 in 2010 and 2009, respectively. Payments for supplemental pension and other postretirement benefits for 2011 are not expected to differ from those made in 2010 by an amount that will be material to the Company’s consolidated financial position.</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Estimated benefits expected to be paid in future years related to the Company’s defined benefit pension and other postretirement benefits plans are as follows: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0" w:type="dxa"/>
            <w:vAlign w:val="bottom"/>
            <w:vMerge w:val="restart"/>
          </w:tcPr>
          <w:p>
            <w:pPr>
              <w:jc w:val="right"/>
              <w:ind w:right="58"/>
              <w:spacing w:after="0"/>
              <w:rPr>
                <w:sz w:val="20"/>
                <w:szCs w:val="20"/>
                <w:color w:val="auto"/>
              </w:rPr>
            </w:pPr>
            <w:r>
              <w:rPr>
                <w:rFonts w:ascii="Arial" w:cs="Arial" w:eastAsia="Arial" w:hAnsi="Arial"/>
                <w:sz w:val="10"/>
                <w:szCs w:val="10"/>
                <w:b w:val="1"/>
                <w:bCs w:val="1"/>
                <w:color w:val="auto"/>
              </w:rPr>
              <w:t>Pension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rPr>
              <w:t>Benefits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2011</w:t>
            </w:r>
          </w:p>
        </w:tc>
        <w:tc>
          <w:tcPr>
            <w:tcW w:w="600" w:type="dxa"/>
            <w:vAlign w:val="bottom"/>
          </w:tcPr>
          <w:p>
            <w:pPr>
              <w:jc w:val="right"/>
              <w:spacing w:after="0"/>
              <w:rPr>
                <w:sz w:val="20"/>
                <w:szCs w:val="20"/>
                <w:color w:val="auto"/>
              </w:rPr>
            </w:pPr>
            <w:r>
              <w:rPr>
                <w:rFonts w:ascii="Arial" w:cs="Arial" w:eastAsia="Arial" w:hAnsi="Arial"/>
                <w:sz w:val="13"/>
                <w:szCs w:val="13"/>
                <w:color w:val="auto"/>
              </w:rPr>
              <w:t>$   43,599</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6,399</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46,144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6,294</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2013</w:t>
            </w:r>
          </w:p>
        </w:tc>
        <w:tc>
          <w:tcPr>
            <w:tcW w:w="600" w:type="dxa"/>
            <w:vAlign w:val="bottom"/>
          </w:tcPr>
          <w:p>
            <w:pPr>
              <w:jc w:val="right"/>
              <w:spacing w:after="0"/>
              <w:rPr>
                <w:sz w:val="20"/>
                <w:szCs w:val="20"/>
                <w:color w:val="auto"/>
              </w:rPr>
            </w:pPr>
            <w:r>
              <w:rPr>
                <w:rFonts w:ascii="Arial" w:cs="Arial" w:eastAsia="Arial" w:hAnsi="Arial"/>
                <w:sz w:val="13"/>
                <w:szCs w:val="13"/>
                <w:color w:val="auto"/>
              </w:rPr>
              <w:t>48,794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6,236</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6,177</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2015</w:t>
            </w:r>
          </w:p>
        </w:tc>
        <w:tc>
          <w:tcPr>
            <w:tcW w:w="600" w:type="dxa"/>
            <w:vAlign w:val="bottom"/>
          </w:tcPr>
          <w:p>
            <w:pPr>
              <w:jc w:val="right"/>
              <w:spacing w:after="0"/>
              <w:rPr>
                <w:sz w:val="20"/>
                <w:szCs w:val="20"/>
                <w:color w:val="auto"/>
              </w:rPr>
            </w:pPr>
            <w:r>
              <w:rPr>
                <w:rFonts w:ascii="Arial" w:cs="Arial" w:eastAsia="Arial" w:hAnsi="Arial"/>
                <w:sz w:val="13"/>
                <w:szCs w:val="13"/>
                <w:color w:val="auto"/>
              </w:rPr>
              <w:t>54,847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6,081</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2016 through 2020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326,134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80" w:right="60" w:firstLine="599"/>
        <w:spacing w:after="0" w:line="257" w:lineRule="auto"/>
        <w:rPr>
          <w:sz w:val="20"/>
          <w:szCs w:val="20"/>
          <w:color w:val="auto"/>
        </w:rPr>
      </w:pPr>
      <w:r>
        <w:rPr>
          <w:rFonts w:ascii="Arial" w:cs="Arial" w:eastAsia="Arial" w:hAnsi="Arial"/>
          <w:sz w:val="14"/>
          <w:szCs w:val="14"/>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$24,683,000, $23,719,000 and $23,311,000 in 2010, 2009 and 2008, respectively.</w:t>
      </w:r>
    </w:p>
    <w:p>
      <w:pPr>
        <w:spacing w:after="0" w:line="304"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income tax expense (benefit) were as follows:</w:t>
      </w:r>
    </w:p>
    <w:p>
      <w:pPr>
        <w:spacing w:after="0" w:line="16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left="24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250,489</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52,792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231,426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city</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55,071</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(30,514)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80"/>
              <w:spacing w:after="0"/>
              <w:rPr>
                <w:sz w:val="20"/>
                <w:szCs w:val="20"/>
                <w:color w:val="auto"/>
              </w:rPr>
            </w:pPr>
            <w:r>
              <w:rPr>
                <w:rFonts w:ascii="Arial" w:cs="Arial" w:eastAsia="Arial" w:hAnsi="Arial"/>
                <w:sz w:val="13"/>
                <w:szCs w:val="13"/>
                <w:color w:val="auto"/>
              </w:rPr>
              <w:t>Total current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305,560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56,899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200,912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47,123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67,372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(10,095)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city</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3,945</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(6,925)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80"/>
              <w:spacing w:after="0"/>
              <w:rPr>
                <w:sz w:val="20"/>
                <w:szCs w:val="20"/>
                <w:color w:val="auto"/>
              </w:rPr>
            </w:pPr>
            <w:r>
              <w:rPr>
                <w:rFonts w:ascii="Arial" w:cs="Arial" w:eastAsia="Arial" w:hAnsi="Arial"/>
                <w:sz w:val="13"/>
                <w:szCs w:val="13"/>
                <w:color w:val="auto"/>
              </w:rPr>
              <w:t>Total deferred</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51,068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82,501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(17,020)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income taxes applicable to pre-tax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356,628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139,400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183,892</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680" w:right="20" w:firstLine="599"/>
        <w:spacing w:after="0" w:line="280" w:lineRule="auto"/>
        <w:rPr>
          <w:sz w:val="20"/>
          <w:szCs w:val="20"/>
          <w:color w:val="auto"/>
        </w:rPr>
      </w:pPr>
      <w:r>
        <w:rPr>
          <w:rFonts w:ascii="Arial" w:cs="Arial" w:eastAsia="Arial" w:hAnsi="Arial"/>
          <w:sz w:val="14"/>
          <w:szCs w:val="14"/>
          <w:color w:val="auto"/>
        </w:rPr>
        <w:t>The Company files a consolidated federal income tax return reflecting taxable income earned by all subsidiaries. In prior years, applicable federal tax law allowed certain financial institutions the option</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0"/>
        <w:spacing w:after="0" w:line="252" w:lineRule="auto"/>
        <w:rPr>
          <w:sz w:val="20"/>
          <w:szCs w:val="20"/>
          <w:color w:val="auto"/>
        </w:rPr>
      </w:pPr>
      <w:r>
        <w:rPr>
          <w:rFonts w:ascii="Arial" w:cs="Arial" w:eastAsia="Arial" w:hAnsi="Arial"/>
          <w:sz w:val="14"/>
          <w:szCs w:val="14"/>
          <w:color w:val="auto"/>
        </w:rPr>
        <w:t>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2010, M&amp;T Bank’s tax bad debt reserve for which no federal income taxes have been provided was $79,121,000. No actions are planned that would cause this reserve to become wholly or partially taxable.</w:t>
      </w:r>
    </w:p>
    <w:p>
      <w:pPr>
        <w:spacing w:after="0" w:line="2" w:lineRule="exact"/>
        <w:rPr>
          <w:sz w:val="20"/>
          <w:szCs w:val="20"/>
          <w:color w:val="auto"/>
        </w:rPr>
      </w:pPr>
    </w:p>
    <w:p>
      <w:pPr>
        <w:ind w:left="680" w:right="200" w:firstLine="599"/>
        <w:spacing w:after="0" w:line="249" w:lineRule="auto"/>
        <w:rPr>
          <w:sz w:val="20"/>
          <w:szCs w:val="20"/>
          <w:color w:val="auto"/>
        </w:rPr>
      </w:pPr>
      <w:r>
        <w:rPr>
          <w:rFonts w:ascii="Arial" w:cs="Arial" w:eastAsia="Arial" w:hAnsi="Arial"/>
          <w:sz w:val="14"/>
          <w:szCs w:val="14"/>
          <w:color w:val="auto"/>
        </w:rPr>
        <w:t>Income taxes attributable to gains or losses on bank investment securities were benefits of $32,778,000, $53,824,000 and $57,859,000 in 2010, 2009 and 2008, respectively. No alternative minimum tax expense was recognized in 2010, 2009 or 2008.</w:t>
      </w:r>
    </w:p>
    <w:p>
      <w:pPr>
        <w:ind w:left="1280"/>
        <w:spacing w:after="0"/>
        <w:rPr>
          <w:sz w:val="20"/>
          <w:szCs w:val="20"/>
          <w:color w:val="auto"/>
        </w:rPr>
      </w:pPr>
      <w:r>
        <w:rPr>
          <w:rFonts w:ascii="Arial" w:cs="Arial" w:eastAsia="Arial" w:hAnsi="Arial"/>
          <w:sz w:val="14"/>
          <w:szCs w:val="14"/>
          <w:color w:val="auto"/>
        </w:rPr>
        <w:t>Total income taxes differed from the amount computed by applying the statutory federal income tax rate to pre-tax income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131"/>
        </w:trPr>
        <w:tc>
          <w:tcPr>
            <w:tcW w:w="7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left="201"/>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taxes at statutory rate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382,476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181,752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258,923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Increase (decrease) in taxes: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income</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(32,466)</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(31,071)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(31,668)</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State and city income taxes, net of federal income tax effect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38,360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12,503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(24,335)</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Low income housing credits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(29,882)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(20,749)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(21,170)</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(1,860)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(3,035)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2,142</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356,628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139,400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183,892</w:t>
            </w:r>
          </w:p>
        </w:tc>
      </w:tr>
      <w:tr>
        <w:trPr>
          <w:trHeight w:val="29"/>
        </w:trPr>
        <w:tc>
          <w:tcPr>
            <w:tcW w:w="7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Deferred tax assets (liabilities) were comprised of the following at December 31:</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6"/>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Losses on loans and other assets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550,970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642,427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389,177</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Postretirement and other employee benefits</w:t>
            </w:r>
          </w:p>
        </w:tc>
        <w:tc>
          <w:tcPr>
            <w:tcW w:w="1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48,863</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46,316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43,874</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Incentive compensation plans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27,388</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27,835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28,489</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Interest on loans</w:t>
            </w:r>
          </w:p>
        </w:tc>
        <w:tc>
          <w:tcPr>
            <w:tcW w:w="1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43,563</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35,772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38,835</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Retirement benefits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21,694</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14,305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62,185</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70,641</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69,881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58,837</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Unrealized investment losses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54,557</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140,821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331,616</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13,332</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6,274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10,141</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Capitalized servicing rights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3,243</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51,768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40,281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28,478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deferred tax assets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882,776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1,023,912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994,875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Leasing transactions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(294,510)</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(306,799)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(316,444)</w:t>
            </w: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Capitalized servicing rights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(14,739)</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(8,412)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Interest on subordinated note exchange</w:t>
            </w:r>
          </w:p>
        </w:tc>
        <w:tc>
          <w:tcPr>
            <w:tcW w:w="16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(13,534)</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(15,051)</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(16,264)</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(36,080)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(32,617)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(9,691)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40"/>
              <w:spacing w:after="0"/>
              <w:rPr>
                <w:sz w:val="20"/>
                <w:szCs w:val="20"/>
                <w:color w:val="auto"/>
              </w:rPr>
            </w:pPr>
            <w:r>
              <w:rPr>
                <w:rFonts w:ascii="Arial" w:cs="Arial" w:eastAsia="Arial" w:hAnsi="Arial"/>
                <w:sz w:val="13"/>
                <w:szCs w:val="13"/>
                <w:color w:val="auto"/>
              </w:rPr>
              <w:t>Gross deferred tax liabilities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(358,863)</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(362,879)</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(342,399)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523,913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661,033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652,476</w:t>
            </w: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Company believes that it is more likely than not that the deferred tax assets will be realized through taxable earnings or alternative tax strategies.</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income tax credits shown in the statement of income of M&amp;T in note 26 arise principally from operating losses before dividends from subsidiaries.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reconciliation of the beginning and ending amount of unrecognized tax benefits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Federal,</w:t>
            </w: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Accrued</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Unrecognized</w:t>
            </w: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3"/>
              </w:rPr>
              <w:t>State and</w:t>
            </w: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Income Tax</w:t>
            </w: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9"/>
              </w:rPr>
              <w:t>Local Tax</w:t>
            </w: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93"/>
              </w:rPr>
              <w:t>Interest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January 1, 2008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120,044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26,368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146,412</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2008</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rPr>
              <w:t>2,405</w:t>
            </w:r>
          </w:p>
        </w:tc>
        <w:tc>
          <w:tcPr>
            <w:tcW w:w="6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2,405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15,837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15,837</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Decreases in unrecognized tax benefits as a result of tax positions taken during prior years</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(52,399)</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(15,533)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(67,932)</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(31,763)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(9,116)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(40,879)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Gross unrecognized tax benefits at December 31, 2008</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38,287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17,556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55,843</w:t>
            </w: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2009</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400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3,675</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3,675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because applicable returns are no longer subject to examination</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(9,902)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(1,392)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(11,294)</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(825)</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(331)</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(1,156)</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Unrecognized tax benefits acquired in a business combination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Gross unrecognized tax benefits at December 31, 2009</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28,297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19,508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47,805</w:t>
            </w: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11,468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11,468</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Decreases in unrecognized tax benefits because applicable returns are no longer subject to examination</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(1,403)</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(2,073)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(967)</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(1,516)</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Decreases in unrecognized tax benefits as a result of tax positions taken in prior years</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(1,074)</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(9,061)</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(10,135)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December 31, 2010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24,853</w:t>
            </w:r>
          </w:p>
        </w:tc>
        <w:tc>
          <w:tcPr>
            <w:tcW w:w="3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20,696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45,549</w:t>
            </w:r>
          </w:p>
        </w:tc>
        <w:tc>
          <w:tcPr>
            <w:tcW w:w="0" w:type="dxa"/>
            <w:vAlign w:val="bottom"/>
          </w:tcPr>
          <w:p>
            <w:pPr>
              <w:spacing w:after="0"/>
              <w:rPr>
                <w:sz w:val="1"/>
                <w:szCs w:val="1"/>
                <w:color w:val="auto"/>
              </w:rPr>
            </w:pPr>
          </w:p>
        </w:tc>
      </w:tr>
      <w:tr>
        <w:trPr>
          <w:trHeight w:val="155"/>
        </w:trPr>
        <w:tc>
          <w:tcPr>
            <w:tcW w:w="7100" w:type="dxa"/>
            <w:vAlign w:val="bottom"/>
          </w:tcPr>
          <w:p>
            <w:pPr>
              <w:spacing w:after="0"/>
              <w:rPr>
                <w:sz w:val="20"/>
                <w:szCs w:val="20"/>
                <w:color w:val="auto"/>
              </w:rPr>
            </w:pPr>
            <w:r>
              <w:rPr>
                <w:rFonts w:ascii="Arial" w:cs="Arial" w:eastAsia="Arial" w:hAnsi="Arial"/>
                <w:sz w:val="12"/>
                <w:szCs w:val="12"/>
                <w:color w:val="auto"/>
              </w:rPr>
              <w:t>Less: Federal, state and local income tax benefits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(15,478)</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unrecognized tax benefits at December 31, 2010 that, if recognized, would impact the effective income tax rate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30,071</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60" w:firstLine="599"/>
        <w:spacing w:after="0" w:line="274" w:lineRule="auto"/>
        <w:rPr>
          <w:sz w:val="20"/>
          <w:szCs w:val="20"/>
          <w:color w:val="auto"/>
        </w:rPr>
      </w:pPr>
      <w:r>
        <w:rPr>
          <w:rFonts w:ascii="Arial" w:cs="Arial" w:eastAsia="Arial" w:hAnsi="Arial"/>
          <w:sz w:val="13"/>
          <w:szCs w:val="13"/>
          <w:color w:val="auto"/>
        </w:rPr>
        <w:t>The Company’s policy is to recognize interest and penalties, if any, related to unrecognized tax benefits in income taxes in the consolidated statement of income. The balance of accrued interest at December 31, 2010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2007 and 2008 could be adjusted by the Internal Revenue Service, although examinations for those tax years have been concluded. The federal income tax return for 2009 is currently under examination, although no issues have been raised that would materially impact the effective tax rate. The Company also files income tax returns in over forty state and local jurisdictions. Substantially all material state and local matters have been concluded for years through 2001. Some tax returns for years after 2001 are presently under examination. It is not reasonably possible to estimate when any of those examinations will be completed or if others will be commenced.</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common share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computations of basic earnings per common share follow:</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gridSpan w:val="6"/>
          </w:tcPr>
          <w:p>
            <w:pPr>
              <w:jc w:val="center"/>
              <w:ind w:right="51"/>
              <w:spacing w:after="0"/>
              <w:rPr>
                <w:sz w:val="20"/>
                <w:szCs w:val="20"/>
                <w:color w:val="auto"/>
              </w:rPr>
            </w:pPr>
            <w:r>
              <w:rPr>
                <w:rFonts w:ascii="Arial" w:cs="Arial" w:eastAsia="Arial" w:hAnsi="Arial"/>
                <w:sz w:val="10"/>
                <w:szCs w:val="10"/>
                <w:b w:val="1"/>
                <w:bCs w:val="1"/>
                <w:color w:val="auto"/>
                <w:w w:val="92"/>
              </w:rPr>
              <w:t>(In thousands, except per share)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available to common shareholders: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8"/>
              <w:spacing w:after="0"/>
              <w:rPr>
                <w:sz w:val="20"/>
                <w:szCs w:val="20"/>
                <w:color w:val="auto"/>
              </w:rPr>
            </w:pPr>
            <w:r>
              <w:rPr>
                <w:rFonts w:ascii="Arial" w:cs="Arial" w:eastAsia="Arial" w:hAnsi="Arial"/>
                <w:sz w:val="13"/>
                <w:szCs w:val="13"/>
                <w:color w:val="auto"/>
              </w:rPr>
              <w:t>736,161</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379,891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555,887</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Less: Preferred stock dividends(a)</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(40,225)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(36,081)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57"/>
        </w:trPr>
        <w:tc>
          <w:tcPr>
            <w:tcW w:w="7300" w:type="dxa"/>
            <w:vAlign w:val="bottom"/>
            <w:gridSpan w:val="2"/>
          </w:tcPr>
          <w:p>
            <w:pPr>
              <w:ind w:left="400"/>
              <w:spacing w:after="0"/>
              <w:rPr>
                <w:sz w:val="20"/>
                <w:szCs w:val="20"/>
                <w:color w:val="auto"/>
              </w:rPr>
            </w:pPr>
            <w:r>
              <w:rPr>
                <w:rFonts w:ascii="Arial" w:cs="Arial" w:eastAsia="Arial" w:hAnsi="Arial"/>
                <w:sz w:val="13"/>
                <w:szCs w:val="13"/>
                <w:color w:val="auto"/>
              </w:rPr>
              <w:t>Amortization of preferred stock discount(a)</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(10,518)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(8,130)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income available to common equity</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685,418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335,680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555,096</w:t>
            </w:r>
          </w:p>
        </w:tc>
        <w:tc>
          <w:tcPr>
            <w:tcW w:w="0" w:type="dxa"/>
            <w:vAlign w:val="bottom"/>
          </w:tcPr>
          <w:p>
            <w:pPr>
              <w:spacing w:after="0"/>
              <w:rPr>
                <w:sz w:val="1"/>
                <w:szCs w:val="1"/>
                <w:color w:val="auto"/>
              </w:rPr>
            </w:pPr>
          </w:p>
        </w:tc>
      </w:tr>
      <w:tr>
        <w:trPr>
          <w:trHeight w:val="148"/>
        </w:trPr>
        <w:tc>
          <w:tcPr>
            <w:tcW w:w="73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Less: Income attributable to unvested stock-based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300" w:type="dxa"/>
            <w:vAlign w:val="bottom"/>
            <w:gridSpan w:val="2"/>
          </w:tcPr>
          <w:p>
            <w:pPr>
              <w:ind w:left="280"/>
              <w:spacing w:after="0"/>
              <w:rPr>
                <w:sz w:val="20"/>
                <w:szCs w:val="20"/>
                <w:color w:val="auto"/>
              </w:rPr>
            </w:pPr>
            <w:r>
              <w:rPr>
                <w:rFonts w:ascii="Arial" w:cs="Arial" w:eastAsia="Arial" w:hAnsi="Arial"/>
                <w:sz w:val="13"/>
                <w:szCs w:val="13"/>
                <w:color w:val="auto"/>
              </w:rPr>
              <w:t>compensation awards</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(9,592)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(3,674)</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to common shareholders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675,826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332,006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555,096</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Weighted-average shares outstanding:</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Common shares outstanding (including common stock issuable) and unvested stock-based compensation awards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119,852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115,838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110,211</w:t>
            </w:r>
          </w:p>
        </w:tc>
        <w:tc>
          <w:tcPr>
            <w:tcW w:w="0" w:type="dxa"/>
            <w:vAlign w:val="bottom"/>
          </w:tcPr>
          <w:p>
            <w:pPr>
              <w:spacing w:after="0"/>
              <w:rPr>
                <w:sz w:val="1"/>
                <w:szCs w:val="1"/>
                <w:color w:val="auto"/>
              </w:rPr>
            </w:pPr>
          </w:p>
        </w:tc>
      </w:tr>
      <w:tr>
        <w:trPr>
          <w:trHeight w:val="157"/>
        </w:trPr>
        <w:tc>
          <w:tcPr>
            <w:tcW w:w="7300" w:type="dxa"/>
            <w:vAlign w:val="bottom"/>
            <w:gridSpan w:val="2"/>
          </w:tcPr>
          <w:p>
            <w:pPr>
              <w:ind w:left="280"/>
              <w:spacing w:after="0"/>
              <w:rPr>
                <w:sz w:val="20"/>
                <w:szCs w:val="20"/>
                <w:color w:val="auto"/>
              </w:rPr>
            </w:pPr>
            <w:r>
              <w:rPr>
                <w:rFonts w:ascii="Arial" w:cs="Arial" w:eastAsia="Arial" w:hAnsi="Arial"/>
                <w:sz w:val="13"/>
                <w:szCs w:val="13"/>
                <w:color w:val="auto"/>
              </w:rPr>
              <w:t>Less: Unvested stock-based compensation awards</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(1,661)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(1,178)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shares outstanding</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118,191</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114,660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110,211</w:t>
            </w:r>
          </w:p>
        </w:tc>
        <w:tc>
          <w:tcPr>
            <w:tcW w:w="0" w:type="dxa"/>
            <w:vAlign w:val="bottom"/>
          </w:tcPr>
          <w:p>
            <w:pPr>
              <w:spacing w:after="0"/>
              <w:rPr>
                <w:sz w:val="1"/>
                <w:szCs w:val="1"/>
                <w:color w:val="auto"/>
              </w:rPr>
            </w:pPr>
          </w:p>
        </w:tc>
      </w:tr>
      <w:tr>
        <w:trPr>
          <w:trHeight w:val="165"/>
        </w:trPr>
        <w:tc>
          <w:tcPr>
            <w:tcW w:w="7300" w:type="dxa"/>
            <w:vAlign w:val="bottom"/>
            <w:gridSpan w:val="2"/>
          </w:tcPr>
          <w:p>
            <w:pPr>
              <w:spacing w:after="0"/>
              <w:rPr>
                <w:sz w:val="20"/>
                <w:szCs w:val="20"/>
                <w:color w:val="auto"/>
              </w:rPr>
            </w:pPr>
            <w:r>
              <w:rPr>
                <w:rFonts w:ascii="Arial" w:cs="Arial" w:eastAsia="Arial" w:hAnsi="Arial"/>
                <w:sz w:val="13"/>
                <w:szCs w:val="13"/>
                <w:color w:val="auto"/>
              </w:rPr>
              <w:t>Basic earnings per common share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8"/>
              <w:spacing w:after="0"/>
              <w:rPr>
                <w:sz w:val="20"/>
                <w:szCs w:val="20"/>
                <w:color w:val="auto"/>
              </w:rPr>
            </w:pPr>
            <w:r>
              <w:rPr>
                <w:rFonts w:ascii="Arial" w:cs="Arial" w:eastAsia="Arial" w:hAnsi="Arial"/>
                <w:sz w:val="13"/>
                <w:szCs w:val="13"/>
                <w:color w:val="auto"/>
              </w:rPr>
              <w:t>5.72</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6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300" w:type="dxa"/>
            <w:vAlign w:val="bottom"/>
            <w:gridSpan w:val="2"/>
          </w:tcPr>
          <w:p>
            <w:pPr>
              <w:ind w:left="60"/>
              <w:spacing w:after="0"/>
              <w:rPr>
                <w:sz w:val="20"/>
                <w:szCs w:val="20"/>
                <w:color w:val="auto"/>
              </w:rPr>
            </w:pPr>
            <w:r>
              <w:rPr>
                <w:rFonts w:ascii="Arial" w:cs="Arial" w:eastAsia="Arial" w:hAnsi="Arial"/>
                <w:sz w:val="13"/>
                <w:szCs w:val="13"/>
                <w:i w:val="1"/>
                <w:iCs w:val="1"/>
                <w:color w:val="auto"/>
              </w:rPr>
              <w:t>(a)  Including impact of not as yet declared cumulative dividends.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300" w:type="dxa"/>
            <w:vAlign w:val="bottom"/>
            <w:gridSpan w:val="2"/>
          </w:tcPr>
          <w:p>
            <w:pPr>
              <w:ind w:left="400"/>
              <w:spacing w:after="0"/>
              <w:rPr>
                <w:sz w:val="20"/>
                <w:szCs w:val="20"/>
                <w:color w:val="auto"/>
              </w:rPr>
            </w:pPr>
            <w:r>
              <w:rPr>
                <w:rFonts w:ascii="Arial" w:cs="Arial" w:eastAsia="Arial" w:hAnsi="Arial"/>
                <w:sz w:val="14"/>
                <w:szCs w:val="14"/>
                <w:color w:val="auto"/>
              </w:rPr>
              <w:t>The computations of diluted earnings per common share follow:</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gridSpan w:val="6"/>
          </w:tcPr>
          <w:p>
            <w:pPr>
              <w:jc w:val="center"/>
              <w:ind w:right="51"/>
              <w:spacing w:after="0"/>
              <w:rPr>
                <w:sz w:val="20"/>
                <w:szCs w:val="20"/>
                <w:color w:val="auto"/>
              </w:rPr>
            </w:pPr>
            <w:r>
              <w:rPr>
                <w:rFonts w:ascii="Arial" w:cs="Arial" w:eastAsia="Arial" w:hAnsi="Arial"/>
                <w:sz w:val="10"/>
                <w:szCs w:val="10"/>
                <w:b w:val="1"/>
                <w:bCs w:val="1"/>
                <w:color w:val="auto"/>
                <w:w w:val="92"/>
              </w:rPr>
              <w:t>(In thousands, except per share)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to common equity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685,418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335,680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555,096</w:t>
            </w: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Less: Income attributable to unvested stock-based compensation awards</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(9,565)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(3,674)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to common shareholders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675,853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332,006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555,096</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Adjusted weighted-average shares outstanding:</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and unvested stock-based compensation awards</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119,852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115,838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110,211</w:t>
            </w: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Less: Unvested stock-based compensation awards</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(1,661)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(1,178)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Plus: Incremental shares from assumed conversion of stock-based compensation awards and convertible preferred stock</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652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Adjusted weighted-average shares outstanding</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3"/>
                <w:szCs w:val="13"/>
                <w:color w:val="auto"/>
              </w:rPr>
              <w:t>118,843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114,776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110,904</w:t>
            </w:r>
          </w:p>
        </w:tc>
        <w:tc>
          <w:tcPr>
            <w:tcW w:w="0" w:type="dxa"/>
            <w:vAlign w:val="bottom"/>
          </w:tcPr>
          <w:p>
            <w:pPr>
              <w:spacing w:after="0"/>
              <w:rPr>
                <w:sz w:val="1"/>
                <w:szCs w:val="1"/>
                <w:color w:val="auto"/>
              </w:rPr>
            </w:pPr>
          </w:p>
        </w:tc>
      </w:tr>
      <w:tr>
        <w:trPr>
          <w:trHeight w:val="158"/>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5.69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firstLine="599"/>
        <w:spacing w:after="0" w:line="272" w:lineRule="auto"/>
        <w:rPr>
          <w:sz w:val="20"/>
          <w:szCs w:val="20"/>
          <w:color w:val="auto"/>
        </w:rPr>
      </w:pPr>
      <w:r>
        <w:rPr>
          <w:rFonts w:ascii="Arial" w:cs="Arial" w:eastAsia="Arial" w:hAnsi="Arial"/>
          <w:sz w:val="13"/>
          <w:szCs w:val="13"/>
          <w:color w:val="auto"/>
        </w:rPr>
        <w:t>GAAP requires that for financial statements issued for fiscal years beginning after December 15, 2008, unvested share-based payment awards that contain nonforfeitable rights to dividends or dividend equivalents (whether paid or unpaid) are participating securities and shall be included in the computation of earnings per common share pursuant to the two-class method. In 2009 and 2010, the Company issued stock-based compensation awards in the form of restricted stock and restricted stock units, which, in accordance with GAAP, are considered participating securities. Beginning in 2009, the Company’s earnings per common share are calculated using the two-class method. The effects of the application of the two-class method to previously reported earnings per common share amounts were immaterial.</w:t>
      </w:r>
    </w:p>
    <w:p>
      <w:pPr>
        <w:jc w:val="both"/>
        <w:ind w:left="680" w:right="60" w:firstLine="599"/>
        <w:spacing w:after="0" w:line="256" w:lineRule="auto"/>
        <w:rPr>
          <w:sz w:val="20"/>
          <w:szCs w:val="20"/>
          <w:color w:val="auto"/>
        </w:rPr>
      </w:pPr>
      <w:r>
        <w:rPr>
          <w:rFonts w:ascii="Arial" w:cs="Arial" w:eastAsia="Arial" w:hAnsi="Arial"/>
          <w:sz w:val="14"/>
          <w:szCs w:val="14"/>
          <w:color w:val="auto"/>
        </w:rPr>
        <w:t>Stock-based compensation awards, warrants to purchase common stock of M&amp;T and preferred stock convertible into shares of M&amp;T common stock representing approximately 11,231,000, 15,040,000 and 10,082,000 common shares during 2010, 2009 and 2008, respectively, were not included in the computations of diluted earnings per common share because the effect on those years would be antidilutive.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Comprehensive income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table displays the components of other comprehensive income:</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w w:val="96"/>
              </w:rPr>
              <w:t>Before-tax</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38"/>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50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Amount</w:t>
            </w:r>
          </w:p>
        </w:tc>
        <w:tc>
          <w:tcPr>
            <w:tcW w:w="2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(In</w:t>
            </w:r>
          </w:p>
        </w:tc>
        <w:tc>
          <w:tcPr>
            <w:tcW w:w="80" w:type="dxa"/>
            <w:vAlign w:val="bottom"/>
          </w:tcPr>
          <w:p>
            <w:pPr>
              <w:spacing w:after="0"/>
              <w:rPr>
                <w:sz w:val="10"/>
                <w:szCs w:val="10"/>
                <w:color w:val="auto"/>
              </w:rPr>
            </w:pPr>
          </w:p>
        </w:tc>
        <w:tc>
          <w:tcPr>
            <w:tcW w:w="720" w:type="dxa"/>
            <w:vAlign w:val="bottom"/>
            <w:gridSpan w:val="2"/>
          </w:tcPr>
          <w:p>
            <w:pPr>
              <w:jc w:val="right"/>
              <w:ind w:right="378"/>
              <w:spacing w:after="0"/>
              <w:rPr>
                <w:sz w:val="20"/>
                <w:szCs w:val="20"/>
                <w:color w:val="auto"/>
              </w:rPr>
            </w:pPr>
            <w:r>
              <w:rPr>
                <w:rFonts w:ascii="Arial" w:cs="Arial" w:eastAsia="Arial" w:hAnsi="Arial"/>
                <w:sz w:val="10"/>
                <w:szCs w:val="10"/>
                <w:b w:val="1"/>
                <w:bCs w:val="1"/>
                <w:color w:val="auto"/>
                <w:w w:val="98"/>
              </w:rPr>
              <w:t>Taxes</w:t>
            </w: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8"/>
              </w:rPr>
              <w:t>thousands)</w:t>
            </w: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600" w:type="dxa"/>
            <w:vAlign w:val="bottom"/>
            <w:shd w:val="clear" w:color="auto" w:fill="CCEEFF"/>
          </w:tcPr>
          <w:p>
            <w:pPr>
              <w:spacing w:after="0"/>
              <w:rPr>
                <w:sz w:val="20"/>
                <w:szCs w:val="20"/>
                <w:color w:val="auto"/>
              </w:rPr>
            </w:pPr>
            <w:r>
              <w:rPr>
                <w:rFonts w:ascii="Arial" w:cs="Arial" w:eastAsia="Arial" w:hAnsi="Arial"/>
                <w:sz w:val="10"/>
                <w:szCs w:val="10"/>
                <w:color w:val="auto"/>
              </w:rPr>
              <w:t>For the year ended December 31, 2010</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Unrealized gains (losses) on investment securities: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Available-for-sale (“AFS”) investment securities with other-than-temporary impairment (“OTTI”):</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Securities with OTTI charges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(104,039)</w:t>
            </w:r>
          </w:p>
        </w:tc>
        <w:tc>
          <w:tcPr>
            <w:tcW w:w="3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40,566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(63,473)</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OTTI charges recognized in net income</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(81,199)</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58"/>
              <w:spacing w:after="0" w:line="108" w:lineRule="exact"/>
              <w:rPr>
                <w:sz w:val="20"/>
                <w:szCs w:val="20"/>
                <w:color w:val="auto"/>
              </w:rPr>
            </w:pPr>
            <w:r>
              <w:rPr>
                <w:rFonts w:ascii="Arial" w:cs="Arial" w:eastAsia="Arial" w:hAnsi="Arial"/>
                <w:sz w:val="10"/>
                <w:szCs w:val="10"/>
                <w:color w:val="auto"/>
              </w:rPr>
              <w:t>31,552</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(49,647)</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Net unrealized losses on investment securities with OTTI</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(22,840)</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9,014</w:t>
            </w: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(13,826)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AFS investment securities — all other:</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Unrealized holding gains</w:t>
            </w:r>
          </w:p>
        </w:tc>
        <w:tc>
          <w:tcPr>
            <w:tcW w:w="100" w:type="dxa"/>
            <w:vAlign w:val="bottom"/>
          </w:tcPr>
          <w:p>
            <w:pPr>
              <w:spacing w:after="0"/>
              <w:rPr>
                <w:sz w:val="9"/>
                <w:szCs w:val="9"/>
                <w:color w:val="auto"/>
              </w:rPr>
            </w:pPr>
          </w:p>
        </w:tc>
        <w:tc>
          <w:tcPr>
            <w:tcW w:w="6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132,128</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18"/>
              <w:spacing w:after="0" w:line="108" w:lineRule="exact"/>
              <w:rPr>
                <w:sz w:val="20"/>
                <w:szCs w:val="20"/>
                <w:color w:val="auto"/>
              </w:rPr>
            </w:pPr>
            <w:r>
              <w:rPr>
                <w:rFonts w:ascii="Arial" w:cs="Arial" w:eastAsia="Arial" w:hAnsi="Arial"/>
                <w:sz w:val="10"/>
                <w:szCs w:val="10"/>
                <w:color w:val="auto"/>
              </w:rPr>
              <w:t>(51,624)</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80,504</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reclassification adjustment for gains realized in net income</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1,581</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(610)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971</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Less: securities with OTTI charges</w:t>
            </w:r>
          </w:p>
        </w:tc>
        <w:tc>
          <w:tcPr>
            <w:tcW w:w="100" w:type="dxa"/>
            <w:vAlign w:val="bottom"/>
          </w:tcPr>
          <w:p>
            <w:pPr>
              <w:spacing w:after="0"/>
              <w:rPr>
                <w:sz w:val="9"/>
                <w:szCs w:val="9"/>
                <w:color w:val="auto"/>
              </w:rPr>
            </w:pP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(104,039)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40,566</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(63,473)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234,586</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(91,580)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143,006</w:t>
            </w:r>
          </w:p>
        </w:tc>
        <w:tc>
          <w:tcPr>
            <w:tcW w:w="0" w:type="dxa"/>
            <w:vAlign w:val="bottom"/>
          </w:tcPr>
          <w:p>
            <w:pPr>
              <w:spacing w:after="0"/>
              <w:rPr>
                <w:sz w:val="1"/>
                <w:szCs w:val="1"/>
                <w:color w:val="auto"/>
              </w:rPr>
            </w:pPr>
          </w:p>
        </w:tc>
      </w:tr>
      <w:tr>
        <w:trPr>
          <w:trHeight w:val="95"/>
        </w:trPr>
        <w:tc>
          <w:tcPr>
            <w:tcW w:w="7600" w:type="dxa"/>
            <w:vAlign w:val="bottom"/>
          </w:tcPr>
          <w:p>
            <w:pPr>
              <w:spacing w:after="0" w:line="95" w:lineRule="exact"/>
              <w:rPr>
                <w:sz w:val="20"/>
                <w:szCs w:val="20"/>
                <w:color w:val="auto"/>
              </w:rPr>
            </w:pPr>
            <w:r>
              <w:rPr>
                <w:rFonts w:ascii="Arial" w:cs="Arial" w:eastAsia="Arial" w:hAnsi="Arial"/>
                <w:sz w:val="10"/>
                <w:szCs w:val="10"/>
                <w:color w:val="auto"/>
              </w:rPr>
              <w:t>Held-to-maturity (“HTM”) investment securities previously transferred</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0" w:type="dxa"/>
            <w:vAlign w:val="bottom"/>
          </w:tcPr>
          <w:p>
            <w:pPr>
              <w:ind w:left="120"/>
              <w:spacing w:after="0"/>
              <w:rPr>
                <w:sz w:val="20"/>
                <w:szCs w:val="20"/>
                <w:color w:val="auto"/>
              </w:rPr>
            </w:pPr>
            <w:r>
              <w:rPr>
                <w:rFonts w:ascii="Arial" w:cs="Arial" w:eastAsia="Arial" w:hAnsi="Arial"/>
                <w:sz w:val="10"/>
                <w:szCs w:val="10"/>
                <w:color w:val="auto"/>
              </w:rPr>
              <w:t>from AFS to HTM with OTTI:</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Securities with OTTI charges</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(11,908)</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58"/>
              <w:spacing w:after="0" w:line="108" w:lineRule="exact"/>
              <w:rPr>
                <w:sz w:val="20"/>
                <w:szCs w:val="20"/>
                <w:color w:val="auto"/>
              </w:rPr>
            </w:pPr>
            <w:r>
              <w:rPr>
                <w:rFonts w:ascii="Arial" w:cs="Arial" w:eastAsia="Arial" w:hAnsi="Arial"/>
                <w:sz w:val="10"/>
                <w:szCs w:val="10"/>
                <w:color w:val="auto"/>
              </w:rPr>
              <w:t>4,674</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(7,234)</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Less: Impairment previously reflected in other comprehensive income</w:t>
            </w:r>
          </w:p>
        </w:tc>
        <w:tc>
          <w:tcPr>
            <w:tcW w:w="100" w:type="dxa"/>
            <w:vAlign w:val="bottom"/>
          </w:tcPr>
          <w:p>
            <w:pPr>
              <w:spacing w:after="0"/>
              <w:rPr>
                <w:sz w:val="9"/>
                <w:szCs w:val="9"/>
                <w:color w:val="auto"/>
              </w:rPr>
            </w:pP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(7,984)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3,134</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(4,850)</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OTTI charges recognized in net income</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(5,082)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58"/>
              <w:spacing w:after="0" w:line="108" w:lineRule="exact"/>
              <w:rPr>
                <w:sz w:val="20"/>
                <w:szCs w:val="20"/>
                <w:color w:val="auto"/>
              </w:rPr>
            </w:pPr>
            <w:r>
              <w:rPr>
                <w:rFonts w:ascii="Arial" w:cs="Arial" w:eastAsia="Arial" w:hAnsi="Arial"/>
                <w:sz w:val="10"/>
                <w:szCs w:val="10"/>
                <w:color w:val="auto"/>
              </w:rPr>
              <w:t>1,995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(3,087)</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Net change for investment securities with OTTI</w:t>
            </w:r>
          </w:p>
        </w:tc>
        <w:tc>
          <w:tcPr>
            <w:tcW w:w="1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1,158</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(455)</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6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Reclassification to income of unrealized holding losses on investment securities previously</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transferred from AFS to HTM</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8,264</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18"/>
              <w:spacing w:after="0"/>
              <w:rPr>
                <w:sz w:val="20"/>
                <w:szCs w:val="20"/>
                <w:color w:val="auto"/>
              </w:rPr>
            </w:pPr>
            <w:r>
              <w:rPr>
                <w:rFonts w:ascii="Arial" w:cs="Arial" w:eastAsia="Arial" w:hAnsi="Arial"/>
                <w:sz w:val="10"/>
                <w:szCs w:val="10"/>
                <w:color w:val="auto"/>
              </w:rPr>
              <w:t>(3,243)</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5,021</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9,422</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(3,698)</w:t>
            </w: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5,724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unrealized gains on investment securities</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221,168</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(86,264)</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134,904</w:t>
            </w: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Reclassification to income for amortization of gains on terminated cash flow hedges</w:t>
            </w:r>
          </w:p>
        </w:tc>
        <w:tc>
          <w:tcPr>
            <w:tcW w:w="100" w:type="dxa"/>
            <w:vAlign w:val="bottom"/>
          </w:tcPr>
          <w:p>
            <w:pPr>
              <w:spacing w:after="0"/>
              <w:rPr>
                <w:sz w:val="9"/>
                <w:szCs w:val="9"/>
                <w:color w:val="auto"/>
              </w:rPr>
            </w:pP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(448)</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167</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(281)</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Defined benefit plans liability adjustment</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(6,331)</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58"/>
              <w:spacing w:after="0" w:line="108" w:lineRule="exact"/>
              <w:rPr>
                <w:sz w:val="20"/>
                <w:szCs w:val="20"/>
                <w:color w:val="auto"/>
              </w:rPr>
            </w:pPr>
            <w:r>
              <w:rPr>
                <w:rFonts w:ascii="Arial" w:cs="Arial" w:eastAsia="Arial" w:hAnsi="Arial"/>
                <w:sz w:val="10"/>
                <w:szCs w:val="10"/>
                <w:color w:val="auto"/>
              </w:rPr>
              <w:t>2,485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(3,846)</w:t>
            </w:r>
          </w:p>
        </w:tc>
        <w:tc>
          <w:tcPr>
            <w:tcW w:w="0" w:type="dxa"/>
            <w:vAlign w:val="bottom"/>
          </w:tcPr>
          <w:p>
            <w:pPr>
              <w:spacing w:after="0"/>
              <w:rPr>
                <w:sz w:val="1"/>
                <w:szCs w:val="1"/>
                <w:color w:val="auto"/>
              </w:rPr>
            </w:pPr>
          </w:p>
        </w:tc>
      </w:tr>
      <w:tr>
        <w:trPr>
          <w:trHeight w:val="122"/>
        </w:trPr>
        <w:tc>
          <w:tcPr>
            <w:tcW w:w="76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214,389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(83,612</w:t>
            </w:r>
          </w:p>
        </w:tc>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130,777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6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For the year ended December 31, 2009</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Unrealized gains (losses) on investment securities: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AFS investment securities with OTTI:</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Securities with OTTI charges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(264,363)</w:t>
            </w:r>
          </w:p>
        </w:tc>
        <w:tc>
          <w:tcPr>
            <w:tcW w:w="30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103,409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w w:val="98"/>
              </w:rPr>
              <w:t>(160,954)</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OTTI charges recognized in net income</w:t>
            </w:r>
          </w:p>
        </w:tc>
        <w:tc>
          <w:tcPr>
            <w:tcW w:w="10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(138,297)</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58"/>
              <w:spacing w:after="0" w:line="108" w:lineRule="exact"/>
              <w:rPr>
                <w:sz w:val="20"/>
                <w:szCs w:val="20"/>
                <w:color w:val="auto"/>
              </w:rPr>
            </w:pPr>
            <w:r>
              <w:rPr>
                <w:rFonts w:ascii="Arial" w:cs="Arial" w:eastAsia="Arial" w:hAnsi="Arial"/>
                <w:sz w:val="10"/>
                <w:szCs w:val="10"/>
                <w:color w:val="auto"/>
              </w:rPr>
              <w:t>54,115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(84,182)</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Net unrealized losses on investment securities with OTTI</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(126,066)</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49,294</w:t>
            </w: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(76,772)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AFS investment securities — all other:</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Unrealized holding gains</w:t>
            </w:r>
          </w:p>
        </w:tc>
        <w:tc>
          <w:tcPr>
            <w:tcW w:w="100" w:type="dxa"/>
            <w:vAlign w:val="bottom"/>
          </w:tcPr>
          <w:p>
            <w:pPr>
              <w:spacing w:after="0"/>
              <w:rPr>
                <w:sz w:val="9"/>
                <w:szCs w:val="9"/>
                <w:color w:val="auto"/>
              </w:rPr>
            </w:pPr>
          </w:p>
        </w:tc>
        <w:tc>
          <w:tcPr>
            <w:tcW w:w="6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375,733</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18"/>
              <w:spacing w:after="0" w:line="108" w:lineRule="exact"/>
              <w:rPr>
                <w:sz w:val="20"/>
                <w:szCs w:val="20"/>
                <w:color w:val="auto"/>
              </w:rPr>
            </w:pPr>
            <w:r>
              <w:rPr>
                <w:rFonts w:ascii="Arial" w:cs="Arial" w:eastAsia="Arial" w:hAnsi="Arial"/>
                <w:sz w:val="10"/>
                <w:szCs w:val="10"/>
                <w:color w:val="auto"/>
              </w:rPr>
              <w:t>(144,228)</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231,505</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reclassification adjustment for gains realized in net income</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219</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Less: securities with OTTI charges</w:t>
            </w:r>
          </w:p>
        </w:tc>
        <w:tc>
          <w:tcPr>
            <w:tcW w:w="100" w:type="dxa"/>
            <w:vAlign w:val="bottom"/>
          </w:tcPr>
          <w:p>
            <w:pPr>
              <w:spacing w:after="0"/>
              <w:rPr>
                <w:sz w:val="9"/>
                <w:szCs w:val="9"/>
                <w:color w:val="auto"/>
              </w:rPr>
            </w:pPr>
          </w:p>
        </w:tc>
        <w:tc>
          <w:tcPr>
            <w:tcW w:w="68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(264,363)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103,409</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w w:val="98"/>
              </w:rPr>
              <w:t>(160,954)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639,877</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(247,552)</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392,325</w:t>
            </w: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Reclassification to income of unrealized holding losses on investment securities previously transferred from AFS to HTM</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14,027</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58"/>
              <w:spacing w:after="0" w:line="108" w:lineRule="exact"/>
              <w:rPr>
                <w:sz w:val="20"/>
                <w:szCs w:val="20"/>
                <w:color w:val="auto"/>
              </w:rPr>
            </w:pPr>
            <w:r>
              <w:rPr>
                <w:rFonts w:ascii="Arial" w:cs="Arial" w:eastAsia="Arial" w:hAnsi="Arial"/>
                <w:sz w:val="10"/>
                <w:szCs w:val="10"/>
                <w:color w:val="auto"/>
              </w:rPr>
              <w:t>7,463</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21,490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unrealized gains on investment securities</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527,838</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(190,795)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337,043</w:t>
            </w: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Reclassification to income for amortization of losses on terminated cash flow hedges</w:t>
            </w:r>
          </w:p>
        </w:tc>
        <w:tc>
          <w:tcPr>
            <w:tcW w:w="100" w:type="dxa"/>
            <w:vAlign w:val="bottom"/>
          </w:tcPr>
          <w:p>
            <w:pPr>
              <w:spacing w:after="0"/>
              <w:rPr>
                <w:sz w:val="9"/>
                <w:szCs w:val="9"/>
                <w:color w:val="auto"/>
              </w:rPr>
            </w:pPr>
          </w:p>
        </w:tc>
        <w:tc>
          <w:tcPr>
            <w:tcW w:w="6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10,761</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18"/>
              <w:spacing w:after="0" w:line="108" w:lineRule="exact"/>
              <w:rPr>
                <w:sz w:val="20"/>
                <w:szCs w:val="20"/>
                <w:color w:val="auto"/>
              </w:rPr>
            </w:pPr>
            <w:r>
              <w:rPr>
                <w:rFonts w:ascii="Arial" w:cs="Arial" w:eastAsia="Arial" w:hAnsi="Arial"/>
                <w:sz w:val="10"/>
                <w:szCs w:val="10"/>
                <w:color w:val="auto"/>
              </w:rPr>
              <w:t>(4,204)</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6,557</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Defined benefit plans liability adjustment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93,823</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18"/>
              <w:spacing w:after="0" w:line="108" w:lineRule="exact"/>
              <w:rPr>
                <w:sz w:val="20"/>
                <w:szCs w:val="20"/>
                <w:color w:val="auto"/>
              </w:rPr>
            </w:pPr>
            <w:r>
              <w:rPr>
                <w:rFonts w:ascii="Arial" w:cs="Arial" w:eastAsia="Arial" w:hAnsi="Arial"/>
                <w:sz w:val="10"/>
                <w:szCs w:val="10"/>
                <w:color w:val="auto"/>
              </w:rPr>
              <w:t>(36,539)</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57,284</w:t>
            </w: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632,422</w:t>
            </w: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(231,538</w:t>
            </w:r>
          </w:p>
        </w:tc>
        <w:tc>
          <w:tcPr>
            <w:tcW w:w="300" w:type="dxa"/>
            <w:vAlign w:val="bottom"/>
          </w:tcPr>
          <w:p>
            <w:pPr>
              <w:jc w:val="right"/>
              <w:ind w:right="2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400,884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6"/>
              </w:rPr>
              <w:t>Before-tax</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50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Amount</w:t>
            </w:r>
          </w:p>
        </w:tc>
        <w:tc>
          <w:tcPr>
            <w:tcW w:w="2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(In</w:t>
            </w:r>
          </w:p>
        </w:tc>
        <w:tc>
          <w:tcPr>
            <w:tcW w:w="80" w:type="dxa"/>
            <w:vAlign w:val="bottom"/>
          </w:tcPr>
          <w:p>
            <w:pPr>
              <w:spacing w:after="0"/>
              <w:rPr>
                <w:sz w:val="10"/>
                <w:szCs w:val="10"/>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8"/>
              </w:rPr>
              <w:t>Taxes</w:t>
            </w: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8"/>
              </w:rPr>
              <w:t>thousands)</w:t>
            </w: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600" w:type="dxa"/>
            <w:vAlign w:val="bottom"/>
            <w:shd w:val="clear" w:color="auto" w:fill="CCEEFF"/>
          </w:tcPr>
          <w:p>
            <w:pPr>
              <w:spacing w:after="0"/>
              <w:rPr>
                <w:sz w:val="20"/>
                <w:szCs w:val="20"/>
                <w:color w:val="auto"/>
              </w:rPr>
            </w:pPr>
            <w:r>
              <w:rPr>
                <w:rFonts w:ascii="Arial" w:cs="Arial" w:eastAsia="Arial" w:hAnsi="Arial"/>
                <w:sz w:val="10"/>
                <w:szCs w:val="10"/>
                <w:color w:val="auto"/>
              </w:rPr>
              <w:t>For the year ended December 31, 2008</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Unrealized losses on AFS investment securities: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holding losses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(1,001,417)</w:t>
            </w:r>
          </w:p>
        </w:tc>
        <w:tc>
          <w:tcPr>
            <w:tcW w:w="3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331,461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8"/>
              </w:rPr>
              <w:t>(669,956)</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Add: transfer of investment securities from AFS to HTM</w:t>
            </w:r>
          </w:p>
        </w:tc>
        <w:tc>
          <w:tcPr>
            <w:tcW w:w="100" w:type="dxa"/>
            <w:vAlign w:val="bottom"/>
          </w:tcPr>
          <w:p>
            <w:pPr>
              <w:spacing w:after="0"/>
              <w:rPr>
                <w:sz w:val="9"/>
                <w:szCs w:val="9"/>
                <w:color w:val="auto"/>
              </w:rPr>
            </w:pPr>
          </w:p>
        </w:tc>
        <w:tc>
          <w:tcPr>
            <w:tcW w:w="6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86,943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(20,972)</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65,971</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Less: reclassification adjustment for losses recognized in net income</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(180,274)</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10,863</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8"/>
              </w:rPr>
              <w:t>(169,411)</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(734,200)</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299,626</w:t>
            </w: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88"/>
              </w:rPr>
              <w:t>(434,574)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Unrealized holding losses on investment securities transferred from AFS to HTM:</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Unrealized holding losses transferred</w:t>
            </w:r>
          </w:p>
        </w:tc>
        <w:tc>
          <w:tcPr>
            <w:tcW w:w="10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(86,943)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20,972</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(65,971)</w:t>
            </w: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Reclassification to income of unrealized holding losses</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5,101</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(1,818)</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3,283</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(81,842)</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19,154</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(62,688)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unrealized losses on investment securities</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(816,042)</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318,780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8"/>
              </w:rPr>
              <w:t>(497,262)</w:t>
            </w: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Cash flow hedges: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losses on terminated cash flow hedges</w:t>
            </w: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(20,225)</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7,887</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(12,338)</w:t>
            </w:r>
          </w:p>
        </w:tc>
        <w:tc>
          <w:tcPr>
            <w:tcW w:w="0" w:type="dxa"/>
            <w:vAlign w:val="bottom"/>
          </w:tcPr>
          <w:p>
            <w:pPr>
              <w:spacing w:after="0"/>
              <w:rPr>
                <w:sz w:val="1"/>
                <w:szCs w:val="1"/>
                <w:color w:val="auto"/>
              </w:rPr>
            </w:pPr>
          </w:p>
        </w:tc>
      </w:tr>
      <w:tr>
        <w:trPr>
          <w:trHeight w:val="108"/>
        </w:trPr>
        <w:tc>
          <w:tcPr>
            <w:tcW w:w="76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to income for amortization of losses on terminated cash flow hedges</w:t>
            </w:r>
          </w:p>
        </w:tc>
        <w:tc>
          <w:tcPr>
            <w:tcW w:w="10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25,234</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(9,848)</w:t>
            </w: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15,386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5,009</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(1,961)</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3,048</w:t>
            </w:r>
          </w:p>
        </w:tc>
        <w:tc>
          <w:tcPr>
            <w:tcW w:w="0" w:type="dxa"/>
            <w:vAlign w:val="bottom"/>
          </w:tcPr>
          <w:p>
            <w:pPr>
              <w:spacing w:after="0"/>
              <w:rPr>
                <w:sz w:val="1"/>
                <w:szCs w:val="1"/>
                <w:color w:val="auto"/>
              </w:rPr>
            </w:pPr>
          </w:p>
        </w:tc>
      </w:tr>
      <w:tr>
        <w:trPr>
          <w:trHeight w:val="108"/>
        </w:trPr>
        <w:tc>
          <w:tcPr>
            <w:tcW w:w="7600" w:type="dxa"/>
            <w:vAlign w:val="bottom"/>
          </w:tcPr>
          <w:p>
            <w:pPr>
              <w:spacing w:after="0" w:line="108" w:lineRule="exact"/>
              <w:rPr>
                <w:sz w:val="20"/>
                <w:szCs w:val="20"/>
                <w:color w:val="auto"/>
              </w:rPr>
            </w:pPr>
            <w:r>
              <w:rPr>
                <w:rFonts w:ascii="Arial" w:cs="Arial" w:eastAsia="Arial" w:hAnsi="Arial"/>
                <w:sz w:val="10"/>
                <w:szCs w:val="10"/>
                <w:color w:val="auto"/>
              </w:rPr>
              <w:t>Defined benefit plans liability adjustment</w:t>
            </w:r>
          </w:p>
        </w:tc>
        <w:tc>
          <w:tcPr>
            <w:tcW w:w="10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(210,161)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82,316</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w w:val="98"/>
              </w:rPr>
              <w:t>(127,845)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(1,021,194)</w:t>
            </w:r>
          </w:p>
        </w:tc>
        <w:tc>
          <w:tcPr>
            <w:tcW w:w="30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399,135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8"/>
              </w:rPr>
              <w:t>(622,059)</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1220" w:firstLine="599"/>
        <w:spacing w:after="0" w:line="258" w:lineRule="auto"/>
        <w:rPr>
          <w:sz w:val="20"/>
          <w:szCs w:val="20"/>
          <w:color w:val="auto"/>
        </w:rPr>
      </w:pPr>
      <w:r>
        <w:rPr>
          <w:rFonts w:ascii="Arial" w:cs="Arial" w:eastAsia="Arial" w:hAnsi="Arial"/>
          <w:sz w:val="14"/>
          <w:szCs w:val="14"/>
          <w:color w:val="auto"/>
        </w:rPr>
        <w:t>During the third quarter of 2008 the Company transferred private collateralized mortgage obligations having a fair value of $298 million and a cost basis of $385 million from its available-for-sale investment securities portfolio to the held-to-maturity portfolio.</w:t>
      </w:r>
    </w:p>
    <w:p>
      <w:pPr>
        <w:ind w:left="1280"/>
        <w:spacing w:after="0"/>
        <w:rPr>
          <w:sz w:val="20"/>
          <w:szCs w:val="20"/>
          <w:color w:val="auto"/>
        </w:rPr>
      </w:pPr>
      <w:r>
        <w:rPr>
          <w:rFonts w:ascii="Arial" w:cs="Arial" w:eastAsia="Arial" w:hAnsi="Arial"/>
          <w:sz w:val="14"/>
          <w:szCs w:val="14"/>
          <w:color w:val="auto"/>
        </w:rPr>
        <w:t>Accumulated other comprehensive income (loss), net consisted of unrealized gains (losses)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Investment</w:t>
            </w: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All Other</w:t>
            </w:r>
          </w:p>
        </w:tc>
        <w:tc>
          <w:tcPr>
            <w:tcW w:w="300" w:type="dxa"/>
            <w:vAlign w:val="bottom"/>
          </w:tcPr>
          <w:p>
            <w:pPr>
              <w:spacing w:after="0"/>
              <w:rPr>
                <w:sz w:val="10"/>
                <w:szCs w:val="10"/>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Cash</w:t>
            </w:r>
          </w:p>
        </w:tc>
        <w:tc>
          <w:tcPr>
            <w:tcW w:w="120" w:type="dxa"/>
            <w:vAlign w:val="bottom"/>
          </w:tcPr>
          <w:p>
            <w:pPr>
              <w:spacing w:after="0"/>
              <w:rPr>
                <w:sz w:val="10"/>
                <w:szCs w:val="10"/>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Defined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7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Investment</w:t>
            </w:r>
          </w:p>
        </w:tc>
        <w:tc>
          <w:tcPr>
            <w:tcW w:w="300" w:type="dxa"/>
            <w:vAlign w:val="bottom"/>
          </w:tcPr>
          <w:p>
            <w:pPr>
              <w:spacing w:after="0"/>
              <w:rPr>
                <w:sz w:val="9"/>
                <w:szCs w:val="9"/>
                <w:color w:val="auto"/>
              </w:rPr>
            </w:pPr>
          </w:p>
        </w:tc>
        <w:tc>
          <w:tcPr>
            <w:tcW w:w="8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Flow</w:t>
            </w:r>
          </w:p>
        </w:tc>
        <w:tc>
          <w:tcPr>
            <w:tcW w:w="120" w:type="dxa"/>
            <w:vAlign w:val="bottom"/>
          </w:tcPr>
          <w:p>
            <w:pPr>
              <w:spacing w:after="0"/>
              <w:rPr>
                <w:sz w:val="9"/>
                <w:szCs w:val="9"/>
                <w:color w:val="auto"/>
              </w:rPr>
            </w:pPr>
          </w:p>
        </w:tc>
        <w:tc>
          <w:tcPr>
            <w:tcW w:w="9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Benefit</w:t>
            </w:r>
          </w:p>
        </w:tc>
        <w:tc>
          <w:tcPr>
            <w:tcW w:w="140" w:type="dxa"/>
            <w:vAlign w:val="bottom"/>
          </w:tcPr>
          <w:p>
            <w:pPr>
              <w:spacing w:after="0"/>
              <w:rPr>
                <w:sz w:val="9"/>
                <w:szCs w:val="9"/>
                <w:color w:val="auto"/>
              </w:rPr>
            </w:pPr>
          </w:p>
        </w:tc>
        <w:tc>
          <w:tcPr>
            <w:tcW w:w="1440" w:type="dxa"/>
            <w:vAlign w:val="bottom"/>
            <w:gridSpan w:val="3"/>
            <w:vMerge w:val="restart"/>
          </w:tcPr>
          <w:p>
            <w:pPr>
              <w:jc w:val="right"/>
              <w:ind w:right="1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With OTTI</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Securities</w:t>
            </w:r>
          </w:p>
        </w:tc>
        <w:tc>
          <w:tcPr>
            <w:tcW w:w="3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(In</w:t>
            </w:r>
          </w:p>
        </w:tc>
        <w:tc>
          <w:tcPr>
            <w:tcW w:w="8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8"/>
              </w:rPr>
              <w:t>Hedges</w:t>
            </w:r>
          </w:p>
        </w:tc>
        <w:tc>
          <w:tcPr>
            <w:tcW w:w="120" w:type="dxa"/>
            <w:vAlign w:val="bottom"/>
          </w:tcPr>
          <w:p>
            <w:pPr>
              <w:spacing w:after="0"/>
              <w:rPr>
                <w:sz w:val="10"/>
                <w:szCs w:val="10"/>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Plans</w:t>
            </w:r>
          </w:p>
        </w:tc>
        <w:tc>
          <w:tcPr>
            <w:tcW w:w="1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4"/>
              </w:rPr>
              <w:t>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(59,406)</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(46,485)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(114,822)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tcPr>
          <w:p>
            <w:pPr>
              <w:spacing w:after="0"/>
              <w:rPr>
                <w:sz w:val="20"/>
                <w:szCs w:val="20"/>
                <w:color w:val="auto"/>
              </w:rPr>
            </w:pPr>
            <w:r>
              <w:rPr>
                <w:rFonts w:ascii="Arial" w:cs="Arial" w:eastAsia="Arial" w:hAnsi="Arial"/>
                <w:sz w:val="13"/>
                <w:szCs w:val="13"/>
                <w:color w:val="auto"/>
              </w:rPr>
              <w:t>Net gain (loss) during 2008</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(497,262)</w:t>
            </w:r>
          </w:p>
        </w:tc>
        <w:tc>
          <w:tcPr>
            <w:tcW w:w="3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3,048</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(127,845)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(622,059)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(556,668)</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(5,883)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(174,330)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(736,881)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tcPr>
          <w:p>
            <w:pPr>
              <w:spacing w:after="0"/>
              <w:rPr>
                <w:sz w:val="20"/>
                <w:szCs w:val="20"/>
                <w:color w:val="auto"/>
              </w:rPr>
            </w:pPr>
            <w:r>
              <w:rPr>
                <w:rFonts w:ascii="Arial" w:cs="Arial" w:eastAsia="Arial" w:hAnsi="Arial"/>
                <w:sz w:val="13"/>
                <w:szCs w:val="13"/>
                <w:color w:val="auto"/>
              </w:rPr>
              <w:t>Net gain (loss) during 2009</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(76,772)</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413,815</w:t>
            </w:r>
          </w:p>
        </w:tc>
        <w:tc>
          <w:tcPr>
            <w:tcW w:w="30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6,557</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57,284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400,884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2009</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(76,772)</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(142,853)</w:t>
            </w:r>
          </w:p>
        </w:tc>
        <w:tc>
          <w:tcPr>
            <w:tcW w:w="3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(117,046)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(335,997)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tcPr>
          <w:p>
            <w:pPr>
              <w:spacing w:after="0"/>
              <w:rPr>
                <w:sz w:val="20"/>
                <w:szCs w:val="20"/>
                <w:color w:val="auto"/>
              </w:rPr>
            </w:pPr>
            <w:r>
              <w:rPr>
                <w:rFonts w:ascii="Arial" w:cs="Arial" w:eastAsia="Arial" w:hAnsi="Arial"/>
                <w:sz w:val="13"/>
                <w:szCs w:val="13"/>
                <w:color w:val="auto"/>
              </w:rPr>
              <w:t>Net gain (loss) during 2010</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(10,281)</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145,185</w:t>
            </w:r>
          </w:p>
        </w:tc>
        <w:tc>
          <w:tcPr>
            <w:tcW w:w="3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(3,846)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130,777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(87,053)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2,332</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(120,892)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(205,220)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6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71"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Other income and other expense</w:t>
      </w:r>
    </w:p>
    <w:p>
      <w:pPr>
        <w:spacing w:after="0" w:line="22" w:lineRule="exact"/>
        <w:rPr>
          <w:sz w:val="20"/>
          <w:szCs w:val="20"/>
          <w:color w:val="auto"/>
        </w:rPr>
      </w:pPr>
    </w:p>
    <w:p>
      <w:pPr>
        <w:ind w:left="680" w:right="280"/>
        <w:spacing w:after="0" w:line="263" w:lineRule="auto"/>
        <w:rPr>
          <w:sz w:val="20"/>
          <w:szCs w:val="20"/>
          <w:color w:val="auto"/>
        </w:rPr>
      </w:pPr>
      <w:r>
        <w:rPr>
          <w:rFonts w:ascii="Arial" w:cs="Arial" w:eastAsia="Arial" w:hAnsi="Arial"/>
          <w:sz w:val="14"/>
          <w:szCs w:val="14"/>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131"/>
        </w:trPr>
        <w:tc>
          <w:tcPr>
            <w:tcW w:w="7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Bank owned life insurance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50,483</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   49,152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   49,006</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Credit-related fee income</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62,294</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56,150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55,293</w:t>
            </w: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Letter of credit fees</w:t>
            </w: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49,762</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44,005</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Professional services</w:t>
            </w: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128,629</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117,523</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112,632</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capitalized servicing rights</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56,582</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62,268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65,722</w:t>
            </w: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Advertising and promotion</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41,869</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39,364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64"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Net assets identified with international activities amounted to $112,851,000 and $61,849,000 at December 31, 2010 and 2009, respectively. Such assets included $107,310,000 and $55,336,000, respectively, of loans to foreign borrowers. Deposits at M&amp;T Bank’s Cayman Islands office were $1,605,916,000 and $1,050,438,000 at December 31, 2010 and 2009, respectively. The Company uses such deposits to facilitate customer demand and as an alternative to short-term borrowings when the costs of such deposits seem reasonable.</w:t>
      </w:r>
    </w:p>
    <w:p>
      <w:pPr>
        <w:spacing w:after="0" w:line="127"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22" w:lineRule="exact"/>
        <w:rPr>
          <w:sz w:val="20"/>
          <w:szCs w:val="20"/>
          <w:color w:val="auto"/>
        </w:rPr>
      </w:pPr>
    </w:p>
    <w:p>
      <w:pPr>
        <w:ind w:left="680" w:right="160"/>
        <w:spacing w:after="0" w:line="268" w:lineRule="auto"/>
        <w:rPr>
          <w:sz w:val="20"/>
          <w:szCs w:val="20"/>
          <w:color w:val="auto"/>
        </w:rPr>
      </w:pPr>
      <w:r>
        <w:rPr>
          <w:rFonts w:ascii="Arial" w:cs="Arial" w:eastAsia="Arial" w:hAnsi="Arial"/>
          <w:sz w:val="13"/>
          <w:szCs w:val="13"/>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December 31, 2010.</w:t>
      </w:r>
    </w:p>
    <w:p>
      <w:pPr>
        <w:spacing w:after="0" w:line="1" w:lineRule="exact"/>
        <w:rPr>
          <w:sz w:val="20"/>
          <w:szCs w:val="20"/>
          <w:color w:val="auto"/>
        </w:rPr>
      </w:pPr>
    </w:p>
    <w:p>
      <w:pPr>
        <w:ind w:left="680" w:right="360" w:firstLine="599"/>
        <w:spacing w:after="0" w:line="256" w:lineRule="auto"/>
        <w:rPr>
          <w:sz w:val="20"/>
          <w:szCs w:val="20"/>
          <w:color w:val="auto"/>
        </w:rPr>
      </w:pPr>
      <w:r>
        <w:rPr>
          <w:rFonts w:ascii="Arial" w:cs="Arial" w:eastAsia="Arial" w:hAnsi="Arial"/>
          <w:sz w:val="14"/>
          <w:szCs w:val="14"/>
          <w:color w:val="auto"/>
        </w:rPr>
        <w:t>The net effect of interest rate swap agreements was to increase net interest income by $42 million in 2010, $38 million in 2009 and $16 million in 2008. The average notional amounts of interest rate swap agreements impacting net interest income that were entered into for interest rate risk management purposes were $1.01 billion in 2010, $1.08 billion in 2009 and $1.27 billion in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80" w:firstLine="599"/>
        <w:spacing w:after="0" w:line="280" w:lineRule="auto"/>
        <w:rPr>
          <w:sz w:val="20"/>
          <w:szCs w:val="20"/>
          <w:color w:val="auto"/>
        </w:rPr>
      </w:pPr>
      <w:r>
        <w:rPr>
          <w:rFonts w:ascii="Arial" w:cs="Arial" w:eastAsia="Arial" w:hAnsi="Arial"/>
          <w:sz w:val="14"/>
          <w:szCs w:val="14"/>
          <w:color w:val="auto"/>
        </w:rPr>
        <w:t>Information about interest rate swap agreements entered into for interest rate risk management purposes summarized by type of financial instrument the swap agreements were intended to hedge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4"/>
              </w:rPr>
              <w:t>Notional</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Average</w:t>
            </w:r>
          </w:p>
        </w:tc>
        <w:tc>
          <w:tcPr>
            <w:tcW w:w="1560" w:type="dxa"/>
            <w:vAlign w:val="bottom"/>
            <w:gridSpan w:val="4"/>
          </w:tcPr>
          <w:p>
            <w:pPr>
              <w:ind w:left="40"/>
              <w:spacing w:after="0"/>
              <w:rPr>
                <w:sz w:val="20"/>
                <w:szCs w:val="20"/>
                <w:color w:val="auto"/>
              </w:rPr>
            </w:pPr>
            <w:r>
              <w:rPr>
                <w:rFonts w:ascii="Arial" w:cs="Arial" w:eastAsia="Arial" w:hAnsi="Arial"/>
                <w:sz w:val="10"/>
                <w:szCs w:val="10"/>
                <w:b w:val="1"/>
                <w:bCs w:val="1"/>
                <w:color w:val="auto"/>
              </w:rPr>
              <w:t>Weighted-Average Rate</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Estimated Fair</w:t>
            </w:r>
          </w:p>
        </w:tc>
      </w:tr>
      <w:tr>
        <w:trPr>
          <w:trHeight w:val="98"/>
        </w:trPr>
        <w:tc>
          <w:tcPr>
            <w:tcW w:w="13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tcPr>
          <w:p>
            <w:pPr>
              <w:jc w:val="center"/>
              <w:ind w:right="480"/>
              <w:spacing w:after="0" w:line="98" w:lineRule="exact"/>
              <w:rPr>
                <w:sz w:val="20"/>
                <w:szCs w:val="20"/>
                <w:color w:val="auto"/>
              </w:rPr>
            </w:pPr>
            <w:r>
              <w:rPr>
                <w:rFonts w:ascii="Arial" w:cs="Arial" w:eastAsia="Arial" w:hAnsi="Arial"/>
                <w:sz w:val="10"/>
                <w:szCs w:val="10"/>
                <w:b w:val="1"/>
                <w:bCs w:val="1"/>
                <w:color w:val="auto"/>
                <w:w w:val="95"/>
              </w:rPr>
              <w:t>Amount</w:t>
            </w:r>
          </w:p>
        </w:tc>
        <w:tc>
          <w:tcPr>
            <w:tcW w:w="98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rPr>
              <w:t>Maturity</w:t>
            </w:r>
          </w:p>
        </w:tc>
        <w:tc>
          <w:tcPr>
            <w:tcW w:w="74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Fixed</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Variable</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6"/>
              </w:rPr>
              <w:t>Value Gain</w:t>
            </w:r>
          </w:p>
        </w:tc>
      </w:tr>
      <w:tr>
        <w:trPr>
          <w:trHeight w:val="131"/>
        </w:trPr>
        <w:tc>
          <w:tcPr>
            <w:tcW w:w="13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2"/>
              </w:rPr>
              <w:t>(In thousands)</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r>
      <w:tr>
        <w:trPr>
          <w:trHeight w:val="163"/>
        </w:trPr>
        <w:tc>
          <w:tcPr>
            <w:tcW w:w="5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160" w:type="dxa"/>
            <w:vAlign w:val="bottom"/>
            <w:gridSpan w:val="2"/>
          </w:tcPr>
          <w:p>
            <w:pPr>
              <w:spacing w:after="0"/>
              <w:rPr>
                <w:sz w:val="20"/>
                <w:szCs w:val="20"/>
                <w:color w:val="auto"/>
              </w:rPr>
            </w:pPr>
            <w:r>
              <w:rPr>
                <w:rFonts w:ascii="Arial" w:cs="Arial" w:eastAsia="Arial" w:hAnsi="Arial"/>
                <w:sz w:val="13"/>
                <w:szCs w:val="13"/>
                <w:color w:val="auto"/>
              </w:rPr>
              <w:t>Fair value hedges: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5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rate long-term borrowings(a)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900,000</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6.07%</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96,637</w:t>
            </w:r>
          </w:p>
        </w:tc>
      </w:tr>
      <w:tr>
        <w:trPr>
          <w:trHeight w:val="166"/>
        </w:trPr>
        <w:tc>
          <w:tcPr>
            <w:tcW w:w="5160" w:type="dxa"/>
            <w:vAlign w:val="bottom"/>
            <w:gridSpan w:val="2"/>
          </w:tcPr>
          <w:p>
            <w:pPr>
              <w:spacing w:after="0"/>
              <w:rPr>
                <w:sz w:val="20"/>
                <w:szCs w:val="20"/>
                <w:color w:val="auto"/>
              </w:rPr>
            </w:pPr>
            <w:r>
              <w:rPr>
                <w:rFonts w:ascii="Arial" w:cs="Arial" w:eastAsia="Arial" w:hAnsi="Arial"/>
                <w:sz w:val="13"/>
                <w:szCs w:val="13"/>
                <w:color w:val="auto"/>
              </w:rPr>
              <w:t>December 31, 2009</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 value hedges: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160" w:type="dxa"/>
            <w:vAlign w:val="bottom"/>
            <w:gridSpan w:val="2"/>
          </w:tcPr>
          <w:p>
            <w:pPr>
              <w:spacing w:after="0"/>
              <w:rPr>
                <w:sz w:val="20"/>
                <w:szCs w:val="20"/>
                <w:color w:val="auto"/>
              </w:rPr>
            </w:pPr>
            <w:r>
              <w:rPr>
                <w:rFonts w:ascii="Arial" w:cs="Arial" w:eastAsia="Arial" w:hAnsi="Arial"/>
                <w:sz w:val="13"/>
                <w:szCs w:val="13"/>
                <w:color w:val="auto"/>
              </w:rPr>
              <w:t>Fixed rate time deposits(a)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25,000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5.30%</w:t>
            </w:r>
          </w:p>
        </w:tc>
        <w:tc>
          <w:tcPr>
            <w:tcW w:w="820" w:type="dxa"/>
            <w:vAlign w:val="bottom"/>
            <w:gridSpan w:val="2"/>
          </w:tcPr>
          <w:p>
            <w:pPr>
              <w:ind w:left="180"/>
              <w:spacing w:after="0"/>
              <w:rPr>
                <w:sz w:val="20"/>
                <w:szCs w:val="20"/>
                <w:color w:val="auto"/>
              </w:rPr>
            </w:pPr>
            <w:r>
              <w:rPr>
                <w:rFonts w:ascii="Arial" w:cs="Arial" w:eastAsia="Arial" w:hAnsi="Arial"/>
                <w:sz w:val="13"/>
                <w:szCs w:val="13"/>
                <w:color w:val="auto"/>
              </w:rPr>
              <w:t>0.34%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503</w:t>
            </w:r>
          </w:p>
        </w:tc>
      </w:tr>
      <w:tr>
        <w:trPr>
          <w:trHeight w:val="157"/>
        </w:trPr>
        <w:tc>
          <w:tcPr>
            <w:tcW w:w="5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rate long-term borrowings(a)</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1,037,241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6.33</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53,983</w:t>
            </w:r>
          </w:p>
        </w:tc>
      </w:tr>
      <w:tr>
        <w:trPr>
          <w:trHeight w:val="20"/>
        </w:trPr>
        <w:tc>
          <w:tcPr>
            <w:tcW w:w="1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1,062,241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6.4</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6.30%</w:t>
            </w:r>
          </w:p>
        </w:tc>
        <w:tc>
          <w:tcPr>
            <w:tcW w:w="820" w:type="dxa"/>
            <w:vAlign w:val="bottom"/>
            <w:gridSpan w:val="2"/>
          </w:tcPr>
          <w:p>
            <w:pPr>
              <w:ind w:left="180"/>
              <w:spacing w:after="0"/>
              <w:rPr>
                <w:sz w:val="20"/>
                <w:szCs w:val="20"/>
                <w:color w:val="auto"/>
              </w:rPr>
            </w:pPr>
            <w:r>
              <w:rPr>
                <w:rFonts w:ascii="Arial" w:cs="Arial" w:eastAsia="Arial" w:hAnsi="Arial"/>
                <w:sz w:val="13"/>
                <w:szCs w:val="13"/>
                <w:color w:val="auto"/>
              </w:rPr>
              <w:t>2.07%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54,486</w:t>
            </w:r>
          </w:p>
        </w:tc>
      </w:tr>
      <w:tr>
        <w:trPr>
          <w:trHeight w:val="108"/>
        </w:trPr>
        <w:tc>
          <w:tcPr>
            <w:tcW w:w="130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i w:val="1"/>
          <w:iCs w:val="1"/>
          <w:color w:val="auto"/>
        </w:rPr>
        <w:t>(a)  Under the terms of these agreements, the Company receives settlement amounts at a fixed rate and pays at a variable rate.</w:t>
      </w:r>
    </w:p>
    <w:p>
      <w:pPr>
        <w:spacing w:after="0" w:line="92" w:lineRule="exact"/>
        <w:rPr>
          <w:sz w:val="20"/>
          <w:szCs w:val="20"/>
          <w:color w:val="auto"/>
        </w:rPr>
      </w:pPr>
    </w:p>
    <w:p>
      <w:pPr>
        <w:jc w:val="both"/>
        <w:ind w:left="680" w:right="160" w:firstLine="599"/>
        <w:spacing w:after="0" w:line="253" w:lineRule="auto"/>
        <w:rPr>
          <w:sz w:val="20"/>
          <w:szCs w:val="20"/>
          <w:color w:val="auto"/>
        </w:rPr>
      </w:pPr>
      <w:r>
        <w:rPr>
          <w:rFonts w:ascii="Arial" w:cs="Arial" w:eastAsia="Arial" w:hAnsi="Arial"/>
          <w:sz w:val="14"/>
          <w:szCs w:val="14"/>
          <w:color w:val="auto"/>
        </w:rPr>
        <w:t>In response to changes in its interest rate risk profile, during 2008 the Company terminated interest rate swap agreements with a notional amount of $1.5 billion that had originally been entered into as cash flow hedges of variable rate long-term borrowings. The Company recognized a $37 million loss as a result of the termination. Amounts pertaining to these interest rate swap agreements that were reclassified from accumulated other comprehensive income to increase interest expense were $11 million and $26 million for 2009 and 2008, respectively.</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The notional amount of interest rate swap agreements entered into for risk management purposes that were outstanding at December 31, 2010 mature in 2016 and</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2017.</w:t>
      </w:r>
    </w:p>
    <w:p>
      <w:pPr>
        <w:spacing w:after="0" w:line="6"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ind w:left="680" w:right="40" w:firstLine="599"/>
        <w:spacing w:after="0" w:line="253" w:lineRule="auto"/>
        <w:rPr>
          <w:sz w:val="20"/>
          <w:szCs w:val="20"/>
          <w:color w:val="auto"/>
        </w:rPr>
      </w:pPr>
      <w:r>
        <w:rPr>
          <w:rFonts w:ascii="Arial" w:cs="Arial" w:eastAsia="Arial" w:hAnsi="Arial"/>
          <w:sz w:val="14"/>
          <w:szCs w:val="14"/>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$12.8 billion and $13.9 billion at December 31, 2010 and 2009, respectively. The notional amounts of foreign currency and other option and futures contracts entered into for trading purposes aggregated $769 million and $608 million at December 31, 2010 and 2009, respectively.</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Information about the fair values of derivative instruments in the Company’s consolidated balance sheet and consolidated statement of income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5"/>
          </w:tcPr>
          <w:p>
            <w:pPr>
              <w:jc w:val="center"/>
              <w:ind w:right="488"/>
              <w:spacing w:after="0"/>
              <w:rPr>
                <w:sz w:val="20"/>
                <w:szCs w:val="20"/>
                <w:color w:val="auto"/>
              </w:rPr>
            </w:pPr>
            <w:r>
              <w:rPr>
                <w:rFonts w:ascii="Arial" w:cs="Arial" w:eastAsia="Arial" w:hAnsi="Arial"/>
                <w:sz w:val="10"/>
                <w:szCs w:val="10"/>
                <w:b w:val="1"/>
                <w:bCs w:val="1"/>
                <w:color w:val="auto"/>
                <w:w w:val="93"/>
              </w:rPr>
              <w:t>Asset Derivatives</w:t>
            </w:r>
          </w:p>
        </w:tc>
        <w:tc>
          <w:tcPr>
            <w:tcW w:w="140" w:type="dxa"/>
            <w:vAlign w:val="bottom"/>
          </w:tcPr>
          <w:p>
            <w:pPr>
              <w:spacing w:after="0"/>
              <w:rPr>
                <w:sz w:val="10"/>
                <w:szCs w:val="10"/>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0"/>
                <w:szCs w:val="10"/>
                <w:b w:val="1"/>
                <w:bCs w:val="1"/>
                <w:color w:val="auto"/>
                <w:w w:val="97"/>
              </w:rPr>
              <w:t>Liability Derivatives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tcPr>
          <w:p>
            <w:pPr>
              <w:jc w:val="center"/>
              <w:ind w:left="279"/>
              <w:spacing w:after="0" w:line="108" w:lineRule="exact"/>
              <w:rPr>
                <w:sz w:val="20"/>
                <w:szCs w:val="20"/>
                <w:color w:val="auto"/>
              </w:rPr>
            </w:pPr>
            <w:r>
              <w:rPr>
                <w:rFonts w:ascii="Arial" w:cs="Arial" w:eastAsia="Arial" w:hAnsi="Arial"/>
                <w:sz w:val="10"/>
                <w:szCs w:val="10"/>
                <w:b w:val="1"/>
                <w:bCs w:val="1"/>
                <w:color w:val="auto"/>
              </w:rPr>
              <w:t>Fair Value</w:t>
            </w: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tcPr>
          <w:p>
            <w:pPr>
              <w:jc w:val="center"/>
              <w:ind w:left="259"/>
              <w:spacing w:after="0" w:line="108" w:lineRule="exact"/>
              <w:rPr>
                <w:sz w:val="20"/>
                <w:szCs w:val="20"/>
                <w:color w:val="auto"/>
              </w:rPr>
            </w:pPr>
            <w:r>
              <w:rPr>
                <w:rFonts w:ascii="Arial" w:cs="Arial" w:eastAsia="Arial" w:hAnsi="Arial"/>
                <w:sz w:val="10"/>
                <w:szCs w:val="10"/>
                <w:b w:val="1"/>
                <w:bCs w:val="1"/>
                <w:color w:val="auto"/>
              </w:rPr>
              <w:t>Fair Value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0"/>
                <w:szCs w:val="10"/>
                <w:b w:val="1"/>
                <w:bCs w:val="1"/>
                <w:color w:val="auto"/>
                <w:w w:val="93"/>
              </w:rPr>
              <w:t>December 31</w:t>
            </w: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0"/>
                <w:szCs w:val="10"/>
                <w:b w:val="1"/>
                <w:bCs w:val="1"/>
                <w:color w:val="auto"/>
                <w:w w:val="96"/>
              </w:rPr>
              <w:t>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9"/>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Derivatives designated and qualifying as hedging instruments</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Fair value hedges: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rate swap agreements(a)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96,637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54,486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Commitments to sell real estate loans(a)</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4,880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6,009</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1,062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101,517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60,495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Derivatives not designated and qualifying as hedging instruments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Mortgage-related commitments to originate real estate loans for sale(a)</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4,428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157"/>
        </w:trPr>
        <w:tc>
          <w:tcPr>
            <w:tcW w:w="6300" w:type="dxa"/>
            <w:vAlign w:val="bottom"/>
            <w:gridSpan w:val="2"/>
          </w:tcPr>
          <w:p>
            <w:pPr>
              <w:spacing w:after="0"/>
              <w:rPr>
                <w:sz w:val="20"/>
                <w:szCs w:val="20"/>
                <w:color w:val="auto"/>
              </w:rPr>
            </w:pPr>
            <w:r>
              <w:rPr>
                <w:rFonts w:ascii="Arial" w:cs="Arial" w:eastAsia="Arial" w:hAnsi="Arial"/>
                <w:sz w:val="13"/>
                <w:szCs w:val="13"/>
                <w:color w:val="auto"/>
              </w:rPr>
              <w:t>Commitments to sell real estate loans(a)</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10,322</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13,293</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1,962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tcPr>
          <w:p>
            <w:pPr>
              <w:ind w:left="140"/>
              <w:spacing w:after="0"/>
              <w:rPr>
                <w:sz w:val="20"/>
                <w:szCs w:val="20"/>
                <w:color w:val="auto"/>
              </w:rPr>
            </w:pPr>
            <w:r>
              <w:rPr>
                <w:rFonts w:ascii="Arial" w:cs="Arial" w:eastAsia="Arial" w:hAnsi="Arial"/>
                <w:sz w:val="13"/>
                <w:szCs w:val="13"/>
                <w:color w:val="auto"/>
              </w:rPr>
              <w:t>Interest rate contracts(b)</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w w:val="97"/>
              </w:rPr>
              <w:t>345,632</w:t>
            </w: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w w:val="93"/>
              </w:rPr>
              <w:t>317,651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321,461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290,104</w:t>
            </w: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Foreign exchange and other option and futures contracts(b)</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11,908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12,094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370,048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w w:val="93"/>
              </w:rPr>
              <w:t>347,280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335,767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308,066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471,565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3"/>
              </w:rPr>
              <w:t>407,775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9"/>
              </w:rPr>
              <w:t>336,829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308,237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Asset derivatives are reported in other assets and liability derivatives are reported in other liabilities.</w:t>
      </w:r>
    </w:p>
    <w:p>
      <w:pPr>
        <w:spacing w:after="0" w:line="47" w:lineRule="exact"/>
        <w:rPr>
          <w:rFonts w:ascii="Arial" w:cs="Arial" w:eastAsia="Arial" w:hAnsi="Arial"/>
          <w:sz w:val="13"/>
          <w:szCs w:val="13"/>
          <w:i w:val="1"/>
          <w:iCs w:val="1"/>
          <w:color w:val="auto"/>
        </w:rPr>
      </w:pPr>
    </w:p>
    <w:p>
      <w:pPr>
        <w:ind w:left="1000" w:hanging="259"/>
        <w:spacing w:after="0"/>
        <w:tabs>
          <w:tab w:leader="none" w:pos="1000"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Asset derivatives are reported in trading account assets and liability derivatives are reported in other liabilities.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7"/>
          </w:tcPr>
          <w:p>
            <w:pPr>
              <w:ind w:left="80"/>
              <w:spacing w:after="0"/>
              <w:rPr>
                <w:sz w:val="20"/>
                <w:szCs w:val="20"/>
                <w:color w:val="auto"/>
              </w:rPr>
            </w:pPr>
            <w:r>
              <w:rPr>
                <w:rFonts w:ascii="Arial" w:cs="Arial" w:eastAsia="Arial" w:hAnsi="Arial"/>
                <w:sz w:val="10"/>
                <w:szCs w:val="10"/>
                <w:b w:val="1"/>
                <w:bCs w:val="1"/>
                <w:color w:val="auto"/>
              </w:rPr>
              <w:t>Amount of Unrealized Gain (Loss) Recognized</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gridSpan w:val="2"/>
          </w:tcPr>
          <w:p>
            <w:pPr>
              <w:jc w:val="right"/>
              <w:ind w:right="150"/>
              <w:spacing w:after="0" w:line="81" w:lineRule="exact"/>
              <w:rPr>
                <w:sz w:val="20"/>
                <w:szCs w:val="20"/>
                <w:color w:val="auto"/>
              </w:rPr>
            </w:pPr>
            <w:r>
              <w:rPr>
                <w:rFonts w:ascii="Arial" w:cs="Arial" w:eastAsia="Arial" w:hAnsi="Arial"/>
                <w:sz w:val="9"/>
                <w:szCs w:val="9"/>
                <w:b w:val="1"/>
                <w:bCs w:val="1"/>
                <w:color w:val="auto"/>
              </w:rPr>
              <w:t>Year Ended</w:t>
            </w: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tcPr>
          <w:p>
            <w:pPr>
              <w:jc w:val="right"/>
              <w:ind w:right="170"/>
              <w:spacing w:after="0" w:line="81" w:lineRule="exact"/>
              <w:rPr>
                <w:sz w:val="20"/>
                <w:szCs w:val="20"/>
                <w:color w:val="auto"/>
              </w:rPr>
            </w:pPr>
            <w:r>
              <w:rPr>
                <w:rFonts w:ascii="Arial" w:cs="Arial" w:eastAsia="Arial" w:hAnsi="Arial"/>
                <w:sz w:val="9"/>
                <w:szCs w:val="9"/>
                <w:b w:val="1"/>
                <w:bCs w:val="1"/>
                <w:color w:val="auto"/>
              </w:rPr>
              <w:t>Year Ended</w:t>
            </w: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tcPr>
          <w:p>
            <w:pPr>
              <w:jc w:val="center"/>
              <w:ind w:right="538"/>
              <w:spacing w:after="0" w:line="81" w:lineRule="exact"/>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b w:val="1"/>
                <w:bCs w:val="1"/>
                <w:color w:val="auto"/>
              </w:rPr>
              <w:t>December 31, 2010</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rPr>
              <w:t>December 31, 2009</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0"/>
                <w:szCs w:val="10"/>
                <w:b w:val="1"/>
                <w:bCs w:val="1"/>
                <w:color w:val="auto"/>
                <w:w w:val="93"/>
              </w:rPr>
              <w:t>December 31, 2008</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6"/>
              </w:rPr>
              <w:t>Derivative</w:t>
            </w:r>
          </w:p>
        </w:tc>
        <w:tc>
          <w:tcPr>
            <w:tcW w:w="42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Hedged Item</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top w:val="single" w:sz="8" w:color="auto"/>
              <w:bottom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Derivative</w:t>
            </w:r>
          </w:p>
        </w:tc>
        <w:tc>
          <w:tcPr>
            <w:tcW w:w="40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Hedged Item</w:t>
            </w:r>
          </w:p>
        </w:tc>
        <w:tc>
          <w:tcPr>
            <w:tcW w:w="380" w:type="dxa"/>
            <w:vAlign w:val="bottom"/>
          </w:tcPr>
          <w:p>
            <w:pPr>
              <w:spacing w:after="0"/>
              <w:rPr>
                <w:sz w:val="8"/>
                <w:szCs w:val="8"/>
                <w:color w:val="auto"/>
              </w:rPr>
            </w:pPr>
          </w:p>
        </w:tc>
        <w:tc>
          <w:tcPr>
            <w:tcW w:w="6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Derivative</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Hedged Item</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0"/>
                <w:szCs w:val="10"/>
                <w:b w:val="1"/>
                <w:bCs w:val="1"/>
                <w:color w:val="auto"/>
              </w:rPr>
              <w:t>(In thousands)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Derivatives in fair value hedging relationships</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Interest rate swap agreements:</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Fixed rate time deposits(a)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(503)</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503</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(1,797)</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Fixed rate long-term borrowings(a)</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41,628</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(39,802)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w w:val="99"/>
              </w:rPr>
              <w:t>(91,093)</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85,679</w:t>
            </w:r>
          </w:p>
        </w:tc>
        <w:tc>
          <w:tcPr>
            <w:tcW w:w="1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127,563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(121,898)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41,125</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(39,299)</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w w:val="99"/>
              </w:rPr>
              <w:t>(92,890)</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87,468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128,446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(122,793)</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Interest rate contracts(b)</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3,760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(3,622)</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6,529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exchange and other option and futures contracts(b)</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(307)</w:t>
            </w:r>
          </w:p>
        </w:tc>
        <w:tc>
          <w:tcPr>
            <w:tcW w:w="3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337</w:t>
            </w: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81"/>
              <w:spacing w:after="0"/>
              <w:rPr>
                <w:sz w:val="20"/>
                <w:szCs w:val="20"/>
                <w:color w:val="auto"/>
              </w:rPr>
            </w:pPr>
            <w:r>
              <w:rPr>
                <w:rFonts w:ascii="Arial" w:cs="Arial" w:eastAsia="Arial" w:hAnsi="Arial"/>
                <w:sz w:val="13"/>
                <w:szCs w:val="13"/>
                <w:color w:val="auto"/>
              </w:rPr>
              <w:t>(1,209)</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3,453</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(3,285)</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5,320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other revenues from operations.</w:t>
      </w:r>
    </w:p>
    <w:p>
      <w:pPr>
        <w:spacing w:after="0" w:line="47" w:lineRule="exact"/>
        <w:rPr>
          <w:rFonts w:ascii="Arial" w:cs="Arial" w:eastAsia="Arial" w:hAnsi="Arial"/>
          <w:sz w:val="13"/>
          <w:szCs w:val="13"/>
          <w:i w:val="1"/>
          <w:iCs w:val="1"/>
          <w:color w:val="auto"/>
        </w:rPr>
      </w:pPr>
    </w:p>
    <w:p>
      <w:pPr>
        <w:ind w:left="1000" w:hanging="259"/>
        <w:spacing w:after="0"/>
        <w:tabs>
          <w:tab w:leader="none" w:pos="100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trading account and foreign exchange gains.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0" w:firstLine="599"/>
        <w:spacing w:after="0" w:line="271" w:lineRule="auto"/>
        <w:rPr>
          <w:sz w:val="20"/>
          <w:szCs w:val="20"/>
          <w:color w:val="auto"/>
        </w:rPr>
      </w:pPr>
      <w:r>
        <w:rPr>
          <w:rFonts w:ascii="Arial" w:cs="Arial" w:eastAsia="Arial" w:hAnsi="Arial"/>
          <w:sz w:val="13"/>
          <w:szCs w:val="13"/>
          <w:color w:val="auto"/>
        </w:rPr>
        <w:t>In addition, the Company also has commitments to sell and commitments to originate residential and commercial real estate loans, which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$17 million and $20 million at December 31, 2010 and 2009, respectively. Changes in unrealized gains and losses are included in mortgage banking revenues and, in general, are realized in subsequent periods as the related loans are sold and commitments satisfied.</w:t>
      </w:r>
    </w:p>
    <w:p>
      <w:pPr>
        <w:spacing w:after="0" w:line="2"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The aggregate fair value of derivative financial instruments in a net liability position at December 31, 2010 for which the Company was required to post collateral was $223 million. The fair value of collateral posted for such instruments was $210 million.</w:t>
      </w:r>
    </w:p>
    <w:p>
      <w:pPr>
        <w:ind w:left="680" w:right="80" w:firstLine="599"/>
        <w:spacing w:after="0" w:line="253" w:lineRule="auto"/>
        <w:rPr>
          <w:sz w:val="20"/>
          <w:szCs w:val="20"/>
          <w:color w:val="auto"/>
        </w:rPr>
      </w:pPr>
      <w:r>
        <w:rPr>
          <w:rFonts w:ascii="Arial" w:cs="Arial" w:eastAsia="Arial" w:hAnsi="Arial"/>
          <w:sz w:val="14"/>
          <w:szCs w:val="14"/>
          <w:color w:val="auto"/>
        </w:rPr>
        <w:t>The Company’s credit exposure with respect to the estimated fair value as of December 31, 2010 of interest rate swap agreements used for managing interest rate risk has been substantially mitigated through master netting arrangements with trading account interest rate contracts with the same counterparties as well as counterparty postings of $55 million of collateral with the Company. Trading account interest rate swap agreements entered into with customers are subject to the Company’s credit standards and often contain collateral provisions.</w:t>
      </w:r>
    </w:p>
    <w:p>
      <w:pPr>
        <w:spacing w:after="0" w:line="141"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entities and asset securitizations</w:t>
      </w:r>
    </w:p>
    <w:p>
      <w:pPr>
        <w:spacing w:after="0" w:line="22" w:lineRule="exact"/>
        <w:rPr>
          <w:sz w:val="20"/>
          <w:szCs w:val="20"/>
          <w:color w:val="auto"/>
        </w:rPr>
      </w:pPr>
    </w:p>
    <w:p>
      <w:pPr>
        <w:ind w:left="680" w:right="80"/>
        <w:spacing w:after="0" w:line="249" w:lineRule="auto"/>
        <w:rPr>
          <w:sz w:val="20"/>
          <w:szCs w:val="20"/>
          <w:color w:val="auto"/>
        </w:rPr>
      </w:pPr>
      <w:r>
        <w:rPr>
          <w:rFonts w:ascii="Arial" w:cs="Arial" w:eastAsia="Arial" w:hAnsi="Arial"/>
          <w:sz w:val="14"/>
          <w:szCs w:val="14"/>
          <w:color w:val="auto"/>
        </w:rPr>
        <w:t>Effective January 1, 2010, the Financial Accounting Standards Board (“FASB”) amended accounting guidance related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w:t>
      </w:r>
    </w:p>
    <w:p>
      <w:pPr>
        <w:ind w:left="680" w:firstLine="599"/>
        <w:spacing w:after="0" w:line="249" w:lineRule="auto"/>
        <w:rPr>
          <w:sz w:val="20"/>
          <w:szCs w:val="20"/>
          <w:color w:val="auto"/>
        </w:rPr>
      </w:pPr>
      <w:r>
        <w:rPr>
          <w:rFonts w:ascii="Arial" w:cs="Arial" w:eastAsia="Arial" w:hAnsi="Arial"/>
          <w:sz w:val="14"/>
          <w:szCs w:val="14"/>
          <w:color w:val="auto"/>
        </w:rPr>
        <w:t>Also effective January 1, 2010, the FASB amended accounting guidance related to accounting for transfers of financial assets to eliminate the exceptions for qualifying special-purpose entities from the consolidation guidance and the exception that permitted sale accounting for certain mortgage securitizations when a transferor has not surrendered control over the transferred assets. The recognition and measurement provisions of the amended guidance were required to be applied prospectively. Additionally, beginning January 1, 2010, the concept of a qualifying special-purpose entity is no longer relevant for accounting purposes. Therefore, formerly qualifying special-purpose entities had to be re-evaluated for consolidation in accordance with applicable consolidation guidance, including the new accounting guidance relating to the consolidation of variable interest entities discussed in the previous paragraph.</w:t>
      </w:r>
    </w:p>
    <w:p>
      <w:pPr>
        <w:ind w:left="680" w:right="80" w:firstLine="599"/>
        <w:spacing w:after="0" w:line="272" w:lineRule="auto"/>
        <w:rPr>
          <w:sz w:val="20"/>
          <w:szCs w:val="20"/>
          <w:color w:val="auto"/>
        </w:rPr>
      </w:pPr>
      <w:r>
        <w:rPr>
          <w:rFonts w:ascii="Arial" w:cs="Arial" w:eastAsia="Arial" w:hAnsi="Arial"/>
          <w:sz w:val="13"/>
          <w:szCs w:val="13"/>
          <w:color w:val="auto"/>
        </w:rPr>
        <w:t>In 2002 and 2003, the Company transferred approximately $1.9 billion of one-to-four family residential mortgage loans to qualified special-purpose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special-purpose trusts were not included in the Company’s consolidated financial statements. Effective January 1, 2010, the Company determined that it was the primary beneficiary of both securitization trusts under the amended consolidation rules considering its role as servicer and its retained subordinated interests in the trusts. As a result, beginning January 1, 2010, the Company included the one-to-four family residential mortgage loans that were included in the two non-recourse securitization transactions in its consolidated financial statements. The effect of that consolidation on January 1, 2010 was to increase loans receivable by $424 million, decrease the amortized cost of available-for-sale investment securities by $360 million (fair value of $355 million), and increase borrowings by $65 million. The transition adjustment at January 1, 2010 as a result of the Company’s adoption of the new accounting requirements was not significant. In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the second quarter of 2010, the 2002 securitization trust was terminated as the Company exercised its right to purchase the underlying mortgage loans pursuant to the clean-up call provisions of the qualified special-purpose trust. At December 31, 2010, the carrying value of the loans in the remaining securitization trust and the outstanding principal amount of mortgage-backed securities issued by the qualified special-purpose trust were each $265 million. The principal amount of such securities held by the Company was $225 million. The remainder of the outstanding mortgage-backed securities were held by parties unrelated to M&amp;T. Because the transaction was non-recourse, the Company’s maximum exposure to loss as a result of its association with the trust at December 31, 2010 is limited to realizing the carrying value of the loans less the $40 million carrying value of the mortgage-backed securities outstanding to third parties.</w:t>
      </w:r>
    </w:p>
    <w:p>
      <w:pPr>
        <w:ind w:left="680" w:firstLine="599"/>
        <w:spacing w:after="0" w:line="249" w:lineRule="auto"/>
        <w:rPr>
          <w:sz w:val="20"/>
          <w:szCs w:val="20"/>
          <w:color w:val="auto"/>
        </w:rPr>
      </w:pPr>
      <w:r>
        <w:rPr>
          <w:rFonts w:ascii="Arial" w:cs="Arial" w:eastAsia="Arial" w:hAnsi="Arial"/>
          <w:sz w:val="14"/>
          <w:szCs w:val="14"/>
          <w:color w:val="auto"/>
        </w:rPr>
        <w:t>In 2009 and 2008, the Company securitized approximately $141 million and $875 million, respectively, of one-to-four family residential mortgage loans in guaranteed mortgage securitizations with Fannie Mae. There were no such securitizations in 2010.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ind w:left="1280"/>
        <w:spacing w:after="0"/>
        <w:rPr>
          <w:sz w:val="20"/>
          <w:szCs w:val="20"/>
          <w:color w:val="auto"/>
        </w:rPr>
      </w:pPr>
      <w:r>
        <w:rPr>
          <w:rFonts w:ascii="Arial" w:cs="Arial" w:eastAsia="Arial" w:hAnsi="Arial"/>
          <w:sz w:val="14"/>
          <w:szCs w:val="14"/>
          <w:color w:val="auto"/>
        </w:rPr>
        <w:t>Other variable interest entities in which the Company holds a significant variable interest are described below.</w:t>
      </w:r>
    </w:p>
    <w:p>
      <w:pPr>
        <w:spacing w:after="0" w:line="6"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2010 and 2009,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ind w:left="680" w:right="20" w:firstLine="599"/>
        <w:spacing w:after="0" w:line="250" w:lineRule="auto"/>
        <w:rPr>
          <w:sz w:val="20"/>
          <w:szCs w:val="20"/>
          <w:color w:val="auto"/>
        </w:rPr>
      </w:pPr>
      <w:r>
        <w:rPr>
          <w:rFonts w:ascii="Arial" w:cs="Arial" w:eastAsia="Arial" w:hAnsi="Arial"/>
          <w:sz w:val="14"/>
          <w:szCs w:val="14"/>
          <w:color w:val="auto"/>
        </w:rPr>
        <w:t>The Company has invested as a limited partner in various real estate partnerships that collectively had total assets of approximately $1.1 billion and $1.0 billion at December 31, 2010 and 2009,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$258 million, including $81 million of unfunded commitments, at December 31, 2010 and $246 million, including $89 million of unfunded commitments, at December 31, 2009.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144" w:lineRule="exact"/>
        <w:rPr>
          <w:sz w:val="20"/>
          <w:szCs w:val="20"/>
          <w:color w:val="auto"/>
        </w:rPr>
      </w:pPr>
    </w:p>
    <w:p>
      <w:pPr>
        <w:ind w:left="1180" w:hanging="493"/>
        <w:spacing w:after="0"/>
        <w:tabs>
          <w:tab w:leader="none" w:pos="11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2" w:lineRule="exact"/>
        <w:rPr>
          <w:sz w:val="20"/>
          <w:szCs w:val="20"/>
          <w:color w:val="auto"/>
        </w:rPr>
      </w:pPr>
    </w:p>
    <w:p>
      <w:pPr>
        <w:ind w:left="680" w:right="760"/>
        <w:spacing w:after="0" w:line="249" w:lineRule="auto"/>
        <w:rPr>
          <w:sz w:val="20"/>
          <w:szCs w:val="20"/>
          <w:color w:val="auto"/>
        </w:rPr>
      </w:pPr>
      <w:r>
        <w:rPr>
          <w:rFonts w:ascii="Arial" w:cs="Arial" w:eastAsia="Arial" w:hAnsi="Arial"/>
          <w:sz w:val="14"/>
          <w:szCs w:val="14"/>
          <w:color w:val="auto"/>
        </w:rPr>
        <w:t>GAAP permits an entity to choose to measure eligible financial instruments and other items at fair value. The Company has not made any fair value elections at December 31, 2010.</w:t>
      </w:r>
    </w:p>
    <w:p>
      <w:pPr>
        <w:ind w:left="680" w:right="140" w:firstLine="599"/>
        <w:spacing w:after="0" w:line="268" w:lineRule="auto"/>
        <w:rPr>
          <w:sz w:val="20"/>
          <w:szCs w:val="20"/>
          <w:color w:val="auto"/>
        </w:rPr>
      </w:pPr>
      <w:r>
        <w:rPr>
          <w:rFonts w:ascii="Arial" w:cs="Arial" w:eastAsia="Arial" w:hAnsi="Arial"/>
          <w:sz w:val="13"/>
          <w:szCs w:val="13"/>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ind w:left="1280" w:hanging="190"/>
        <w:spacing w:after="0"/>
        <w:tabs>
          <w:tab w:leader="none" w:pos="1280" w:val="left"/>
        </w:tabs>
        <w:numPr>
          <w:ilvl w:val="0"/>
          <w:numId w:val="57"/>
        </w:numPr>
        <w:rPr>
          <w:rFonts w:ascii="Arial" w:cs="Arial" w:eastAsia="Arial" w:hAnsi="Arial"/>
          <w:sz w:val="9"/>
          <w:szCs w:val="9"/>
          <w:color w:val="auto"/>
        </w:rPr>
      </w:pPr>
      <w:r>
        <w:rPr>
          <w:rFonts w:ascii="Arial" w:cs="Arial" w:eastAsia="Arial" w:hAnsi="Arial"/>
          <w:sz w:val="14"/>
          <w:szCs w:val="14"/>
          <w:color w:val="auto"/>
        </w:rPr>
        <w:t>Level 1 — Valuation is based on quoted prices in active markets for identical assets and liabilities.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75" w:lineRule="exact"/>
        <w:rPr>
          <w:sz w:val="20"/>
          <w:szCs w:val="20"/>
          <w:color w:val="auto"/>
        </w:rPr>
      </w:pPr>
    </w:p>
    <w:p>
      <w:pPr>
        <w:ind w:left="1280" w:right="440" w:hanging="190"/>
        <w:spacing w:after="0" w:line="280" w:lineRule="auto"/>
        <w:tabs>
          <w:tab w:leader="none" w:pos="1280" w:val="left"/>
        </w:tabs>
        <w:numPr>
          <w:ilvl w:val="0"/>
          <w:numId w:val="58"/>
        </w:numPr>
        <w:rPr>
          <w:rFonts w:ascii="Arial" w:cs="Arial" w:eastAsia="Arial" w:hAnsi="Arial"/>
          <w:sz w:val="9"/>
          <w:szCs w:val="9"/>
          <w:color w:val="auto"/>
        </w:rPr>
      </w:pPr>
      <w:r>
        <w:rPr>
          <w:rFonts w:ascii="Arial" w:cs="Arial" w:eastAsia="Arial" w:hAnsi="Arial"/>
          <w:sz w:val="14"/>
          <w:szCs w:val="14"/>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37" w:lineRule="exact"/>
        <w:rPr>
          <w:rFonts w:ascii="Arial" w:cs="Arial" w:eastAsia="Arial" w:hAnsi="Arial"/>
          <w:sz w:val="9"/>
          <w:szCs w:val="9"/>
          <w:color w:val="auto"/>
        </w:rPr>
      </w:pPr>
    </w:p>
    <w:p>
      <w:pPr>
        <w:ind w:left="1280" w:right="280" w:hanging="190"/>
        <w:spacing w:after="0" w:line="280" w:lineRule="auto"/>
        <w:tabs>
          <w:tab w:leader="none" w:pos="1280" w:val="left"/>
        </w:tabs>
        <w:numPr>
          <w:ilvl w:val="0"/>
          <w:numId w:val="58"/>
        </w:numPr>
        <w:rPr>
          <w:rFonts w:ascii="Arial" w:cs="Arial" w:eastAsia="Arial" w:hAnsi="Arial"/>
          <w:sz w:val="9"/>
          <w:szCs w:val="9"/>
          <w:color w:val="auto"/>
        </w:rPr>
      </w:pPr>
      <w:r>
        <w:rPr>
          <w:rFonts w:ascii="Arial" w:cs="Arial" w:eastAsia="Arial" w:hAnsi="Arial"/>
          <w:sz w:val="14"/>
          <w:szCs w:val="14"/>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47" w:lineRule="exact"/>
        <w:rPr>
          <w:sz w:val="20"/>
          <w:szCs w:val="20"/>
          <w:color w:val="auto"/>
        </w:rPr>
      </w:pPr>
    </w:p>
    <w:p>
      <w:pPr>
        <w:ind w:left="680" w:right="140" w:firstLine="599"/>
        <w:spacing w:after="0" w:line="257" w:lineRule="auto"/>
        <w:rPr>
          <w:sz w:val="20"/>
          <w:szCs w:val="20"/>
          <w:color w:val="auto"/>
        </w:rPr>
      </w:pPr>
      <w:r>
        <w:rPr>
          <w:rFonts w:ascii="Arial" w:cs="Arial" w:eastAsia="Arial" w:hAnsi="Arial"/>
          <w:sz w:val="14"/>
          <w:szCs w:val="14"/>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 assets and liabilities</w:t>
      </w:r>
    </w:p>
    <w:p>
      <w:pPr>
        <w:spacing w:after="0" w:line="18" w:lineRule="exact"/>
        <w:rPr>
          <w:sz w:val="20"/>
          <w:szCs w:val="20"/>
          <w:color w:val="auto"/>
        </w:rPr>
      </w:pPr>
    </w:p>
    <w:p>
      <w:pPr>
        <w:ind w:left="680" w:right="140"/>
        <w:spacing w:after="0" w:line="274" w:lineRule="auto"/>
        <w:rPr>
          <w:sz w:val="20"/>
          <w:szCs w:val="20"/>
          <w:color w:val="auto"/>
        </w:rPr>
      </w:pPr>
      <w:r>
        <w:rPr>
          <w:rFonts w:ascii="Arial" w:cs="Arial" w:eastAsia="Arial" w:hAnsi="Arial"/>
          <w:sz w:val="13"/>
          <w:szCs w:val="13"/>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 available for sale</w:t>
      </w:r>
    </w:p>
    <w:p>
      <w:pPr>
        <w:spacing w:after="0" w:line="18"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ind w:left="680" w:firstLine="599"/>
        <w:spacing w:after="0" w:line="249" w:lineRule="auto"/>
        <w:rPr>
          <w:sz w:val="20"/>
          <w:szCs w:val="20"/>
          <w:color w:val="auto"/>
        </w:rPr>
      </w:pPr>
      <w:r>
        <w:rPr>
          <w:rFonts w:ascii="Arial" w:cs="Arial" w:eastAsia="Arial" w:hAnsi="Arial"/>
          <w:sz w:val="14"/>
          <w:szCs w:val="14"/>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ind w:left="680" w:right="20" w:firstLine="599"/>
        <w:spacing w:after="0" w:line="273" w:lineRule="auto"/>
        <w:rPr>
          <w:sz w:val="20"/>
          <w:szCs w:val="20"/>
          <w:color w:val="auto"/>
        </w:rPr>
      </w:pPr>
      <w:r>
        <w:rPr>
          <w:rFonts w:ascii="Arial" w:cs="Arial" w:eastAsia="Arial" w:hAnsi="Arial"/>
          <w:sz w:val="13"/>
          <w:szCs w:val="13"/>
          <w:color w:val="auto"/>
        </w:rPr>
        <w:t>In April 2009, the FASB issued new accounting rules that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December 31, 2010 and 2009.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$1.5 billion at December 31, 2010 and $1.9 billion at December 31, 2009. The Company’s internal modeling techniques included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At December 31, 2010, weighted-average reliance on internal model pricing for the bonds modeled was 34% with a 66% average weighting placed on the values provided by the independent sources. The Company concluded its estimate of fair value for the $1.5 billion of privately issued residential mortgage-backed securities to approximate $1.3 billion, which implies a weighted-average market yield based on reasonably likely cash flows of 8.2%. Other valuations of privately issued residential mortgage-backed securities were determined by reference to independent pricing sources without adjustment.</w:t>
      </w:r>
    </w:p>
    <w:p>
      <w:pPr>
        <w:spacing w:after="0" w:line="6"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Included in collateralized debt obligations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December 31, 2010 and 2009.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December 31, 2010, the total amortized cost and fair value of securities backed by trust preferred securities issued by financial institutions and other entities were</w:t>
      </w:r>
    </w:p>
    <w:p>
      <w:pPr>
        <w:spacing w:after="0" w:line="1" w:lineRule="exact"/>
        <w:rPr>
          <w:sz w:val="20"/>
          <w:szCs w:val="20"/>
          <w:color w:val="auto"/>
        </w:rPr>
      </w:pPr>
    </w:p>
    <w:p>
      <w:pPr>
        <w:jc w:val="both"/>
        <w:ind w:left="680" w:right="240"/>
        <w:spacing w:after="0" w:line="256" w:lineRule="auto"/>
        <w:rPr>
          <w:sz w:val="20"/>
          <w:szCs w:val="20"/>
          <w:color w:val="auto"/>
        </w:rPr>
      </w:pPr>
      <w:r>
        <w:rPr>
          <w:rFonts w:ascii="Arial" w:cs="Arial" w:eastAsia="Arial" w:hAnsi="Arial"/>
          <w:sz w:val="14"/>
          <w:szCs w:val="14"/>
          <w:color w:val="auto"/>
        </w:rPr>
        <w:t>$95 million and $111 million, respectively, and at December 31, 2009 were $103 million and $115 million, respectively. Privately issued mortgage-backed securities and securities backed by trust preferred securities issued by financial institutions and other entities constituted all of the available-for-sale investment securities classified as Level 3 valuations as of December 31, 2010 and 2009.</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Real estate loans held for sale</w:t>
      </w:r>
    </w:p>
    <w:p>
      <w:pPr>
        <w:spacing w:after="0" w:line="18" w:lineRule="exact"/>
        <w:rPr>
          <w:sz w:val="20"/>
          <w:szCs w:val="20"/>
          <w:color w:val="auto"/>
        </w:rPr>
      </w:pPr>
    </w:p>
    <w:p>
      <w:pPr>
        <w:ind w:left="680" w:right="40"/>
        <w:spacing w:after="0" w:line="279" w:lineRule="auto"/>
        <w:rPr>
          <w:sz w:val="20"/>
          <w:szCs w:val="20"/>
          <w:color w:val="auto"/>
        </w:rPr>
      </w:pPr>
      <w:r>
        <w:rPr>
          <w:rFonts w:ascii="Arial" w:cs="Arial" w:eastAsia="Arial" w:hAnsi="Arial"/>
          <w:sz w:val="13"/>
          <w:szCs w:val="13"/>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8"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80"/>
        <w:spacing w:after="0" w:line="259" w:lineRule="auto"/>
        <w:rPr>
          <w:sz w:val="20"/>
          <w:szCs w:val="20"/>
          <w:color w:val="auto"/>
        </w:rPr>
      </w:pPr>
      <w:r>
        <w:rPr>
          <w:rFonts w:ascii="Arial" w:cs="Arial" w:eastAsia="Arial" w:hAnsi="Arial"/>
          <w:sz w:val="14"/>
          <w:szCs w:val="14"/>
          <w:color w:val="auto"/>
        </w:rPr>
        <w:t>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8"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ind w:left="1280"/>
        <w:spacing w:after="0"/>
        <w:rPr>
          <w:sz w:val="20"/>
          <w:szCs w:val="20"/>
          <w:color w:val="auto"/>
        </w:rPr>
      </w:pPr>
      <w:r>
        <w:rPr>
          <w:rFonts w:ascii="Arial" w:cs="Arial" w:eastAsia="Arial" w:hAnsi="Arial"/>
          <w:sz w:val="14"/>
          <w:szCs w:val="14"/>
          <w:color w:val="auto"/>
        </w:rPr>
        <w:t>The following tables present assets and liabilities at December 31, 2010 and December 31, 2009 measured at estimated fair value on a recurring basis: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Fair Value</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Measurements at</w:t>
            </w: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5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Level 1(a)</w:t>
            </w:r>
          </w:p>
        </w:tc>
        <w:tc>
          <w:tcPr>
            <w:tcW w:w="400" w:type="dxa"/>
            <w:vAlign w:val="bottom"/>
            <w:vMerge w:val="restart"/>
          </w:tcPr>
          <w:p>
            <w:pPr>
              <w:spacing w:after="0"/>
              <w:rPr>
                <w:sz w:val="9"/>
                <w:szCs w:val="9"/>
                <w:color w:val="auto"/>
              </w:rPr>
            </w:pPr>
          </w:p>
        </w:tc>
        <w:tc>
          <w:tcPr>
            <w:tcW w:w="680" w:type="dxa"/>
            <w:vAlign w:val="bottom"/>
            <w:vMerge w:val="restart"/>
          </w:tcPr>
          <w:p>
            <w:pPr>
              <w:jc w:val="right"/>
              <w:ind w:right="55"/>
              <w:spacing w:after="0"/>
              <w:rPr>
                <w:sz w:val="20"/>
                <w:szCs w:val="20"/>
                <w:color w:val="auto"/>
              </w:rPr>
            </w:pPr>
            <w:r>
              <w:rPr>
                <w:rFonts w:ascii="Arial" w:cs="Arial" w:eastAsia="Arial" w:hAnsi="Arial"/>
                <w:sz w:val="10"/>
                <w:szCs w:val="10"/>
                <w:b w:val="1"/>
                <w:bCs w:val="1"/>
                <w:color w:val="auto"/>
              </w:rPr>
              <w:t>Level 2(a)</w:t>
            </w:r>
          </w:p>
        </w:tc>
        <w:tc>
          <w:tcPr>
            <w:tcW w:w="400" w:type="dxa"/>
            <w:vAlign w:val="bottom"/>
            <w:vMerge w:val="restart"/>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2010</w:t>
            </w:r>
          </w:p>
        </w:tc>
        <w:tc>
          <w:tcPr>
            <w:tcW w:w="420" w:type="dxa"/>
            <w:vAlign w:val="bottom"/>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4"/>
          </w:tcPr>
          <w:p>
            <w:pPr>
              <w:jc w:val="right"/>
              <w:ind w:right="900"/>
              <w:spacing w:after="0"/>
              <w:rPr>
                <w:sz w:val="20"/>
                <w:szCs w:val="20"/>
                <w:color w:val="auto"/>
              </w:rPr>
            </w:pPr>
            <w:r>
              <w:rPr>
                <w:rFonts w:ascii="Arial" w:cs="Arial" w:eastAsia="Arial" w:hAnsi="Arial"/>
                <w:sz w:val="10"/>
                <w:szCs w:val="10"/>
                <w:b w:val="1"/>
                <w:bCs w:val="1"/>
                <w:color w:val="auto"/>
              </w:rPr>
              <w:t>(In 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Trading account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523,834</w:t>
            </w: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53,032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470,802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Investment securities available for sale: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Treasury and federal agencies</w:t>
            </w:r>
          </w:p>
        </w:tc>
        <w:tc>
          <w:tcPr>
            <w:tcW w:w="1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63,434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63,434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tcPr>
          <w:p>
            <w:pPr>
              <w:spacing w:after="0"/>
              <w:rPr>
                <w:sz w:val="13"/>
                <w:szCs w:val="13"/>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60,425</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60,425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280"/>
              <w:spacing w:after="0"/>
              <w:rPr>
                <w:sz w:val="20"/>
                <w:szCs w:val="20"/>
                <w:color w:val="auto"/>
              </w:rPr>
            </w:pPr>
            <w:r>
              <w:rPr>
                <w:rFonts w:ascii="Arial" w:cs="Arial" w:eastAsia="Arial" w:hAnsi="Arial"/>
                <w:sz w:val="13"/>
                <w:szCs w:val="13"/>
                <w:color w:val="auto"/>
              </w:rPr>
              <w:t>Government issued or guaranteed</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3,306,241</w:t>
            </w:r>
          </w:p>
        </w:tc>
        <w:tc>
          <w:tcPr>
            <w:tcW w:w="4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3,306,241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Privately issued residential</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1,435,561</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1,435,561</w:t>
            </w:r>
          </w:p>
        </w:tc>
        <w:tc>
          <w:tcPr>
            <w:tcW w:w="0" w:type="dxa"/>
            <w:vAlign w:val="bottom"/>
          </w:tcPr>
          <w:p>
            <w:pPr>
              <w:spacing w:after="0"/>
              <w:rPr>
                <w:sz w:val="1"/>
                <w:szCs w:val="1"/>
                <w:color w:val="auto"/>
              </w:rPr>
            </w:pPr>
          </w:p>
        </w:tc>
      </w:tr>
      <w:tr>
        <w:trPr>
          <w:trHeight w:val="157"/>
        </w:trPr>
        <w:tc>
          <w:tcPr>
            <w:tcW w:w="5600" w:type="dxa"/>
            <w:vAlign w:val="bottom"/>
          </w:tcPr>
          <w:p>
            <w:pPr>
              <w:ind w:left="280"/>
              <w:spacing w:after="0"/>
              <w:rPr>
                <w:sz w:val="20"/>
                <w:szCs w:val="20"/>
                <w:color w:val="auto"/>
              </w:rPr>
            </w:pPr>
            <w:r>
              <w:rPr>
                <w:rFonts w:ascii="Arial" w:cs="Arial" w:eastAsia="Arial" w:hAnsi="Arial"/>
                <w:sz w:val="13"/>
                <w:szCs w:val="13"/>
                <w:color w:val="auto"/>
              </w:rPr>
              <w:t>Privately issued commercial</w:t>
            </w:r>
          </w:p>
        </w:tc>
        <w:tc>
          <w:tcPr>
            <w:tcW w:w="120" w:type="dxa"/>
            <w:vAlign w:val="bottom"/>
          </w:tcPr>
          <w:p>
            <w:pPr>
              <w:spacing w:after="0"/>
              <w:rPr>
                <w:sz w:val="13"/>
                <w:szCs w:val="13"/>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22,407</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22,407</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Collateralized debt obligations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110,756</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110,756</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Other debt securities</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298,900</w:t>
            </w:r>
          </w:p>
        </w:tc>
        <w:tc>
          <w:tcPr>
            <w:tcW w:w="4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298,900</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115,768</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106,872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5,413,492</w:t>
            </w:r>
          </w:p>
        </w:tc>
        <w:tc>
          <w:tcPr>
            <w:tcW w:w="4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106,872</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3,737,896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1,568,724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Real estate loans held for sale</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544,567</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544,567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assets(b)</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114,666</w:t>
            </w:r>
          </w:p>
        </w:tc>
        <w:tc>
          <w:tcPr>
            <w:tcW w:w="4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111,839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2,827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6,596,559</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159,904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4,865,104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1,571,551</w:t>
            </w:r>
          </w:p>
        </w:tc>
        <w:tc>
          <w:tcPr>
            <w:tcW w:w="0" w:type="dxa"/>
            <w:vAlign w:val="bottom"/>
          </w:tcPr>
          <w:p>
            <w:pPr>
              <w:spacing w:after="0"/>
              <w:rPr>
                <w:sz w:val="1"/>
                <w:szCs w:val="1"/>
                <w:color w:val="auto"/>
              </w:rPr>
            </w:pPr>
          </w:p>
        </w:tc>
      </w:tr>
      <w:tr>
        <w:trPr>
          <w:trHeight w:val="29"/>
        </w:trPr>
        <w:tc>
          <w:tcPr>
            <w:tcW w:w="5600" w:type="dxa"/>
            <w:vAlign w:val="bottom"/>
            <w:vMerge w:val="restart"/>
          </w:tcPr>
          <w:p>
            <w:pPr>
              <w:spacing w:after="0"/>
              <w:rPr>
                <w:sz w:val="20"/>
                <w:szCs w:val="20"/>
                <w:color w:val="auto"/>
              </w:rPr>
            </w:pPr>
            <w:r>
              <w:rPr>
                <w:rFonts w:ascii="Arial" w:cs="Arial" w:eastAsia="Arial" w:hAnsi="Arial"/>
                <w:sz w:val="13"/>
                <w:szCs w:val="13"/>
                <w:color w:val="auto"/>
              </w:rPr>
              <w:t>Trading account liabilities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333,222</w:t>
            </w:r>
          </w:p>
        </w:tc>
        <w:tc>
          <w:tcPr>
            <w:tcW w:w="4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333,222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liabilities(b)</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336,829</w:t>
            </w:r>
          </w:p>
        </w:tc>
        <w:tc>
          <w:tcPr>
            <w:tcW w:w="4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336,246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Fair Value</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Measurements at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52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Level 1</w:t>
            </w:r>
          </w:p>
        </w:tc>
        <w:tc>
          <w:tcPr>
            <w:tcW w:w="400" w:type="dxa"/>
            <w:vAlign w:val="bottom"/>
            <w:vMerge w:val="restart"/>
          </w:tcPr>
          <w:p>
            <w:pPr>
              <w:spacing w:after="0"/>
              <w:rPr>
                <w:sz w:val="9"/>
                <w:szCs w:val="9"/>
                <w:color w:val="auto"/>
              </w:rPr>
            </w:pPr>
          </w:p>
        </w:tc>
        <w:tc>
          <w:tcPr>
            <w:tcW w:w="680" w:type="dxa"/>
            <w:vAlign w:val="bottom"/>
            <w:vMerge w:val="restart"/>
          </w:tcPr>
          <w:p>
            <w:pPr>
              <w:jc w:val="right"/>
              <w:ind w:right="115"/>
              <w:spacing w:after="0"/>
              <w:rPr>
                <w:sz w:val="20"/>
                <w:szCs w:val="20"/>
                <w:color w:val="auto"/>
              </w:rPr>
            </w:pPr>
            <w:r>
              <w:rPr>
                <w:rFonts w:ascii="Arial" w:cs="Arial" w:eastAsia="Arial" w:hAnsi="Arial"/>
                <w:sz w:val="10"/>
                <w:szCs w:val="10"/>
                <w:b w:val="1"/>
                <w:bCs w:val="1"/>
                <w:color w:val="auto"/>
              </w:rPr>
              <w:t>Level 2</w:t>
            </w:r>
          </w:p>
        </w:tc>
        <w:tc>
          <w:tcPr>
            <w:tcW w:w="400" w:type="dxa"/>
            <w:vAlign w:val="bottom"/>
            <w:vMerge w:val="restart"/>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0" w:type="dxa"/>
            <w:vAlign w:val="bottom"/>
            <w:gridSpan w:val="4"/>
          </w:tcPr>
          <w:p>
            <w:pPr>
              <w:jc w:val="right"/>
              <w:ind w:right="880"/>
              <w:spacing w:after="0"/>
              <w:rPr>
                <w:sz w:val="20"/>
                <w:szCs w:val="20"/>
                <w:color w:val="auto"/>
              </w:rPr>
            </w:pPr>
            <w:r>
              <w:rPr>
                <w:rFonts w:ascii="Arial" w:cs="Arial" w:eastAsia="Arial" w:hAnsi="Arial"/>
                <w:sz w:val="10"/>
                <w:szCs w:val="10"/>
                <w:b w:val="1"/>
                <w:bCs w:val="1"/>
                <w:color w:val="auto"/>
              </w:rPr>
              <w:t>(In thousands)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386,984</w:t>
            </w: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40,836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346,148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Investment securities available for sale: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U.S. Treasury and federal agencies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104,686</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104,686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62,923</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62,923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gridSpan w:val="2"/>
          </w:tcPr>
          <w:p>
            <w:pPr>
              <w:ind w:left="280"/>
              <w:spacing w:after="0"/>
              <w:rPr>
                <w:sz w:val="20"/>
                <w:szCs w:val="20"/>
                <w:color w:val="auto"/>
              </w:rPr>
            </w:pPr>
            <w:r>
              <w:rPr>
                <w:rFonts w:ascii="Arial" w:cs="Arial" w:eastAsia="Arial" w:hAnsi="Arial"/>
                <w:sz w:val="13"/>
                <w:szCs w:val="13"/>
                <w:color w:val="auto"/>
              </w:rPr>
              <w:t>Government issued or guaranteed</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3,902,282</w:t>
            </w:r>
          </w:p>
        </w:tc>
        <w:tc>
          <w:tcPr>
            <w:tcW w:w="4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3,902,282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Privately issued residential</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2,064,904</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2,064,904</w:t>
            </w:r>
          </w:p>
        </w:tc>
        <w:tc>
          <w:tcPr>
            <w:tcW w:w="0" w:type="dxa"/>
            <w:vAlign w:val="bottom"/>
          </w:tcPr>
          <w:p>
            <w:pPr>
              <w:spacing w:after="0"/>
              <w:rPr>
                <w:sz w:val="1"/>
                <w:szCs w:val="1"/>
                <w:color w:val="auto"/>
              </w:rPr>
            </w:pPr>
          </w:p>
        </w:tc>
      </w:tr>
      <w:tr>
        <w:trPr>
          <w:trHeight w:val="157"/>
        </w:trPr>
        <w:tc>
          <w:tcPr>
            <w:tcW w:w="5700" w:type="dxa"/>
            <w:vAlign w:val="bottom"/>
            <w:gridSpan w:val="2"/>
          </w:tcPr>
          <w:p>
            <w:pPr>
              <w:ind w:left="280"/>
              <w:spacing w:after="0"/>
              <w:rPr>
                <w:sz w:val="20"/>
                <w:szCs w:val="20"/>
                <w:color w:val="auto"/>
              </w:rPr>
            </w:pPr>
            <w:r>
              <w:rPr>
                <w:rFonts w:ascii="Arial" w:cs="Arial" w:eastAsia="Arial" w:hAnsi="Arial"/>
                <w:sz w:val="13"/>
                <w:szCs w:val="13"/>
                <w:color w:val="auto"/>
              </w:rPr>
              <w:t>Privately issued commercial</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25,166</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25,166</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Collateralized debt obligations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115,346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115,346</w:t>
            </w:r>
          </w:p>
        </w:tc>
        <w:tc>
          <w:tcPr>
            <w:tcW w:w="0" w:type="dxa"/>
            <w:vAlign w:val="bottom"/>
          </w:tcPr>
          <w:p>
            <w:pPr>
              <w:spacing w:after="0"/>
              <w:rPr>
                <w:sz w:val="1"/>
                <w:szCs w:val="1"/>
                <w:color w:val="auto"/>
              </w:rPr>
            </w:pPr>
          </w:p>
        </w:tc>
      </w:tr>
      <w:tr>
        <w:trPr>
          <w:trHeight w:val="157"/>
        </w:trPr>
        <w:tc>
          <w:tcPr>
            <w:tcW w:w="5700" w:type="dxa"/>
            <w:vAlign w:val="bottom"/>
            <w:gridSpan w:val="2"/>
          </w:tcPr>
          <w:p>
            <w:pPr>
              <w:ind w:left="140"/>
              <w:spacing w:after="0"/>
              <w:rPr>
                <w:sz w:val="20"/>
                <w:szCs w:val="20"/>
                <w:color w:val="auto"/>
              </w:rPr>
            </w:pPr>
            <w:r>
              <w:rPr>
                <w:rFonts w:ascii="Arial" w:cs="Arial" w:eastAsia="Arial" w:hAnsi="Arial"/>
                <w:sz w:val="13"/>
                <w:szCs w:val="13"/>
                <w:color w:val="auto"/>
              </w:rPr>
              <w:t>Other debt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268,201</w:t>
            </w:r>
          </w:p>
        </w:tc>
        <w:tc>
          <w:tcPr>
            <w:tcW w:w="4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267,781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 securities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160,870</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145,817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15,053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6,704,378</w:t>
            </w:r>
          </w:p>
        </w:tc>
        <w:tc>
          <w:tcPr>
            <w:tcW w:w="4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145,817</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4,352,725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2,205,836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 estate loans held for sale</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652,761</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652,761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Other assets(b)</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78,216</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73,788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7,822,339</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186,653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5,425,422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2,210,264</w:t>
            </w:r>
          </w:p>
        </w:tc>
        <w:tc>
          <w:tcPr>
            <w:tcW w:w="0" w:type="dxa"/>
            <w:vAlign w:val="bottom"/>
          </w:tcPr>
          <w:p>
            <w:pPr>
              <w:spacing w:after="0"/>
              <w:rPr>
                <w:sz w:val="1"/>
                <w:szCs w:val="1"/>
                <w:color w:val="auto"/>
              </w:rPr>
            </w:pPr>
          </w:p>
        </w:tc>
      </w:tr>
      <w:tr>
        <w:trPr>
          <w:trHeight w:val="29"/>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Trading account liabilities</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302,198</w:t>
            </w:r>
          </w:p>
        </w:tc>
        <w:tc>
          <w:tcPr>
            <w:tcW w:w="4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5,577</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296,621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liabilities(b)</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6,039</w:t>
            </w:r>
          </w:p>
        </w:tc>
        <w:tc>
          <w:tcPr>
            <w:tcW w:w="4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308,237</w:t>
            </w:r>
          </w:p>
        </w:tc>
        <w:tc>
          <w:tcPr>
            <w:tcW w:w="4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5,577</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298,152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There were no significant transfers between Level 1 and Level 2 of the fair value hierarchy during the year ended December 31, 2010.</w:t>
      </w:r>
    </w:p>
    <w:p>
      <w:pPr>
        <w:spacing w:after="0" w:line="47" w:lineRule="exact"/>
        <w:rPr>
          <w:rFonts w:ascii="Arial" w:cs="Arial" w:eastAsia="Arial" w:hAnsi="Arial"/>
          <w:sz w:val="13"/>
          <w:szCs w:val="13"/>
          <w:i w:val="1"/>
          <w:iCs w:val="1"/>
          <w:color w:val="auto"/>
        </w:rPr>
      </w:pPr>
    </w:p>
    <w:p>
      <w:pPr>
        <w:ind w:left="1080" w:right="320" w:hanging="393"/>
        <w:spacing w:after="0" w:line="276" w:lineRule="auto"/>
        <w:tabs>
          <w:tab w:leader="none" w:pos="1080" w:val="left"/>
        </w:tabs>
        <w:numPr>
          <w:ilvl w:val="0"/>
          <w:numId w:val="59"/>
        </w:numPr>
        <w:rPr>
          <w:rFonts w:ascii="Arial" w:cs="Arial" w:eastAsia="Arial" w:hAnsi="Arial"/>
          <w:sz w:val="13"/>
          <w:szCs w:val="13"/>
          <w:i w:val="1"/>
          <w:iCs w:val="1"/>
          <w:color w:val="auto"/>
        </w:rPr>
      </w:pPr>
      <w:r>
        <w:rPr>
          <w:rFonts w:ascii="Arial" w:cs="Arial" w:eastAsia="Arial" w:hAnsi="Arial"/>
          <w:sz w:val="13"/>
          <w:szCs w:val="13"/>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changes in Level 3 assets and liabilities measured at estimated fair value on a recurring basis during the year ended December 31, 2010 were as follows: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Changes in</w:t>
            </w:r>
          </w:p>
        </w:tc>
      </w:tr>
      <w:tr>
        <w:trPr>
          <w:trHeight w:val="98"/>
        </w:trPr>
        <w:tc>
          <w:tcPr>
            <w:tcW w:w="2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3"/>
              </w:rPr>
              <w:t>Unrealized Gains</w:t>
            </w:r>
          </w:p>
        </w:tc>
      </w:tr>
      <w:tr>
        <w:trPr>
          <w:trHeight w:val="98"/>
        </w:trPr>
        <w:tc>
          <w:tcPr>
            <w:tcW w:w="2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20" w:type="dxa"/>
            <w:vAlign w:val="bottom"/>
            <w:gridSpan w:val="4"/>
          </w:tcPr>
          <w:p>
            <w:pPr>
              <w:ind w:left="460"/>
              <w:spacing w:after="0" w:line="98" w:lineRule="exact"/>
              <w:rPr>
                <w:sz w:val="20"/>
                <w:szCs w:val="20"/>
                <w:color w:val="auto"/>
              </w:rPr>
            </w:pPr>
            <w:r>
              <w:rPr>
                <w:rFonts w:ascii="Arial" w:cs="Arial" w:eastAsia="Arial" w:hAnsi="Arial"/>
                <w:sz w:val="9"/>
                <w:szCs w:val="9"/>
                <w:b w:val="1"/>
                <w:bCs w:val="1"/>
                <w:color w:val="auto"/>
              </w:rPr>
              <w:t>Total Gains (Losses)</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88"/>
              </w:rPr>
              <w:t>(Losses) Included</w:t>
            </w:r>
          </w:p>
        </w:tc>
      </w:tr>
      <w:tr>
        <w:trPr>
          <w:trHeight w:val="111"/>
        </w:trPr>
        <w:tc>
          <w:tcPr>
            <w:tcW w:w="2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20" w:type="dxa"/>
            <w:vAlign w:val="bottom"/>
            <w:gridSpan w:val="4"/>
          </w:tcPr>
          <w:p>
            <w:pPr>
              <w:ind w:left="460"/>
              <w:spacing w:after="0"/>
              <w:rPr>
                <w:sz w:val="20"/>
                <w:szCs w:val="20"/>
                <w:color w:val="auto"/>
              </w:rPr>
            </w:pPr>
            <w:r>
              <w:rPr>
                <w:rFonts w:ascii="Arial" w:cs="Arial" w:eastAsia="Arial" w:hAnsi="Arial"/>
                <w:sz w:val="9"/>
                <w:szCs w:val="9"/>
                <w:b w:val="1"/>
                <w:bCs w:val="1"/>
                <w:color w:val="auto"/>
              </w:rPr>
              <w:t>Realized/Unrealized</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in Earnings Related</w:t>
            </w:r>
          </w:p>
        </w:tc>
      </w:tr>
      <w:tr>
        <w:trPr>
          <w:trHeight w:val="75"/>
        </w:trPr>
        <w:tc>
          <w:tcPr>
            <w:tcW w:w="2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Included in</w:t>
            </w: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w w:val="98"/>
              </w:rPr>
              <w:t>to Assets Still</w:t>
            </w:r>
          </w:p>
        </w:tc>
      </w:tr>
      <w:tr>
        <w:trPr>
          <w:trHeight w:val="98"/>
        </w:trPr>
        <w:tc>
          <w:tcPr>
            <w:tcW w:w="29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Balance-</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4"/>
              </w:rPr>
              <w:t>Transfer in</w:t>
            </w:r>
          </w:p>
        </w:tc>
        <w:tc>
          <w:tcPr>
            <w:tcW w:w="98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0"/>
              </w:rPr>
              <w:t>Balance-</w:t>
            </w: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3"/>
              </w:rPr>
              <w:t>Held at</w:t>
            </w:r>
          </w:p>
        </w:tc>
      </w:tr>
      <w:tr>
        <w:trPr>
          <w:trHeight w:val="98"/>
        </w:trPr>
        <w:tc>
          <w:tcPr>
            <w:tcW w:w="29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January 1,</w:t>
            </w:r>
          </w:p>
        </w:tc>
        <w:tc>
          <w:tcPr>
            <w:tcW w:w="94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1"/>
              </w:rPr>
              <w:t>Included</w:t>
            </w:r>
          </w:p>
        </w:tc>
        <w:tc>
          <w:tcPr>
            <w:tcW w:w="10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Comprehensive</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4"/>
              </w:rPr>
              <w:t>and/or out of</w:t>
            </w: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8"/>
              </w:rPr>
              <w:t>December 31,</w:t>
            </w: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88"/>
              </w:rPr>
              <w:t>December 31,</w:t>
            </w:r>
          </w:p>
        </w:tc>
      </w:tr>
      <w:tr>
        <w:trPr>
          <w:trHeight w:val="111"/>
        </w:trPr>
        <w:tc>
          <w:tcPr>
            <w:tcW w:w="290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2010</w:t>
            </w:r>
          </w:p>
        </w:tc>
        <w:tc>
          <w:tcPr>
            <w:tcW w:w="30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in Earnings</w:t>
            </w:r>
          </w:p>
        </w:tc>
        <w:tc>
          <w:tcPr>
            <w:tcW w:w="36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Income</w:t>
            </w:r>
          </w:p>
        </w:tc>
        <w:tc>
          <w:tcPr>
            <w:tcW w:w="280" w:type="dxa"/>
            <w:vAlign w:val="bottom"/>
          </w:tcPr>
          <w:p>
            <w:pPr>
              <w:spacing w:after="0"/>
              <w:rPr>
                <w:sz w:val="9"/>
                <w:szCs w:val="9"/>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9"/>
                <w:szCs w:val="9"/>
                <w:b w:val="1"/>
                <w:bCs w:val="1"/>
                <w:color w:val="auto"/>
                <w:w w:val="97"/>
              </w:rPr>
              <w:t>Settlements</w:t>
            </w:r>
          </w:p>
        </w:tc>
        <w:tc>
          <w:tcPr>
            <w:tcW w:w="3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Level 3(c)</w:t>
            </w:r>
          </w:p>
        </w:tc>
        <w:tc>
          <w:tcPr>
            <w:tcW w:w="36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2010</w:t>
            </w:r>
          </w:p>
        </w:tc>
        <w:tc>
          <w:tcPr>
            <w:tcW w:w="300" w:type="dxa"/>
            <w:vAlign w:val="bottom"/>
          </w:tcPr>
          <w:p>
            <w:pPr>
              <w:spacing w:after="0"/>
              <w:rPr>
                <w:sz w:val="9"/>
                <w:szCs w:val="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2010</w:t>
            </w:r>
          </w:p>
        </w:tc>
        <w:tc>
          <w:tcPr>
            <w:tcW w:w="160" w:type="dxa"/>
            <w:vAlign w:val="bottom"/>
          </w:tcPr>
          <w:p>
            <w:pPr>
              <w:spacing w:after="0"/>
              <w:rPr>
                <w:sz w:val="9"/>
                <w:szCs w:val="9"/>
                <w:color w:val="auto"/>
              </w:rPr>
            </w:pPr>
          </w:p>
        </w:tc>
      </w:tr>
      <w:tr>
        <w:trPr>
          <w:trHeight w:val="117"/>
        </w:trPr>
        <w:tc>
          <w:tcPr>
            <w:tcW w:w="2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9"/>
                <w:szCs w:val="9"/>
                <w:b w:val="1"/>
                <w:bCs w:val="1"/>
                <w:color w:val="auto"/>
              </w:rPr>
              <w:t>(In thousands)</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290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 for sale:</w:t>
            </w: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08"/>
        </w:trPr>
        <w:tc>
          <w:tcPr>
            <w:tcW w:w="2900" w:type="dxa"/>
            <w:vAlign w:val="bottom"/>
          </w:tcPr>
          <w:p>
            <w:pPr>
              <w:spacing w:after="0" w:line="108" w:lineRule="exact"/>
              <w:rPr>
                <w:sz w:val="20"/>
                <w:szCs w:val="20"/>
                <w:color w:val="auto"/>
              </w:rPr>
            </w:pPr>
            <w:r>
              <w:rPr>
                <w:rFonts w:ascii="Arial" w:cs="Arial" w:eastAsia="Arial" w:hAnsi="Arial"/>
                <w:sz w:val="10"/>
                <w:szCs w:val="10"/>
                <w:color w:val="auto"/>
              </w:rPr>
              <w:t>Privately issued residential mortgage-backed securities</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  2,064,904</w:t>
            </w: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(63,503)(a)</w:t>
            </w: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176,140</w:t>
            </w:r>
          </w:p>
        </w:tc>
        <w:tc>
          <w:tcPr>
            <w:tcW w:w="9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(386,732)</w:t>
            </w:r>
          </w:p>
        </w:tc>
        <w:tc>
          <w:tcPr>
            <w:tcW w:w="10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(355,248)(d)</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1,435,561</w:t>
            </w:r>
          </w:p>
        </w:tc>
        <w:tc>
          <w:tcPr>
            <w:tcW w:w="12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(63,503)(a)</w:t>
            </w:r>
          </w:p>
        </w:tc>
      </w:tr>
      <w:tr>
        <w:trPr>
          <w:trHeight w:val="108"/>
        </w:trPr>
        <w:tc>
          <w:tcPr>
            <w:tcW w:w="29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Privately issued commercial mortgage-backed securities</w:t>
            </w: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25,166</w:t>
            </w:r>
          </w:p>
        </w:tc>
        <w:tc>
          <w:tcPr>
            <w:tcW w:w="94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5,462</w:t>
            </w:r>
          </w:p>
        </w:tc>
        <w:tc>
          <w:tcPr>
            <w:tcW w:w="9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(8,221)</w:t>
            </w:r>
          </w:p>
        </w:tc>
        <w:tc>
          <w:tcPr>
            <w:tcW w:w="104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22,407</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r>
      <w:tr>
        <w:trPr>
          <w:trHeight w:val="108"/>
        </w:trPr>
        <w:tc>
          <w:tcPr>
            <w:tcW w:w="2900" w:type="dxa"/>
            <w:vAlign w:val="bottom"/>
          </w:tcPr>
          <w:p>
            <w:pPr>
              <w:spacing w:after="0" w:line="108" w:lineRule="exact"/>
              <w:rPr>
                <w:sz w:val="20"/>
                <w:szCs w:val="20"/>
                <w:color w:val="auto"/>
              </w:rPr>
            </w:pPr>
            <w:r>
              <w:rPr>
                <w:rFonts w:ascii="Arial" w:cs="Arial" w:eastAsia="Arial" w:hAnsi="Arial"/>
                <w:sz w:val="10"/>
                <w:szCs w:val="10"/>
                <w:color w:val="auto"/>
              </w:rPr>
              <w:t>Collateralized debt obligations</w:t>
            </w:r>
          </w:p>
        </w:tc>
        <w:tc>
          <w:tcPr>
            <w:tcW w:w="9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115,346</w:t>
            </w: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(5,703)(a)</w:t>
            </w:r>
          </w:p>
        </w:tc>
        <w:tc>
          <w:tcPr>
            <w:tcW w:w="10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2,887</w:t>
            </w:r>
          </w:p>
        </w:tc>
        <w:tc>
          <w:tcPr>
            <w:tcW w:w="9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(1,774)</w:t>
            </w:r>
          </w:p>
        </w:tc>
        <w:tc>
          <w:tcPr>
            <w:tcW w:w="104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110,756</w:t>
            </w:r>
          </w:p>
        </w:tc>
        <w:tc>
          <w:tcPr>
            <w:tcW w:w="12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(5,703)(a)</w:t>
            </w:r>
          </w:p>
        </w:tc>
      </w:tr>
      <w:tr>
        <w:trPr>
          <w:trHeight w:val="108"/>
        </w:trPr>
        <w:tc>
          <w:tcPr>
            <w:tcW w:w="29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debt securities</w:t>
            </w: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420</w:t>
            </w:r>
          </w:p>
        </w:tc>
        <w:tc>
          <w:tcPr>
            <w:tcW w:w="94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35</w:t>
            </w: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(455)</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r>
      <w:tr>
        <w:trPr>
          <w:trHeight w:val="108"/>
        </w:trPr>
        <w:tc>
          <w:tcPr>
            <w:tcW w:w="2900" w:type="dxa"/>
            <w:vAlign w:val="bottom"/>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2,205,836</w:t>
            </w:r>
          </w:p>
        </w:tc>
        <w:tc>
          <w:tcPr>
            <w:tcW w:w="300" w:type="dxa"/>
            <w:vAlign w:val="bottom"/>
          </w:tcPr>
          <w:p>
            <w:pPr>
              <w:spacing w:after="0"/>
              <w:rPr>
                <w:sz w:val="9"/>
                <w:szCs w:val="9"/>
                <w:color w:val="auto"/>
              </w:rPr>
            </w:pPr>
          </w:p>
        </w:tc>
        <w:tc>
          <w:tcPr>
            <w:tcW w:w="5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(69,206)</w:t>
            </w:r>
          </w:p>
        </w:tc>
        <w:tc>
          <w:tcPr>
            <w:tcW w:w="360" w:type="dxa"/>
            <w:vAlign w:val="bottom"/>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184,524</w:t>
            </w:r>
          </w:p>
        </w:tc>
        <w:tc>
          <w:tcPr>
            <w:tcW w:w="280" w:type="dxa"/>
            <w:vAlign w:val="bottom"/>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(396,727)</w:t>
            </w:r>
          </w:p>
        </w:tc>
        <w:tc>
          <w:tcPr>
            <w:tcW w:w="300" w:type="dxa"/>
            <w:vAlign w:val="bottom"/>
          </w:tcPr>
          <w:p>
            <w:pPr>
              <w:spacing w:after="0"/>
              <w:rPr>
                <w:sz w:val="9"/>
                <w:szCs w:val="9"/>
                <w:color w:val="auto"/>
              </w:rPr>
            </w:pPr>
          </w:p>
        </w:tc>
        <w:tc>
          <w:tcPr>
            <w:tcW w:w="6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(355,703)</w:t>
            </w:r>
          </w:p>
        </w:tc>
        <w:tc>
          <w:tcPr>
            <w:tcW w:w="360" w:type="dxa"/>
            <w:vAlign w:val="bottom"/>
          </w:tcPr>
          <w:p>
            <w:pPr>
              <w:spacing w:after="0"/>
              <w:rPr>
                <w:sz w:val="9"/>
                <w:szCs w:val="9"/>
                <w:color w:val="auto"/>
              </w:rPr>
            </w:pPr>
          </w:p>
        </w:tc>
        <w:tc>
          <w:tcPr>
            <w:tcW w:w="6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1,568,724</w:t>
            </w:r>
          </w:p>
        </w:tc>
        <w:tc>
          <w:tcPr>
            <w:tcW w:w="300" w:type="dxa"/>
            <w:vAlign w:val="bottom"/>
          </w:tcPr>
          <w:p>
            <w:pPr>
              <w:spacing w:after="0"/>
              <w:rPr>
                <w:sz w:val="9"/>
                <w:szCs w:val="9"/>
                <w:color w:val="auto"/>
              </w:rPr>
            </w:pPr>
          </w:p>
        </w:tc>
        <w:tc>
          <w:tcPr>
            <w:tcW w:w="10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(69,206)</w:t>
            </w:r>
          </w:p>
        </w:tc>
        <w:tc>
          <w:tcPr>
            <w:tcW w:w="160" w:type="dxa"/>
            <w:vAlign w:val="bottom"/>
          </w:tcPr>
          <w:p>
            <w:pPr>
              <w:spacing w:after="0"/>
              <w:rPr>
                <w:sz w:val="9"/>
                <w:szCs w:val="9"/>
                <w:color w:val="auto"/>
              </w:rPr>
            </w:pPr>
          </w:p>
        </w:tc>
      </w:tr>
      <w:tr>
        <w:trPr>
          <w:trHeight w:val="108"/>
        </w:trPr>
        <w:tc>
          <w:tcPr>
            <w:tcW w:w="29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 and other liabilities</w:t>
            </w:r>
          </w:p>
        </w:tc>
        <w:tc>
          <w:tcPr>
            <w:tcW w:w="9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(80)</w:t>
            </w:r>
          </w:p>
        </w:tc>
        <w:tc>
          <w:tcPr>
            <w:tcW w:w="94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95,661(b)</w:t>
            </w:r>
          </w:p>
        </w:tc>
        <w:tc>
          <w:tcPr>
            <w:tcW w:w="10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(93,337)</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2,244</w:t>
            </w:r>
          </w:p>
        </w:tc>
        <w:tc>
          <w:tcPr>
            <w:tcW w:w="1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2,153(b)</w:t>
            </w:r>
          </w:p>
        </w:tc>
      </w:tr>
    </w:tbl>
    <w:p>
      <w:pPr>
        <w:spacing w:after="0" w:line="7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changes in Level 3 assets and liabilities measured at estimated fair value on a recurring basis during the year ended December 31, 2009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40" w:type="dxa"/>
            <w:vAlign w:val="bottom"/>
            <w:gridSpan w:val="3"/>
          </w:tcPr>
          <w:p>
            <w:pPr>
              <w:jc w:val="center"/>
              <w:ind w:right="960"/>
              <w:spacing w:after="0"/>
              <w:rPr>
                <w:sz w:val="20"/>
                <w:szCs w:val="20"/>
                <w:color w:val="auto"/>
              </w:rPr>
            </w:pPr>
            <w:r>
              <w:rPr>
                <w:rFonts w:ascii="Arial" w:cs="Arial" w:eastAsia="Arial" w:hAnsi="Arial"/>
                <w:sz w:val="9"/>
                <w:szCs w:val="9"/>
                <w:b w:val="1"/>
                <w:bCs w:val="1"/>
                <w:color w:val="auto"/>
                <w:w w:val="90"/>
              </w:rPr>
              <w:t>Changes in</w:t>
            </w:r>
          </w:p>
        </w:tc>
      </w:tr>
      <w:tr>
        <w:trPr>
          <w:trHeight w:val="98"/>
        </w:trPr>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40" w:type="dxa"/>
            <w:vAlign w:val="bottom"/>
            <w:gridSpan w:val="3"/>
          </w:tcPr>
          <w:p>
            <w:pPr>
              <w:jc w:val="center"/>
              <w:ind w:right="960"/>
              <w:spacing w:after="0" w:line="98" w:lineRule="exact"/>
              <w:rPr>
                <w:sz w:val="20"/>
                <w:szCs w:val="20"/>
                <w:color w:val="auto"/>
              </w:rPr>
            </w:pPr>
            <w:r>
              <w:rPr>
                <w:rFonts w:ascii="Arial" w:cs="Arial" w:eastAsia="Arial" w:hAnsi="Arial"/>
                <w:sz w:val="9"/>
                <w:szCs w:val="9"/>
                <w:b w:val="1"/>
                <w:bCs w:val="1"/>
                <w:color w:val="auto"/>
                <w:w w:val="93"/>
              </w:rPr>
              <w:t>Unrealized Gains</w:t>
            </w:r>
          </w:p>
        </w:tc>
      </w:tr>
      <w:tr>
        <w:trPr>
          <w:trHeight w:val="98"/>
        </w:trPr>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40" w:type="dxa"/>
            <w:vAlign w:val="bottom"/>
            <w:gridSpan w:val="4"/>
          </w:tcPr>
          <w:p>
            <w:pPr>
              <w:jc w:val="right"/>
              <w:ind w:right="760"/>
              <w:spacing w:after="0" w:line="98" w:lineRule="exact"/>
              <w:rPr>
                <w:sz w:val="20"/>
                <w:szCs w:val="20"/>
                <w:color w:val="auto"/>
              </w:rPr>
            </w:pPr>
            <w:r>
              <w:rPr>
                <w:rFonts w:ascii="Arial" w:cs="Arial" w:eastAsia="Arial" w:hAnsi="Arial"/>
                <w:sz w:val="9"/>
                <w:szCs w:val="9"/>
                <w:b w:val="1"/>
                <w:bCs w:val="1"/>
                <w:color w:val="auto"/>
              </w:rPr>
              <w:t>Total Gains (Losses)</w:t>
            </w: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40" w:type="dxa"/>
            <w:vAlign w:val="bottom"/>
            <w:gridSpan w:val="3"/>
          </w:tcPr>
          <w:p>
            <w:pPr>
              <w:jc w:val="center"/>
              <w:ind w:right="960"/>
              <w:spacing w:after="0" w:line="98" w:lineRule="exact"/>
              <w:rPr>
                <w:sz w:val="20"/>
                <w:szCs w:val="20"/>
                <w:color w:val="auto"/>
              </w:rPr>
            </w:pPr>
            <w:r>
              <w:rPr>
                <w:rFonts w:ascii="Arial" w:cs="Arial" w:eastAsia="Arial" w:hAnsi="Arial"/>
                <w:sz w:val="9"/>
                <w:szCs w:val="9"/>
                <w:b w:val="1"/>
                <w:bCs w:val="1"/>
                <w:color w:val="auto"/>
                <w:w w:val="88"/>
              </w:rPr>
              <w:t>(Losses) Included</w:t>
            </w:r>
          </w:p>
        </w:tc>
      </w:tr>
      <w:tr>
        <w:trPr>
          <w:trHeight w:val="111"/>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9"/>
                <w:szCs w:val="9"/>
                <w:b w:val="1"/>
                <w:bCs w:val="1"/>
                <w:color w:val="auto"/>
              </w:rPr>
              <w:t>Realized/Unrealized</w:t>
            </w: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3"/>
          </w:tcPr>
          <w:p>
            <w:pPr>
              <w:jc w:val="center"/>
              <w:ind w:right="940"/>
              <w:spacing w:after="0"/>
              <w:rPr>
                <w:sz w:val="20"/>
                <w:szCs w:val="20"/>
                <w:color w:val="auto"/>
              </w:rPr>
            </w:pPr>
            <w:r>
              <w:rPr>
                <w:rFonts w:ascii="Arial" w:cs="Arial" w:eastAsia="Arial" w:hAnsi="Arial"/>
                <w:sz w:val="9"/>
                <w:szCs w:val="9"/>
                <w:b w:val="1"/>
                <w:bCs w:val="1"/>
                <w:color w:val="auto"/>
                <w:w w:val="92"/>
              </w:rPr>
              <w:t>in Earnings Related</w:t>
            </w:r>
          </w:p>
        </w:tc>
      </w:tr>
      <w:tr>
        <w:trPr>
          <w:trHeight w:val="75"/>
        </w:trPr>
        <w:tc>
          <w:tcPr>
            <w:tcW w:w="6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Included in</w:t>
            </w: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40" w:type="dxa"/>
            <w:vAlign w:val="bottom"/>
            <w:gridSpan w:val="3"/>
          </w:tcPr>
          <w:p>
            <w:pPr>
              <w:jc w:val="center"/>
              <w:ind w:right="960"/>
              <w:spacing w:after="0" w:line="75" w:lineRule="exact"/>
              <w:rPr>
                <w:sz w:val="20"/>
                <w:szCs w:val="20"/>
                <w:color w:val="auto"/>
              </w:rPr>
            </w:pPr>
            <w:r>
              <w:rPr>
                <w:rFonts w:ascii="Arial" w:cs="Arial" w:eastAsia="Arial" w:hAnsi="Arial"/>
                <w:sz w:val="8"/>
                <w:szCs w:val="8"/>
                <w:b w:val="1"/>
                <w:bCs w:val="1"/>
                <w:color w:val="auto"/>
                <w:w w:val="98"/>
              </w:rPr>
              <w:t>to Assets Still</w:t>
            </w:r>
          </w:p>
        </w:tc>
      </w:tr>
      <w:tr>
        <w:trPr>
          <w:trHeight w:val="98"/>
        </w:trPr>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0"/>
              </w:rPr>
              <w:t>Balance-</w:t>
            </w: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1260" w:type="dxa"/>
            <w:vAlign w:val="bottom"/>
            <w:gridSpan w:val="3"/>
          </w:tcPr>
          <w:p>
            <w:pPr>
              <w:jc w:val="center"/>
              <w:ind w:right="360"/>
              <w:spacing w:after="0" w:line="98" w:lineRule="exact"/>
              <w:rPr>
                <w:sz w:val="20"/>
                <w:szCs w:val="20"/>
                <w:color w:val="auto"/>
              </w:rPr>
            </w:pPr>
            <w:r>
              <w:rPr>
                <w:rFonts w:ascii="Arial" w:cs="Arial" w:eastAsia="Arial" w:hAnsi="Arial"/>
                <w:sz w:val="9"/>
                <w:szCs w:val="9"/>
                <w:b w:val="1"/>
                <w:bCs w:val="1"/>
                <w:color w:val="auto"/>
                <w:w w:val="86"/>
              </w:rPr>
              <w:t>Purchases, Sales,</w:t>
            </w:r>
          </w:p>
        </w:tc>
        <w:tc>
          <w:tcPr>
            <w:tcW w:w="9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4"/>
              </w:rPr>
              <w:t>Transfer in</w:t>
            </w:r>
          </w:p>
        </w:tc>
        <w:tc>
          <w:tcPr>
            <w:tcW w:w="98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0"/>
              </w:rPr>
              <w:t>Balance-</w:t>
            </w:r>
          </w:p>
        </w:tc>
        <w:tc>
          <w:tcPr>
            <w:tcW w:w="2040" w:type="dxa"/>
            <w:vAlign w:val="bottom"/>
            <w:gridSpan w:val="3"/>
          </w:tcPr>
          <w:p>
            <w:pPr>
              <w:jc w:val="center"/>
              <w:ind w:right="960"/>
              <w:spacing w:after="0" w:line="98" w:lineRule="exact"/>
              <w:rPr>
                <w:sz w:val="20"/>
                <w:szCs w:val="20"/>
                <w:color w:val="auto"/>
              </w:rPr>
            </w:pPr>
            <w:r>
              <w:rPr>
                <w:rFonts w:ascii="Arial" w:cs="Arial" w:eastAsia="Arial" w:hAnsi="Arial"/>
                <w:sz w:val="9"/>
                <w:szCs w:val="9"/>
                <w:b w:val="1"/>
                <w:bCs w:val="1"/>
                <w:color w:val="auto"/>
                <w:w w:val="93"/>
              </w:rPr>
              <w:t>Held at</w:t>
            </w:r>
          </w:p>
        </w:tc>
      </w:tr>
      <w:tr>
        <w:trPr>
          <w:trHeight w:val="98"/>
        </w:trPr>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4"/>
              </w:rPr>
              <w:t>January 1,</w:t>
            </w:r>
          </w:p>
        </w:tc>
        <w:tc>
          <w:tcPr>
            <w:tcW w:w="940" w:type="dxa"/>
            <w:vAlign w:val="bottom"/>
            <w:gridSpan w:val="2"/>
          </w:tcPr>
          <w:p>
            <w:pPr>
              <w:jc w:val="right"/>
              <w:ind w:right="460"/>
              <w:spacing w:after="0" w:line="98" w:lineRule="exact"/>
              <w:rPr>
                <w:sz w:val="20"/>
                <w:szCs w:val="20"/>
                <w:color w:val="auto"/>
              </w:rPr>
            </w:pPr>
            <w:r>
              <w:rPr>
                <w:rFonts w:ascii="Arial" w:cs="Arial" w:eastAsia="Arial" w:hAnsi="Arial"/>
                <w:sz w:val="9"/>
                <w:szCs w:val="9"/>
                <w:b w:val="1"/>
                <w:bCs w:val="1"/>
                <w:color w:val="auto"/>
              </w:rPr>
              <w:t>Included</w:t>
            </w:r>
          </w:p>
        </w:tc>
        <w:tc>
          <w:tcPr>
            <w:tcW w:w="11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Comprehensive</w:t>
            </w:r>
          </w:p>
        </w:tc>
        <w:tc>
          <w:tcPr>
            <w:tcW w:w="1260" w:type="dxa"/>
            <w:vAlign w:val="bottom"/>
            <w:gridSpan w:val="3"/>
          </w:tcPr>
          <w:p>
            <w:pPr>
              <w:jc w:val="center"/>
              <w:ind w:right="360"/>
              <w:spacing w:after="0" w:line="98" w:lineRule="exact"/>
              <w:rPr>
                <w:sz w:val="20"/>
                <w:szCs w:val="20"/>
                <w:color w:val="auto"/>
              </w:rPr>
            </w:pPr>
            <w:r>
              <w:rPr>
                <w:rFonts w:ascii="Arial" w:cs="Arial" w:eastAsia="Arial" w:hAnsi="Arial"/>
                <w:sz w:val="9"/>
                <w:szCs w:val="9"/>
                <w:b w:val="1"/>
                <w:bCs w:val="1"/>
                <w:color w:val="auto"/>
                <w:w w:val="87"/>
              </w:rPr>
              <w:t>Issuances &amp;</w:t>
            </w:r>
          </w:p>
        </w:tc>
        <w:tc>
          <w:tcPr>
            <w:tcW w:w="9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0"/>
              </w:rPr>
              <w:t>and/or out of</w:t>
            </w: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8"/>
              </w:rPr>
              <w:t>December 31,</w:t>
            </w:r>
          </w:p>
        </w:tc>
        <w:tc>
          <w:tcPr>
            <w:tcW w:w="2040" w:type="dxa"/>
            <w:vAlign w:val="bottom"/>
            <w:gridSpan w:val="3"/>
          </w:tcPr>
          <w:p>
            <w:pPr>
              <w:jc w:val="center"/>
              <w:ind w:right="960"/>
              <w:spacing w:after="0" w:line="98" w:lineRule="exact"/>
              <w:rPr>
                <w:sz w:val="20"/>
                <w:szCs w:val="20"/>
                <w:color w:val="auto"/>
              </w:rPr>
            </w:pPr>
            <w:r>
              <w:rPr>
                <w:rFonts w:ascii="Arial" w:cs="Arial" w:eastAsia="Arial" w:hAnsi="Arial"/>
                <w:sz w:val="9"/>
                <w:szCs w:val="9"/>
                <w:b w:val="1"/>
                <w:bCs w:val="1"/>
                <w:color w:val="auto"/>
                <w:w w:val="88"/>
              </w:rPr>
              <w:t>December 31,</w:t>
            </w:r>
          </w:p>
        </w:tc>
      </w:tr>
      <w:tr>
        <w:trPr>
          <w:trHeight w:val="111"/>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49"/>
              <w:spacing w:after="0"/>
              <w:rPr>
                <w:sz w:val="20"/>
                <w:szCs w:val="20"/>
                <w:color w:val="auto"/>
              </w:rPr>
            </w:pPr>
            <w:r>
              <w:rPr>
                <w:rFonts w:ascii="Arial" w:cs="Arial" w:eastAsia="Arial" w:hAnsi="Arial"/>
                <w:sz w:val="9"/>
                <w:szCs w:val="9"/>
                <w:b w:val="1"/>
                <w:bCs w:val="1"/>
                <w:color w:val="auto"/>
                <w:w w:val="89"/>
              </w:rPr>
              <w:t>2009</w:t>
            </w:r>
          </w:p>
        </w:tc>
        <w:tc>
          <w:tcPr>
            <w:tcW w:w="280" w:type="dxa"/>
            <w:vAlign w:val="bottom"/>
          </w:tcPr>
          <w:p>
            <w:pPr>
              <w:spacing w:after="0"/>
              <w:rPr>
                <w:sz w:val="9"/>
                <w:szCs w:val="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in Earnings</w:t>
            </w:r>
          </w:p>
        </w:tc>
        <w:tc>
          <w:tcPr>
            <w:tcW w:w="11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Income</w:t>
            </w:r>
          </w:p>
        </w:tc>
        <w:tc>
          <w:tcPr>
            <w:tcW w:w="1260" w:type="dxa"/>
            <w:vAlign w:val="bottom"/>
            <w:gridSpan w:val="3"/>
          </w:tcPr>
          <w:p>
            <w:pPr>
              <w:jc w:val="center"/>
              <w:ind w:right="360"/>
              <w:spacing w:after="0"/>
              <w:rPr>
                <w:sz w:val="20"/>
                <w:szCs w:val="20"/>
                <w:color w:val="auto"/>
              </w:rPr>
            </w:pPr>
            <w:r>
              <w:rPr>
                <w:rFonts w:ascii="Arial" w:cs="Arial" w:eastAsia="Arial" w:hAnsi="Arial"/>
                <w:sz w:val="9"/>
                <w:szCs w:val="9"/>
                <w:b w:val="1"/>
                <w:bCs w:val="1"/>
                <w:color w:val="auto"/>
                <w:w w:val="90"/>
              </w:rPr>
              <w:t>Settlements</w:t>
            </w:r>
          </w:p>
        </w:tc>
        <w:tc>
          <w:tcPr>
            <w:tcW w:w="9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1"/>
              </w:rPr>
              <w:t>Level 3(c)</w:t>
            </w: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c>
          <w:tcPr>
            <w:tcW w:w="300" w:type="dxa"/>
            <w:vAlign w:val="bottom"/>
          </w:tcPr>
          <w:p>
            <w:pPr>
              <w:spacing w:after="0"/>
              <w:rPr>
                <w:sz w:val="9"/>
                <w:szCs w:val="9"/>
                <w:color w:val="auto"/>
              </w:rPr>
            </w:pPr>
          </w:p>
        </w:tc>
        <w:tc>
          <w:tcPr>
            <w:tcW w:w="108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7"/>
        </w:trPr>
        <w:tc>
          <w:tcPr>
            <w:tcW w:w="6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jc w:val="right"/>
              <w:ind w:right="69"/>
              <w:spacing w:after="0"/>
              <w:rPr>
                <w:sz w:val="20"/>
                <w:szCs w:val="20"/>
                <w:color w:val="auto"/>
              </w:rPr>
            </w:pPr>
            <w:r>
              <w:rPr>
                <w:rFonts w:ascii="Arial" w:cs="Arial" w:eastAsia="Arial" w:hAnsi="Arial"/>
                <w:sz w:val="9"/>
                <w:szCs w:val="9"/>
                <w:b w:val="1"/>
                <w:bCs w:val="1"/>
                <w:color w:val="auto"/>
              </w:rPr>
              <w:t>(In</w:t>
            </w:r>
          </w:p>
        </w:tc>
        <w:tc>
          <w:tcPr>
            <w:tcW w:w="280" w:type="dxa"/>
            <w:vAlign w:val="bottom"/>
          </w:tcPr>
          <w:p>
            <w:pPr>
              <w:jc w:val="right"/>
              <w:spacing w:after="0"/>
              <w:rPr>
                <w:sz w:val="20"/>
                <w:szCs w:val="20"/>
                <w:color w:val="auto"/>
              </w:rPr>
            </w:pPr>
            <w:r>
              <w:rPr>
                <w:rFonts w:ascii="Arial" w:cs="Arial" w:eastAsia="Arial" w:hAnsi="Arial"/>
                <w:sz w:val="6"/>
                <w:szCs w:val="6"/>
                <w:b w:val="1"/>
                <w:bCs w:val="1"/>
                <w:color w:val="auto"/>
                <w:w w:val="80"/>
              </w:rPr>
              <w:t>thousands)</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 for sale:</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5,532</w:t>
            </w:r>
          </w:p>
        </w:tc>
        <w:tc>
          <w:tcPr>
            <w:tcW w:w="9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60" w:type="dxa"/>
            <w:vAlign w:val="bottom"/>
            <w:gridSpan w:val="3"/>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(5,532)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38</w:t>
            </w:r>
          </w:p>
        </w:tc>
        <w:tc>
          <w:tcPr>
            <w:tcW w:w="9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224</w:t>
            </w:r>
          </w:p>
        </w:tc>
        <w:tc>
          <w:tcPr>
            <w:tcW w:w="1180" w:type="dxa"/>
            <w:vAlign w:val="bottom"/>
            <w:gridSpan w:val="2"/>
            <w:shd w:val="clear" w:color="auto" w:fill="CCEEFF"/>
          </w:tcPr>
          <w:p>
            <w:pPr>
              <w:jc w:val="right"/>
              <w:ind w:right="211"/>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(253)</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9"/>
                <w:szCs w:val="9"/>
                <w:color w:val="auto"/>
              </w:rPr>
            </w:pPr>
          </w:p>
        </w:tc>
      </w:tr>
      <w:tr>
        <w:trPr>
          <w:trHeight w:val="95"/>
        </w:trPr>
        <w:tc>
          <w:tcPr>
            <w:tcW w:w="680" w:type="dxa"/>
            <w:vAlign w:val="bottom"/>
          </w:tcPr>
          <w:p>
            <w:pPr>
              <w:spacing w:after="0"/>
              <w:rPr>
                <w:sz w:val="8"/>
                <w:szCs w:val="8"/>
                <w:color w:val="auto"/>
              </w:rPr>
            </w:pPr>
          </w:p>
        </w:tc>
        <w:tc>
          <w:tcPr>
            <w:tcW w:w="2660" w:type="dxa"/>
            <w:vAlign w:val="bottom"/>
          </w:tcPr>
          <w:p>
            <w:pPr>
              <w:spacing w:after="0" w:line="95" w:lineRule="exact"/>
              <w:rPr>
                <w:sz w:val="20"/>
                <w:szCs w:val="20"/>
                <w:color w:val="auto"/>
              </w:rPr>
            </w:pPr>
            <w:r>
              <w:rPr>
                <w:rFonts w:ascii="Arial" w:cs="Arial" w:eastAsia="Arial" w:hAnsi="Arial"/>
                <w:sz w:val="10"/>
                <w:szCs w:val="10"/>
                <w:color w:val="auto"/>
              </w:rPr>
              <w:t>Government issued or guaranteed mortgage-backed</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21"/>
        </w:trPr>
        <w:tc>
          <w:tcPr>
            <w:tcW w:w="680" w:type="dxa"/>
            <w:vAlign w:val="bottom"/>
          </w:tcPr>
          <w:p>
            <w:pPr>
              <w:spacing w:after="0"/>
              <w:rPr>
                <w:sz w:val="10"/>
                <w:szCs w:val="10"/>
                <w:color w:val="auto"/>
              </w:rPr>
            </w:pPr>
          </w:p>
        </w:tc>
        <w:tc>
          <w:tcPr>
            <w:tcW w:w="2660" w:type="dxa"/>
            <w:vAlign w:val="bottom"/>
          </w:tcPr>
          <w:p>
            <w:pPr>
              <w:ind w:left="120"/>
              <w:spacing w:after="0"/>
              <w:rPr>
                <w:sz w:val="20"/>
                <w:szCs w:val="20"/>
                <w:color w:val="auto"/>
              </w:rPr>
            </w:pPr>
            <w:r>
              <w:rPr>
                <w:rFonts w:ascii="Arial" w:cs="Arial" w:eastAsia="Arial" w:hAnsi="Arial"/>
                <w:sz w:val="10"/>
                <w:szCs w:val="10"/>
                <w:color w:val="auto"/>
              </w:rPr>
              <w:t>securities</w:t>
            </w:r>
          </w:p>
        </w:tc>
        <w:tc>
          <w:tcPr>
            <w:tcW w:w="80" w:type="dxa"/>
            <w:vAlign w:val="bottom"/>
          </w:tcPr>
          <w:p>
            <w:pPr>
              <w:spacing w:after="0"/>
              <w:rPr>
                <w:sz w:val="10"/>
                <w:szCs w:val="1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0"/>
                <w:szCs w:val="10"/>
                <w:color w:val="auto"/>
              </w:rPr>
              <w:t>84,544</w:t>
            </w:r>
          </w:p>
        </w:tc>
        <w:tc>
          <w:tcPr>
            <w:tcW w:w="94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26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0"/>
                <w:szCs w:val="10"/>
                <w:color w:val="auto"/>
              </w:rPr>
              <w:t>(84,544)</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2040" w:type="dxa"/>
            <w:vAlign w:val="bottom"/>
            <w:gridSpan w:val="3"/>
          </w:tcPr>
          <w:p>
            <w:pPr>
              <w:jc w:val="right"/>
              <w:ind w:right="960"/>
              <w:spacing w:after="0"/>
              <w:rPr>
                <w:sz w:val="20"/>
                <w:szCs w:val="20"/>
                <w:color w:val="auto"/>
              </w:rPr>
            </w:pPr>
            <w:r>
              <w:rPr>
                <w:rFonts w:ascii="Arial" w:cs="Arial" w:eastAsia="Arial" w:hAnsi="Arial"/>
                <w:sz w:val="10"/>
                <w:szCs w:val="10"/>
                <w:color w:val="auto"/>
              </w:rPr>
              <w:t>—</w:t>
            </w:r>
          </w:p>
        </w:tc>
      </w:tr>
      <w:tr>
        <w:trPr>
          <w:trHeight w:val="108"/>
        </w:trPr>
        <w:tc>
          <w:tcPr>
            <w:tcW w:w="680" w:type="dxa"/>
            <w:vAlign w:val="bottom"/>
          </w:tcPr>
          <w:p>
            <w:pPr>
              <w:spacing w:after="0"/>
              <w:rPr>
                <w:sz w:val="9"/>
                <w:szCs w:val="9"/>
                <w:color w:val="auto"/>
              </w:rPr>
            </w:pPr>
          </w:p>
        </w:tc>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Privately issued residential mortgage-backed securities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2,326,554</w:t>
            </w:r>
          </w:p>
        </w:tc>
        <w:tc>
          <w:tcPr>
            <w:tcW w:w="9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(128,374)(a)</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421,150</w:t>
            </w:r>
          </w:p>
        </w:tc>
        <w:tc>
          <w:tcPr>
            <w:tcW w:w="1180" w:type="dxa"/>
            <w:vAlign w:val="bottom"/>
            <w:gridSpan w:val="2"/>
            <w:shd w:val="clear" w:color="auto" w:fill="CCEEFF"/>
          </w:tcPr>
          <w:p>
            <w:pPr>
              <w:jc w:val="right"/>
              <w:ind w:right="211"/>
              <w:spacing w:after="0" w:line="108" w:lineRule="exact"/>
              <w:rPr>
                <w:sz w:val="20"/>
                <w:szCs w:val="20"/>
                <w:color w:val="auto"/>
              </w:rPr>
            </w:pPr>
            <w:r>
              <w:rPr>
                <w:rFonts w:ascii="Arial" w:cs="Arial" w:eastAsia="Arial" w:hAnsi="Arial"/>
                <w:sz w:val="10"/>
                <w:szCs w:val="10"/>
                <w:color w:val="auto"/>
              </w:rPr>
              <w:t>(554,426)</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2,064,904</w:t>
            </w:r>
          </w:p>
        </w:tc>
        <w:tc>
          <w:tcPr>
            <w:tcW w:w="12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(128,374)(a)</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line="108" w:lineRule="exact"/>
              <w:rPr>
                <w:sz w:val="20"/>
                <w:szCs w:val="20"/>
                <w:color w:val="auto"/>
              </w:rPr>
            </w:pPr>
            <w:r>
              <w:rPr>
                <w:rFonts w:ascii="Arial" w:cs="Arial" w:eastAsia="Arial" w:hAnsi="Arial"/>
                <w:sz w:val="10"/>
                <w:szCs w:val="10"/>
                <w:color w:val="auto"/>
              </w:rPr>
              <w:t>Privately issued commercial mortgage-backed securities</w:t>
            </w:r>
          </w:p>
        </w:tc>
        <w:tc>
          <w:tcPr>
            <w:tcW w:w="80" w:type="dxa"/>
            <w:vAlign w:val="bottom"/>
          </w:tcPr>
          <w:p>
            <w:pPr>
              <w:spacing w:after="0"/>
              <w:rPr>
                <w:sz w:val="9"/>
                <w:szCs w:val="9"/>
                <w:color w:val="auto"/>
              </w:rPr>
            </w:pPr>
          </w:p>
        </w:tc>
        <w:tc>
          <w:tcPr>
            <w:tcW w:w="8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41,046</w:t>
            </w:r>
          </w:p>
        </w:tc>
        <w:tc>
          <w:tcPr>
            <w:tcW w:w="9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(6,853)</w:t>
            </w:r>
          </w:p>
        </w:tc>
        <w:tc>
          <w:tcPr>
            <w:tcW w:w="1180" w:type="dxa"/>
            <w:vAlign w:val="bottom"/>
            <w:gridSpan w:val="2"/>
          </w:tcPr>
          <w:p>
            <w:pPr>
              <w:jc w:val="right"/>
              <w:ind w:right="211"/>
              <w:spacing w:after="0" w:line="108" w:lineRule="exact"/>
              <w:rPr>
                <w:sz w:val="20"/>
                <w:szCs w:val="20"/>
                <w:color w:val="auto"/>
              </w:rPr>
            </w:pPr>
            <w:r>
              <w:rPr>
                <w:rFonts w:ascii="Arial" w:cs="Arial" w:eastAsia="Arial" w:hAnsi="Arial"/>
                <w:sz w:val="10"/>
                <w:szCs w:val="10"/>
                <w:color w:val="auto"/>
              </w:rPr>
              <w:t>(9,027)</w:t>
            </w:r>
          </w:p>
        </w:tc>
        <w:tc>
          <w:tcPr>
            <w:tcW w:w="8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25,166</w:t>
            </w:r>
          </w:p>
        </w:tc>
        <w:tc>
          <w:tcPr>
            <w:tcW w:w="12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Collateralized debt obligations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2,496</w:t>
            </w:r>
          </w:p>
        </w:tc>
        <w:tc>
          <w:tcPr>
            <w:tcW w:w="9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(9,568)(a)</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19,770</w:t>
            </w:r>
          </w:p>
        </w:tc>
        <w:tc>
          <w:tcPr>
            <w:tcW w:w="1180" w:type="dxa"/>
            <w:vAlign w:val="bottom"/>
            <w:gridSpan w:val="2"/>
            <w:shd w:val="clear" w:color="auto" w:fill="CCEEFF"/>
          </w:tcPr>
          <w:p>
            <w:pPr>
              <w:jc w:val="right"/>
              <w:ind w:right="251"/>
              <w:spacing w:after="0" w:line="108" w:lineRule="exact"/>
              <w:rPr>
                <w:sz w:val="20"/>
                <w:szCs w:val="20"/>
                <w:color w:val="auto"/>
              </w:rPr>
            </w:pPr>
            <w:r>
              <w:rPr>
                <w:rFonts w:ascii="Arial" w:cs="Arial" w:eastAsia="Arial" w:hAnsi="Arial"/>
                <w:sz w:val="10"/>
                <w:szCs w:val="10"/>
                <w:color w:val="auto"/>
              </w:rPr>
              <w:t>102,648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115,346</w:t>
            </w:r>
          </w:p>
        </w:tc>
        <w:tc>
          <w:tcPr>
            <w:tcW w:w="12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(9,923)(a)</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80" w:type="dxa"/>
            <w:vAlign w:val="bottom"/>
          </w:tcPr>
          <w:p>
            <w:pPr>
              <w:spacing w:after="0"/>
              <w:rPr>
                <w:sz w:val="9"/>
                <w:szCs w:val="9"/>
                <w:color w:val="auto"/>
              </w:rPr>
            </w:pPr>
          </w:p>
        </w:tc>
        <w:tc>
          <w:tcPr>
            <w:tcW w:w="8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145</w:t>
            </w:r>
          </w:p>
        </w:tc>
        <w:tc>
          <w:tcPr>
            <w:tcW w:w="1180" w:type="dxa"/>
            <w:vAlign w:val="bottom"/>
            <w:gridSpan w:val="2"/>
          </w:tcPr>
          <w:p>
            <w:pPr>
              <w:jc w:val="right"/>
              <w:ind w:right="251"/>
              <w:spacing w:after="0" w:line="108" w:lineRule="exact"/>
              <w:rPr>
                <w:sz w:val="20"/>
                <w:szCs w:val="20"/>
                <w:color w:val="auto"/>
              </w:rPr>
            </w:pPr>
            <w:r>
              <w:rPr>
                <w:rFonts w:ascii="Arial" w:cs="Arial" w:eastAsia="Arial" w:hAnsi="Arial"/>
                <w:sz w:val="10"/>
                <w:szCs w:val="10"/>
                <w:color w:val="auto"/>
              </w:rPr>
              <w:t>725</w:t>
            </w:r>
          </w:p>
        </w:tc>
        <w:tc>
          <w:tcPr>
            <w:tcW w:w="80" w:type="dxa"/>
            <w:vAlign w:val="bottom"/>
          </w:tcPr>
          <w:p>
            <w:pPr>
              <w:spacing w:after="0"/>
              <w:rPr>
                <w:sz w:val="9"/>
                <w:szCs w:val="9"/>
                <w:color w:val="auto"/>
              </w:rPr>
            </w:pPr>
          </w:p>
        </w:tc>
        <w:tc>
          <w:tcPr>
            <w:tcW w:w="9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(450)</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420</w:t>
            </w:r>
          </w:p>
        </w:tc>
        <w:tc>
          <w:tcPr>
            <w:tcW w:w="12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2,302</w:t>
            </w:r>
          </w:p>
        </w:tc>
        <w:tc>
          <w:tcPr>
            <w:tcW w:w="9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w:t>
            </w:r>
          </w:p>
        </w:tc>
        <w:tc>
          <w:tcPr>
            <w:tcW w:w="1180" w:type="dxa"/>
            <w:vAlign w:val="bottom"/>
            <w:gridSpan w:val="2"/>
            <w:shd w:val="clear" w:color="auto" w:fill="CCEEFF"/>
          </w:tcPr>
          <w:p>
            <w:pPr>
              <w:jc w:val="right"/>
              <w:ind w:right="211"/>
              <w:spacing w:after="0" w:line="108" w:lineRule="exact"/>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(2,292)</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2,462,512</w:t>
            </w:r>
          </w:p>
        </w:tc>
        <w:tc>
          <w:tcPr>
            <w:tcW w:w="280" w:type="dxa"/>
            <w:vAlign w:val="bottom"/>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(137,942)</w:t>
            </w:r>
          </w:p>
        </w:tc>
        <w:tc>
          <w:tcPr>
            <w:tcW w:w="340" w:type="dxa"/>
            <w:vAlign w:val="bottom"/>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434,438</w:t>
            </w:r>
          </w:p>
        </w:tc>
        <w:tc>
          <w:tcPr>
            <w:tcW w:w="300" w:type="dxa"/>
            <w:vAlign w:val="bottom"/>
          </w:tcPr>
          <w:p>
            <w:pPr>
              <w:spacing w:after="0"/>
              <w:rPr>
                <w:sz w:val="9"/>
                <w:szCs w:val="9"/>
                <w:color w:val="auto"/>
              </w:rPr>
            </w:pPr>
          </w:p>
        </w:tc>
        <w:tc>
          <w:tcPr>
            <w:tcW w:w="9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(460,101)</w:t>
            </w: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(93,071)</w:t>
            </w:r>
          </w:p>
        </w:tc>
        <w:tc>
          <w:tcPr>
            <w:tcW w:w="300" w:type="dxa"/>
            <w:vAlign w:val="bottom"/>
          </w:tcPr>
          <w:p>
            <w:pPr>
              <w:spacing w:after="0"/>
              <w:rPr>
                <w:sz w:val="9"/>
                <w:szCs w:val="9"/>
                <w:color w:val="auto"/>
              </w:rPr>
            </w:pPr>
          </w:p>
        </w:tc>
        <w:tc>
          <w:tcPr>
            <w:tcW w:w="6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2,205,836</w:t>
            </w:r>
          </w:p>
        </w:tc>
        <w:tc>
          <w:tcPr>
            <w:tcW w:w="300" w:type="dxa"/>
            <w:vAlign w:val="bottom"/>
          </w:tcPr>
          <w:p>
            <w:pPr>
              <w:spacing w:after="0"/>
              <w:rPr>
                <w:sz w:val="9"/>
                <w:szCs w:val="9"/>
                <w:color w:val="auto"/>
              </w:rPr>
            </w:pPr>
          </w:p>
        </w:tc>
        <w:tc>
          <w:tcPr>
            <w:tcW w:w="10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(138,297)</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 and other liabilities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8,266</w:t>
            </w:r>
          </w:p>
        </w:tc>
        <w:tc>
          <w:tcPr>
            <w:tcW w:w="9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34,400(b)</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60" w:type="dxa"/>
            <w:vAlign w:val="bottom"/>
            <w:gridSpan w:val="3"/>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(42,746)</w:t>
            </w:r>
          </w:p>
        </w:tc>
        <w:tc>
          <w:tcPr>
            <w:tcW w:w="9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(80)</w:t>
            </w:r>
          </w:p>
        </w:tc>
        <w:tc>
          <w:tcPr>
            <w:tcW w:w="1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2,465(b)</w:t>
            </w:r>
          </w:p>
        </w:tc>
        <w:tc>
          <w:tcPr>
            <w:tcW w:w="800" w:type="dxa"/>
            <w:vAlign w:val="bottom"/>
          </w:tcPr>
          <w:p>
            <w:pPr>
              <w:spacing w:after="0"/>
              <w:rPr>
                <w:sz w:val="9"/>
                <w:szCs w:val="9"/>
                <w:color w:val="auto"/>
              </w:rPr>
            </w:pPr>
          </w:p>
        </w:tc>
      </w:tr>
      <w:tr>
        <w:trPr>
          <w:trHeight w:val="299"/>
        </w:trPr>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jc w:val="right"/>
              <w:ind w:right="800"/>
              <w:spacing w:after="0"/>
              <w:rPr>
                <w:sz w:val="20"/>
                <w:szCs w:val="20"/>
                <w:color w:val="auto"/>
              </w:rPr>
            </w:pPr>
            <w:r>
              <w:rPr>
                <w:rFonts w:ascii="Arial" w:cs="Arial" w:eastAsia="Arial" w:hAnsi="Arial"/>
                <w:sz w:val="12"/>
                <w:szCs w:val="12"/>
                <w:color w:val="auto"/>
              </w:rPr>
              <w:t>155</w:t>
            </w:r>
          </w:p>
        </w:tc>
      </w:tr>
      <w:tr>
        <w:trPr>
          <w:trHeight w:val="167"/>
        </w:trPr>
        <w:tc>
          <w:tcPr>
            <w:tcW w:w="6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changes in Level 3 assets and liabilities measured at estimated fair value on a recurring basis during the year ended December 31, 2008 were as follows:</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Changes in</w:t>
            </w:r>
          </w:p>
        </w:tc>
      </w:tr>
      <w:tr>
        <w:trPr>
          <w:trHeight w:val="98"/>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3"/>
              </w:rPr>
              <w:t>Unrealized Gains</w:t>
            </w:r>
          </w:p>
        </w:tc>
      </w:tr>
      <w:tr>
        <w:trPr>
          <w:trHeight w:val="98"/>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40" w:type="dxa"/>
            <w:vAlign w:val="bottom"/>
            <w:gridSpan w:val="4"/>
          </w:tcPr>
          <w:p>
            <w:pPr>
              <w:jc w:val="right"/>
              <w:ind w:right="760"/>
              <w:spacing w:after="0" w:line="98" w:lineRule="exact"/>
              <w:rPr>
                <w:sz w:val="20"/>
                <w:szCs w:val="20"/>
                <w:color w:val="auto"/>
              </w:rPr>
            </w:pPr>
            <w:r>
              <w:rPr>
                <w:rFonts w:ascii="Arial" w:cs="Arial" w:eastAsia="Arial" w:hAnsi="Arial"/>
                <w:sz w:val="9"/>
                <w:szCs w:val="9"/>
                <w:b w:val="1"/>
                <w:bCs w:val="1"/>
                <w:color w:val="auto"/>
              </w:rPr>
              <w:t>Total Gains (Losses)</w:t>
            </w: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88"/>
              </w:rPr>
              <w:t>(Losses) Included</w:t>
            </w:r>
          </w:p>
        </w:tc>
      </w:tr>
      <w:tr>
        <w:trPr>
          <w:trHeight w:val="111"/>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9"/>
                <w:szCs w:val="9"/>
                <w:b w:val="1"/>
                <w:bCs w:val="1"/>
                <w:color w:val="auto"/>
              </w:rPr>
              <w:t>Realized/Unrealized</w:t>
            </w: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in Earnings Related</w:t>
            </w:r>
          </w:p>
        </w:tc>
      </w:tr>
      <w:tr>
        <w:trPr>
          <w:trHeight w:val="75"/>
        </w:trPr>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spacing w:after="0" w:line="75" w:lineRule="exact"/>
              <w:rPr>
                <w:sz w:val="20"/>
                <w:szCs w:val="20"/>
                <w:color w:val="auto"/>
              </w:rPr>
            </w:pPr>
            <w:r>
              <w:rPr>
                <w:rFonts w:ascii="Arial" w:cs="Arial" w:eastAsia="Arial" w:hAnsi="Arial"/>
                <w:sz w:val="8"/>
                <w:szCs w:val="8"/>
                <w:b w:val="1"/>
                <w:bCs w:val="1"/>
                <w:color w:val="auto"/>
              </w:rPr>
              <w:t>Included in</w:t>
            </w: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w w:val="98"/>
              </w:rPr>
              <w:t>to Assets Still</w:t>
            </w:r>
          </w:p>
        </w:tc>
      </w:tr>
      <w:tr>
        <w:trPr>
          <w:trHeight w:val="98"/>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0"/>
              </w:rPr>
              <w:t>Balance-</w:t>
            </w: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11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6"/>
              </w:rPr>
              <w:t>Purchases, Sales,</w:t>
            </w: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Transfer in</w:t>
            </w:r>
          </w:p>
        </w:tc>
        <w:tc>
          <w:tcPr>
            <w:tcW w:w="98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0"/>
              </w:rPr>
              <w:t>Balance-</w:t>
            </w: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3"/>
              </w:rPr>
              <w:t>Held at</w:t>
            </w:r>
          </w:p>
        </w:tc>
      </w:tr>
      <w:tr>
        <w:trPr>
          <w:trHeight w:val="98"/>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4"/>
              </w:rPr>
              <w:t>January 1,</w:t>
            </w:r>
          </w:p>
        </w:tc>
        <w:tc>
          <w:tcPr>
            <w:tcW w:w="940" w:type="dxa"/>
            <w:vAlign w:val="bottom"/>
            <w:gridSpan w:val="2"/>
          </w:tcPr>
          <w:p>
            <w:pPr>
              <w:jc w:val="right"/>
              <w:ind w:right="460"/>
              <w:spacing w:after="0" w:line="98" w:lineRule="exact"/>
              <w:rPr>
                <w:sz w:val="20"/>
                <w:szCs w:val="20"/>
                <w:color w:val="auto"/>
              </w:rPr>
            </w:pPr>
            <w:r>
              <w:rPr>
                <w:rFonts w:ascii="Arial" w:cs="Arial" w:eastAsia="Arial" w:hAnsi="Arial"/>
                <w:sz w:val="9"/>
                <w:szCs w:val="9"/>
                <w:b w:val="1"/>
                <w:bCs w:val="1"/>
                <w:color w:val="auto"/>
              </w:rPr>
              <w:t>Included</w:t>
            </w:r>
          </w:p>
        </w:tc>
        <w:tc>
          <w:tcPr>
            <w:tcW w:w="11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7"/>
              </w:rPr>
              <w:t>Issuances &amp;</w:t>
            </w: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0"/>
              </w:rPr>
              <w:t>and/or out of</w:t>
            </w:r>
          </w:p>
        </w:tc>
        <w:tc>
          <w:tcPr>
            <w:tcW w:w="9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8"/>
              </w:rPr>
              <w:t>December 31,</w:t>
            </w:r>
          </w:p>
        </w:tc>
        <w:tc>
          <w:tcPr>
            <w:tcW w:w="12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88"/>
              </w:rPr>
              <w:t>December 31,</w:t>
            </w:r>
          </w:p>
        </w:tc>
      </w:tr>
      <w:tr>
        <w:trPr>
          <w:trHeight w:val="111"/>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49"/>
              <w:spacing w:after="0"/>
              <w:rPr>
                <w:sz w:val="20"/>
                <w:szCs w:val="20"/>
                <w:color w:val="auto"/>
              </w:rPr>
            </w:pPr>
            <w:r>
              <w:rPr>
                <w:rFonts w:ascii="Arial" w:cs="Arial" w:eastAsia="Arial" w:hAnsi="Arial"/>
                <w:sz w:val="9"/>
                <w:szCs w:val="9"/>
                <w:b w:val="1"/>
                <w:bCs w:val="1"/>
                <w:color w:val="auto"/>
                <w:w w:val="89"/>
              </w:rPr>
              <w:t>2008</w:t>
            </w:r>
          </w:p>
        </w:tc>
        <w:tc>
          <w:tcPr>
            <w:tcW w:w="280" w:type="dxa"/>
            <w:vAlign w:val="bottom"/>
          </w:tcPr>
          <w:p>
            <w:pPr>
              <w:spacing w:after="0"/>
              <w:rPr>
                <w:sz w:val="9"/>
                <w:szCs w:val="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in Earnings</w:t>
            </w:r>
          </w:p>
        </w:tc>
        <w:tc>
          <w:tcPr>
            <w:tcW w:w="11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Income</w:t>
            </w:r>
          </w:p>
        </w:tc>
        <w:tc>
          <w:tcPr>
            <w:tcW w:w="11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0"/>
              </w:rPr>
              <w:t>Settlements</w:t>
            </w: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Level 3</w:t>
            </w: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89"/>
              </w:rPr>
              <w:t>2008</w:t>
            </w:r>
          </w:p>
        </w:tc>
        <w:tc>
          <w:tcPr>
            <w:tcW w:w="300" w:type="dxa"/>
            <w:vAlign w:val="bottom"/>
          </w:tcPr>
          <w:p>
            <w:pPr>
              <w:spacing w:after="0"/>
              <w:rPr>
                <w:sz w:val="9"/>
                <w:szCs w:val="9"/>
                <w:color w:val="auto"/>
              </w:rPr>
            </w:pPr>
          </w:p>
        </w:tc>
        <w:tc>
          <w:tcPr>
            <w:tcW w:w="1080" w:type="dxa"/>
            <w:vAlign w:val="bottom"/>
          </w:tcPr>
          <w:p>
            <w:pPr>
              <w:jc w:val="center"/>
              <w:spacing w:after="0"/>
              <w:rPr>
                <w:sz w:val="20"/>
                <w:szCs w:val="20"/>
                <w:color w:val="auto"/>
              </w:rPr>
            </w:pPr>
            <w:r>
              <w:rPr>
                <w:rFonts w:ascii="Arial" w:cs="Arial" w:eastAsia="Arial" w:hAnsi="Arial"/>
                <w:sz w:val="9"/>
                <w:szCs w:val="9"/>
                <w:b w:val="1"/>
                <w:bCs w:val="1"/>
                <w:color w:val="auto"/>
                <w:w w:val="89"/>
              </w:rPr>
              <w:t>2008</w:t>
            </w:r>
          </w:p>
        </w:tc>
        <w:tc>
          <w:tcPr>
            <w:tcW w:w="160" w:type="dxa"/>
            <w:vAlign w:val="bottom"/>
          </w:tcPr>
          <w:p>
            <w:pPr>
              <w:spacing w:after="0"/>
              <w:rPr>
                <w:sz w:val="9"/>
                <w:szCs w:val="9"/>
                <w:color w:val="auto"/>
              </w:rPr>
            </w:pPr>
          </w:p>
        </w:tc>
      </w:tr>
      <w:tr>
        <w:trPr>
          <w:trHeight w:val="117"/>
        </w:trPr>
        <w:tc>
          <w:tcPr>
            <w:tcW w:w="2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3"/>
              </w:rPr>
              <w:t>(In thousands)</w:t>
            </w:r>
          </w:p>
        </w:tc>
        <w:tc>
          <w:tcPr>
            <w:tcW w:w="2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266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 for sale:</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08"/>
        </w:trPr>
        <w:tc>
          <w:tcPr>
            <w:tcW w:w="2660" w:type="dxa"/>
            <w:vAlign w:val="bottom"/>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5,696</w:t>
            </w:r>
          </w:p>
        </w:tc>
        <w:tc>
          <w:tcPr>
            <w:tcW w:w="940" w:type="dxa"/>
            <w:vAlign w:val="bottom"/>
            <w:gridSpan w:val="2"/>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364</w:t>
            </w:r>
          </w:p>
        </w:tc>
        <w:tc>
          <w:tcPr>
            <w:tcW w:w="118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(528)</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5,532</w:t>
            </w:r>
          </w:p>
        </w:tc>
        <w:tc>
          <w:tcPr>
            <w:tcW w:w="12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r>
      <w:tr>
        <w:trPr>
          <w:trHeight w:val="108"/>
        </w:trPr>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50</w:t>
            </w:r>
          </w:p>
        </w:tc>
        <w:tc>
          <w:tcPr>
            <w:tcW w:w="9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(5)</w:t>
            </w:r>
          </w:p>
        </w:tc>
        <w:tc>
          <w:tcPr>
            <w:tcW w:w="11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(7)</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38</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r>
      <w:tr>
        <w:trPr>
          <w:trHeight w:val="95"/>
        </w:trPr>
        <w:tc>
          <w:tcPr>
            <w:tcW w:w="2660" w:type="dxa"/>
            <w:vAlign w:val="bottom"/>
          </w:tcPr>
          <w:p>
            <w:pPr>
              <w:spacing w:after="0" w:line="95" w:lineRule="exact"/>
              <w:rPr>
                <w:sz w:val="20"/>
                <w:szCs w:val="20"/>
                <w:color w:val="auto"/>
              </w:rPr>
            </w:pPr>
            <w:r>
              <w:rPr>
                <w:rFonts w:ascii="Arial" w:cs="Arial" w:eastAsia="Arial" w:hAnsi="Arial"/>
                <w:sz w:val="10"/>
                <w:szCs w:val="10"/>
                <w:color w:val="auto"/>
              </w:rPr>
              <w:t>Government issued or guaranteed mortgage-backed</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21"/>
        </w:trPr>
        <w:tc>
          <w:tcPr>
            <w:tcW w:w="2660" w:type="dxa"/>
            <w:vAlign w:val="bottom"/>
          </w:tcPr>
          <w:p>
            <w:pPr>
              <w:ind w:left="120"/>
              <w:spacing w:after="0"/>
              <w:rPr>
                <w:sz w:val="20"/>
                <w:szCs w:val="20"/>
                <w:color w:val="auto"/>
              </w:rPr>
            </w:pPr>
            <w:r>
              <w:rPr>
                <w:rFonts w:ascii="Arial" w:cs="Arial" w:eastAsia="Arial" w:hAnsi="Arial"/>
                <w:sz w:val="10"/>
                <w:szCs w:val="10"/>
                <w:color w:val="auto"/>
              </w:rPr>
              <w:t>securities</w:t>
            </w:r>
          </w:p>
        </w:tc>
        <w:tc>
          <w:tcPr>
            <w:tcW w:w="80" w:type="dxa"/>
            <w:vAlign w:val="bottom"/>
          </w:tcPr>
          <w:p>
            <w:pPr>
              <w:spacing w:after="0"/>
              <w:rPr>
                <w:sz w:val="10"/>
                <w:szCs w:val="1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0"/>
                <w:szCs w:val="10"/>
                <w:color w:val="auto"/>
              </w:rPr>
              <w:t>118,992</w:t>
            </w:r>
          </w:p>
        </w:tc>
        <w:tc>
          <w:tcPr>
            <w:tcW w:w="94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0"/>
                <w:szCs w:val="10"/>
                <w:color w:val="auto"/>
              </w:rPr>
              <w:t>878</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(6,390)</w:t>
            </w:r>
          </w:p>
        </w:tc>
        <w:tc>
          <w:tcPr>
            <w:tcW w:w="1000" w:type="dxa"/>
            <w:vAlign w:val="bottom"/>
            <w:gridSpan w:val="2"/>
          </w:tcPr>
          <w:p>
            <w:pPr>
              <w:jc w:val="right"/>
              <w:ind w:right="260"/>
              <w:spacing w:after="0"/>
              <w:rPr>
                <w:sz w:val="20"/>
                <w:szCs w:val="20"/>
                <w:color w:val="auto"/>
              </w:rPr>
            </w:pPr>
            <w:r>
              <w:rPr>
                <w:rFonts w:ascii="Arial" w:cs="Arial" w:eastAsia="Arial" w:hAnsi="Arial"/>
                <w:sz w:val="10"/>
                <w:szCs w:val="10"/>
                <w:color w:val="auto"/>
              </w:rPr>
              <w:t>(28,936)</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color w:val="auto"/>
              </w:rPr>
              <w:t>84,544</w:t>
            </w:r>
          </w:p>
        </w:tc>
        <w:tc>
          <w:tcPr>
            <w:tcW w:w="12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r>
      <w:tr>
        <w:trPr>
          <w:trHeight w:val="95"/>
        </w:trPr>
        <w:tc>
          <w:tcPr>
            <w:tcW w:w="26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Privately issued residential and commercial mortgage-</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r>
      <w:tr>
        <w:trPr>
          <w:trHeight w:val="121"/>
        </w:trPr>
        <w:tc>
          <w:tcPr>
            <w:tcW w:w="26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backed securities</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1,159,644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(12,483)(a)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(408,211)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(236,669)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1,865,319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2,367,600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(12,483)(a)</w:t>
            </w:r>
          </w:p>
        </w:tc>
      </w:tr>
      <w:tr>
        <w:trPr>
          <w:trHeight w:val="108"/>
        </w:trPr>
        <w:tc>
          <w:tcPr>
            <w:tcW w:w="2660" w:type="dxa"/>
            <w:vAlign w:val="bottom"/>
          </w:tcPr>
          <w:p>
            <w:pPr>
              <w:spacing w:after="0" w:line="108" w:lineRule="exact"/>
              <w:rPr>
                <w:sz w:val="20"/>
                <w:szCs w:val="20"/>
                <w:color w:val="auto"/>
              </w:rPr>
            </w:pPr>
            <w:r>
              <w:rPr>
                <w:rFonts w:ascii="Arial" w:cs="Arial" w:eastAsia="Arial" w:hAnsi="Arial"/>
                <w:sz w:val="10"/>
                <w:szCs w:val="10"/>
                <w:color w:val="auto"/>
              </w:rPr>
              <w:t>Collateralized debt obligations</w:t>
            </w:r>
          </w:p>
        </w:tc>
        <w:tc>
          <w:tcPr>
            <w:tcW w:w="80" w:type="dxa"/>
            <w:vAlign w:val="bottom"/>
          </w:tcPr>
          <w:p>
            <w:pPr>
              <w:spacing w:after="0"/>
              <w:rPr>
                <w:sz w:val="9"/>
                <w:szCs w:val="9"/>
                <w:color w:val="auto"/>
              </w:rPr>
            </w:pPr>
          </w:p>
        </w:tc>
        <w:tc>
          <w:tcPr>
            <w:tcW w:w="80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27,115</w:t>
            </w:r>
          </w:p>
        </w:tc>
        <w:tc>
          <w:tcPr>
            <w:tcW w:w="9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(11,413)(a)</w:t>
            </w:r>
          </w:p>
        </w:tc>
        <w:tc>
          <w:tcPr>
            <w:tcW w:w="11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(13,232)</w:t>
            </w:r>
          </w:p>
        </w:tc>
        <w:tc>
          <w:tcPr>
            <w:tcW w:w="11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2,496</w:t>
            </w:r>
          </w:p>
        </w:tc>
        <w:tc>
          <w:tcPr>
            <w:tcW w:w="12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(11,413)(a)</w:t>
            </w:r>
          </w:p>
        </w:tc>
      </w:tr>
      <w:tr>
        <w:trPr>
          <w:trHeight w:val="108"/>
        </w:trPr>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2,324</w:t>
            </w:r>
          </w:p>
        </w:tc>
        <w:tc>
          <w:tcPr>
            <w:tcW w:w="94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(9)</w:t>
            </w:r>
          </w:p>
        </w:tc>
        <w:tc>
          <w:tcPr>
            <w:tcW w:w="1180" w:type="dxa"/>
            <w:vAlign w:val="bottom"/>
            <w:gridSpan w:val="2"/>
            <w:shd w:val="clear" w:color="auto" w:fill="CCEEFF"/>
          </w:tcPr>
          <w:p>
            <w:pPr>
              <w:jc w:val="right"/>
              <w:ind w:right="240"/>
              <w:spacing w:after="0" w:line="108" w:lineRule="exact"/>
              <w:rPr>
                <w:sz w:val="20"/>
                <w:szCs w:val="20"/>
                <w:color w:val="auto"/>
              </w:rPr>
            </w:pPr>
            <w:r>
              <w:rPr>
                <w:rFonts w:ascii="Arial" w:cs="Arial" w:eastAsia="Arial" w:hAnsi="Arial"/>
                <w:sz w:val="10"/>
                <w:szCs w:val="10"/>
                <w:color w:val="auto"/>
              </w:rPr>
              <w:t>(13)</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2,302</w:t>
            </w:r>
          </w:p>
        </w:tc>
        <w:tc>
          <w:tcPr>
            <w:tcW w:w="12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r>
      <w:tr>
        <w:trPr>
          <w:trHeight w:val="108"/>
        </w:trPr>
        <w:tc>
          <w:tcPr>
            <w:tcW w:w="2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1,313,821</w:t>
            </w:r>
          </w:p>
        </w:tc>
        <w:tc>
          <w:tcPr>
            <w:tcW w:w="280" w:type="dxa"/>
            <w:vAlign w:val="bottom"/>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(23,896)</w:t>
            </w:r>
          </w:p>
        </w:tc>
        <w:tc>
          <w:tcPr>
            <w:tcW w:w="340" w:type="dxa"/>
            <w:vAlign w:val="bottom"/>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(420,215)</w:t>
            </w:r>
          </w:p>
        </w:tc>
        <w:tc>
          <w:tcPr>
            <w:tcW w:w="300" w:type="dxa"/>
            <w:vAlign w:val="bottom"/>
          </w:tcPr>
          <w:p>
            <w:pPr>
              <w:spacing w:after="0"/>
              <w:rPr>
                <w:sz w:val="9"/>
                <w:szCs w:val="9"/>
                <w:color w:val="auto"/>
              </w:rPr>
            </w:pPr>
          </w:p>
        </w:tc>
        <w:tc>
          <w:tcPr>
            <w:tcW w:w="9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(243,607)</w:t>
            </w:r>
          </w:p>
        </w:tc>
        <w:tc>
          <w:tcPr>
            <w:tcW w:w="280" w:type="dxa"/>
            <w:vAlign w:val="bottom"/>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1,836,409</w:t>
            </w:r>
          </w:p>
        </w:tc>
        <w:tc>
          <w:tcPr>
            <w:tcW w:w="300" w:type="dxa"/>
            <w:vAlign w:val="bottom"/>
          </w:tcPr>
          <w:p>
            <w:pPr>
              <w:spacing w:after="0"/>
              <w:rPr>
                <w:sz w:val="9"/>
                <w:szCs w:val="9"/>
                <w:color w:val="auto"/>
              </w:rPr>
            </w:pPr>
          </w:p>
        </w:tc>
        <w:tc>
          <w:tcPr>
            <w:tcW w:w="6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2,462,512</w:t>
            </w:r>
          </w:p>
        </w:tc>
        <w:tc>
          <w:tcPr>
            <w:tcW w:w="300" w:type="dxa"/>
            <w:vAlign w:val="bottom"/>
          </w:tcPr>
          <w:p>
            <w:pPr>
              <w:spacing w:after="0"/>
              <w:rPr>
                <w:sz w:val="9"/>
                <w:szCs w:val="9"/>
                <w:color w:val="auto"/>
              </w:rPr>
            </w:pPr>
          </w:p>
        </w:tc>
        <w:tc>
          <w:tcPr>
            <w:tcW w:w="10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(23,896)</w:t>
            </w:r>
          </w:p>
        </w:tc>
        <w:tc>
          <w:tcPr>
            <w:tcW w:w="160" w:type="dxa"/>
            <w:vAlign w:val="bottom"/>
          </w:tcPr>
          <w:p>
            <w:pPr>
              <w:spacing w:after="0"/>
              <w:rPr>
                <w:sz w:val="9"/>
                <w:szCs w:val="9"/>
                <w:color w:val="auto"/>
              </w:rPr>
            </w:pPr>
          </w:p>
        </w:tc>
      </w:tr>
      <w:tr>
        <w:trPr>
          <w:trHeight w:val="108"/>
        </w:trPr>
        <w:tc>
          <w:tcPr>
            <w:tcW w:w="26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assets and other liabilities</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2,654</w:t>
            </w:r>
          </w:p>
        </w:tc>
        <w:tc>
          <w:tcPr>
            <w:tcW w:w="9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31,356(b)</w:t>
            </w:r>
          </w:p>
        </w:tc>
        <w:tc>
          <w:tcPr>
            <w:tcW w:w="11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1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(25,744)</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8,266</w:t>
            </w:r>
          </w:p>
        </w:tc>
        <w:tc>
          <w:tcPr>
            <w:tcW w:w="1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8,266(b)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080" w:hanging="393"/>
        <w:spacing w:after="0"/>
        <w:tabs>
          <w:tab w:leader="none" w:pos="108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an other-than-temporary impairment loss in the consolidated statement of income or as gain (loss) on bank investment securities.</w:t>
      </w:r>
    </w:p>
    <w:p>
      <w:pPr>
        <w:spacing w:after="0" w:line="47" w:lineRule="exact"/>
        <w:rPr>
          <w:rFonts w:ascii="Arial" w:cs="Arial" w:eastAsia="Arial" w:hAnsi="Arial"/>
          <w:sz w:val="13"/>
          <w:szCs w:val="13"/>
          <w:i w:val="1"/>
          <w:iCs w:val="1"/>
          <w:color w:val="auto"/>
        </w:rPr>
      </w:pPr>
    </w:p>
    <w:p>
      <w:pPr>
        <w:ind w:left="1080" w:hanging="393"/>
        <w:spacing w:after="0"/>
        <w:tabs>
          <w:tab w:leader="none" w:pos="108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mortgage banking revenues in the consolidated statement of income and includes the fair value of commitment issuances and expirations.</w:t>
      </w:r>
    </w:p>
    <w:p>
      <w:pPr>
        <w:spacing w:after="0" w:line="47" w:lineRule="exact"/>
        <w:rPr>
          <w:rFonts w:ascii="Arial" w:cs="Arial" w:eastAsia="Arial" w:hAnsi="Arial"/>
          <w:sz w:val="13"/>
          <w:szCs w:val="13"/>
          <w:i w:val="1"/>
          <w:iCs w:val="1"/>
          <w:color w:val="auto"/>
        </w:rPr>
      </w:pPr>
    </w:p>
    <w:p>
      <w:pPr>
        <w:ind w:left="1080" w:hanging="393"/>
        <w:spacing w:after="0"/>
        <w:tabs>
          <w:tab w:leader="none" w:pos="1080" w:val="left"/>
        </w:tabs>
        <w:numPr>
          <w:ilvl w:val="0"/>
          <w:numId w:val="60"/>
        </w:numPr>
        <w:rPr>
          <w:rFonts w:ascii="Arial" w:cs="Arial" w:eastAsia="Arial" w:hAnsi="Arial"/>
          <w:sz w:val="12"/>
          <w:szCs w:val="12"/>
          <w:i w:val="1"/>
          <w:iCs w:val="1"/>
          <w:color w:val="auto"/>
        </w:rPr>
      </w:pPr>
      <w:r>
        <w:rPr>
          <w:rFonts w:ascii="Arial" w:cs="Arial" w:eastAsia="Arial" w:hAnsi="Arial"/>
          <w:sz w:val="12"/>
          <w:szCs w:val="12"/>
          <w:i w:val="1"/>
          <w:iCs w:val="1"/>
          <w:color w:val="auto"/>
        </w:rPr>
        <w:t>The Company’s policy for transfers between fair value levels is to recognize the transfer as of the actual date of the event or change in circumstances that caused the transfer.</w:t>
      </w:r>
    </w:p>
    <w:p>
      <w:pPr>
        <w:spacing w:after="0" w:line="58" w:lineRule="exact"/>
        <w:rPr>
          <w:rFonts w:ascii="Arial" w:cs="Arial" w:eastAsia="Arial" w:hAnsi="Arial"/>
          <w:sz w:val="12"/>
          <w:szCs w:val="12"/>
          <w:i w:val="1"/>
          <w:iCs w:val="1"/>
          <w:color w:val="auto"/>
        </w:rPr>
      </w:pPr>
    </w:p>
    <w:p>
      <w:pPr>
        <w:ind w:left="1080" w:hanging="393"/>
        <w:spacing w:after="0"/>
        <w:tabs>
          <w:tab w:leader="none" w:pos="1080" w:val="left"/>
        </w:tabs>
        <w:numPr>
          <w:ilvl w:val="0"/>
          <w:numId w:val="60"/>
        </w:numPr>
        <w:rPr>
          <w:rFonts w:ascii="Arial" w:cs="Arial" w:eastAsia="Arial" w:hAnsi="Arial"/>
          <w:sz w:val="12"/>
          <w:szCs w:val="12"/>
          <w:i w:val="1"/>
          <w:iCs w:val="1"/>
          <w:color w:val="auto"/>
        </w:rPr>
      </w:pPr>
      <w:r>
        <w:rPr>
          <w:rFonts w:ascii="Arial" w:cs="Arial" w:eastAsia="Arial" w:hAnsi="Arial"/>
          <w:sz w:val="12"/>
          <w:szCs w:val="12"/>
          <w:i w:val="1"/>
          <w:iCs w:val="1"/>
          <w:color w:val="auto"/>
        </w:rPr>
        <w:t>As a result of the Company’s adoption of new accounting rules governing the consolidation of variable interest entities, effective January 1, 2010 the Company derecognized</w:t>
      </w:r>
    </w:p>
    <w:p>
      <w:pPr>
        <w:spacing w:after="0" w:line="26" w:lineRule="exact"/>
        <w:rPr>
          <w:rFonts w:ascii="Arial" w:cs="Arial" w:eastAsia="Arial" w:hAnsi="Arial"/>
          <w:sz w:val="12"/>
          <w:szCs w:val="12"/>
          <w:i w:val="1"/>
          <w:iCs w:val="1"/>
          <w:color w:val="auto"/>
        </w:rPr>
      </w:pPr>
    </w:p>
    <w:p>
      <w:pPr>
        <w:ind w:left="1080" w:right="260"/>
        <w:spacing w:after="0" w:line="264" w:lineRule="auto"/>
        <w:rPr>
          <w:rFonts w:ascii="Arial" w:cs="Arial" w:eastAsia="Arial" w:hAnsi="Arial"/>
          <w:sz w:val="12"/>
          <w:szCs w:val="12"/>
          <w:i w:val="1"/>
          <w:iCs w:val="1"/>
          <w:color w:val="auto"/>
        </w:rPr>
      </w:pPr>
      <w:r>
        <w:rPr>
          <w:rFonts w:ascii="Arial" w:cs="Arial" w:eastAsia="Arial" w:hAnsi="Arial"/>
          <w:sz w:val="13"/>
          <w:szCs w:val="13"/>
          <w:i w:val="1"/>
          <w:iCs w:val="1"/>
          <w:color w:val="auto"/>
        </w:rPr>
        <w:t>$355 million of available-for-sale investment securities previously classified as Level 3 measurements. Further information regarding the Company’s adoption of new accounting requirements is included in note 19.</w:t>
      </w:r>
    </w:p>
    <w:p>
      <w:pPr>
        <w:spacing w:after="0" w:line="63" w:lineRule="exact"/>
        <w:rPr>
          <w:sz w:val="20"/>
          <w:szCs w:val="20"/>
          <w:color w:val="auto"/>
        </w:rPr>
      </w:pPr>
    </w:p>
    <w:p>
      <w:pPr>
        <w:ind w:left="680" w:right="40" w:firstLine="599"/>
        <w:spacing w:after="0" w:line="280" w:lineRule="auto"/>
        <w:rPr>
          <w:sz w:val="20"/>
          <w:szCs w:val="20"/>
          <w:color w:val="auto"/>
        </w:rPr>
      </w:pPr>
      <w:r>
        <w:rPr>
          <w:rFonts w:ascii="Arial" w:cs="Arial" w:eastAsia="Arial" w:hAnsi="Arial"/>
          <w:sz w:val="14"/>
          <w:szCs w:val="14"/>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w:t>
      </w:r>
    </w:p>
    <w:p>
      <w:pPr>
        <w:spacing w:after="0" w:line="18"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100"/>
        <w:spacing w:after="0" w:line="254" w:lineRule="auto"/>
        <w:rPr>
          <w:sz w:val="20"/>
          <w:szCs w:val="20"/>
          <w:color w:val="auto"/>
        </w:rPr>
      </w:pPr>
      <w:r>
        <w:rPr>
          <w:rFonts w:ascii="Arial" w:cs="Arial" w:eastAsia="Arial" w:hAnsi="Arial"/>
          <w:sz w:val="14"/>
          <w:szCs w:val="14"/>
          <w:color w:val="auto"/>
        </w:rPr>
        <w:t>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$746 million at December 31, 2010, ($476 million and $270 million of which were classified as Level 2 and Level 3, respectively) and $901 million at December 31, 2009 ($547 million and $354 million of which were classified as Level 2 and Level 3, respectively). Changes in fair value recognized for partial charge-offs of loans and loan impairment reserves on loans held by the Company on December 31, 2010 were decreases of $224 million for the year ended December 31, 2010, and on loans held by the Company on December 31, 2009 were decreases of $343 million for the year ended December 31, 2009</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8"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There were no changes in the fair value of capitalized servicing rights recognized for the year ended December 31, 2010. At December 31, 2010 and</w:t>
      </w:r>
    </w:p>
    <w:p>
      <w:pPr>
        <w:spacing w:after="0" w:line="2" w:lineRule="exact"/>
        <w:rPr>
          <w:sz w:val="20"/>
          <w:szCs w:val="20"/>
          <w:color w:val="auto"/>
        </w:rPr>
      </w:pPr>
    </w:p>
    <w:p>
      <w:pPr>
        <w:ind w:left="680" w:right="40"/>
        <w:spacing w:after="0" w:line="263" w:lineRule="auto"/>
        <w:rPr>
          <w:sz w:val="20"/>
          <w:szCs w:val="20"/>
          <w:color w:val="auto"/>
        </w:rPr>
      </w:pPr>
      <w:r>
        <w:rPr>
          <w:rFonts w:ascii="Arial" w:cs="Arial" w:eastAsia="Arial" w:hAnsi="Arial"/>
          <w:sz w:val="14"/>
          <w:szCs w:val="14"/>
          <w:color w:val="auto"/>
        </w:rPr>
        <w:t>December 31, 2009, no stratum of capitalized servicing rights had a carrying value equal to its fair value. Changes in fair value of capitalized servicing rights recognized for the year ended December 31, 2009 reflected increases in fair value of $22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Assets taken in foreclosure of defaulted loans</w:t>
      </w:r>
    </w:p>
    <w:p>
      <w:pPr>
        <w:spacing w:after="0" w:line="18" w:lineRule="exact"/>
        <w:rPr>
          <w:sz w:val="20"/>
          <w:szCs w:val="20"/>
          <w:color w:val="auto"/>
        </w:rPr>
      </w:pPr>
    </w:p>
    <w:p>
      <w:pPr>
        <w:ind w:left="680" w:right="120"/>
        <w:spacing w:after="0" w:line="251" w:lineRule="auto"/>
        <w:rPr>
          <w:sz w:val="20"/>
          <w:szCs w:val="20"/>
          <w:color w:val="auto"/>
        </w:rPr>
      </w:pPr>
      <w:r>
        <w:rPr>
          <w:rFonts w:ascii="Arial" w:cs="Arial" w:eastAsia="Arial" w:hAnsi="Arial"/>
          <w:sz w:val="14"/>
          <w:szCs w:val="14"/>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$176 million and $43 million at December 31, 2010 and December 31, 2009, respectively. Changes in fair value recognized for those foreclosed assets held by the Company at December 31, 2010 were $37 million for the year ended December 31, 2010. Changes in fair value recognized for those foreclosed assets held by the Company at December 31, 2009 were $24 million for the year ended December 31, 2009.</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Disclosures of fair value of financial instruments</w:t>
      </w:r>
    </w:p>
    <w:p>
      <w:pPr>
        <w:spacing w:after="0" w:line="18"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0"/>
        <w:spacing w:after="0" w:line="277" w:lineRule="auto"/>
        <w:rPr>
          <w:sz w:val="20"/>
          <w:szCs w:val="20"/>
          <w:color w:val="auto"/>
        </w:rPr>
      </w:pPr>
      <w:r>
        <w:rPr>
          <w:rFonts w:ascii="Arial" w:cs="Arial" w:eastAsia="Arial" w:hAnsi="Arial"/>
          <w:sz w:val="13"/>
          <w:szCs w:val="13"/>
          <w:color w:val="auto"/>
        </w:rPr>
        <w:t>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carrying amounts and estimated fair value for financial instrument assets (liabilities) are presented in the following table:</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2010</w:t>
            </w:r>
          </w:p>
        </w:tc>
        <w:tc>
          <w:tcPr>
            <w:tcW w:w="7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2009</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tcPr>
          <w:p>
            <w:pPr>
              <w:jc w:val="right"/>
              <w:ind w:right="70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60" w:type="dxa"/>
            <w:vAlign w:val="bottom"/>
          </w:tcPr>
          <w:p>
            <w:pPr>
              <w:jc w:val="right"/>
              <w:ind w:right="196"/>
              <w:spacing w:after="0" w:line="81" w:lineRule="exact"/>
              <w:rPr>
                <w:sz w:val="20"/>
                <w:szCs w:val="20"/>
                <w:color w:val="auto"/>
              </w:rPr>
            </w:pPr>
            <w:r>
              <w:rPr>
                <w:rFonts w:ascii="Arial" w:cs="Arial" w:eastAsia="Arial" w:hAnsi="Arial"/>
                <w:sz w:val="9"/>
                <w:szCs w:val="9"/>
                <w:b w:val="1"/>
                <w:bCs w:val="1"/>
                <w:color w:val="auto"/>
              </w:rPr>
              <w:t>Calculated</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tcPr>
          <w:p>
            <w:pPr>
              <w:jc w:val="center"/>
              <w:ind w:right="60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40" w:type="dxa"/>
            <w:vAlign w:val="bottom"/>
          </w:tcPr>
          <w:p>
            <w:pPr>
              <w:jc w:val="center"/>
              <w:ind w:right="176"/>
              <w:spacing w:after="0" w:line="81" w:lineRule="exact"/>
              <w:rPr>
                <w:sz w:val="20"/>
                <w:szCs w:val="20"/>
                <w:color w:val="auto"/>
              </w:rPr>
            </w:pPr>
            <w:r>
              <w:rPr>
                <w:rFonts w:ascii="Arial" w:cs="Arial" w:eastAsia="Arial" w:hAnsi="Arial"/>
                <w:sz w:val="9"/>
                <w:szCs w:val="9"/>
                <w:b w:val="1"/>
                <w:bCs w:val="1"/>
                <w:color w:val="auto"/>
              </w:rPr>
              <w:t>Calculated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Estimate</w:t>
            </w: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156"/>
              <w:spacing w:after="0"/>
              <w:rPr>
                <w:sz w:val="20"/>
                <w:szCs w:val="20"/>
                <w:color w:val="auto"/>
              </w:rPr>
            </w:pPr>
            <w:r>
              <w:rPr>
                <w:rFonts w:ascii="Arial" w:cs="Arial" w:eastAsia="Arial" w:hAnsi="Arial"/>
                <w:sz w:val="10"/>
                <w:szCs w:val="10"/>
                <w:b w:val="1"/>
                <w:bCs w:val="1"/>
                <w:color w:val="auto"/>
                <w:w w:val="95"/>
              </w:rPr>
              <w:t>Amount</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76"/>
              <w:spacing w:after="0"/>
              <w:rPr>
                <w:sz w:val="20"/>
                <w:szCs w:val="20"/>
                <w:color w:val="auto"/>
              </w:rPr>
            </w:pPr>
            <w:r>
              <w:rPr>
                <w:rFonts w:ascii="Arial" w:cs="Arial" w:eastAsia="Arial" w:hAnsi="Arial"/>
                <w:sz w:val="10"/>
                <w:szCs w:val="10"/>
                <w:b w:val="1"/>
                <w:bCs w:val="1"/>
                <w:color w:val="auto"/>
                <w:w w:val="91"/>
              </w:rPr>
              <w:t>Estimate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2"/>
              </w:rPr>
              <w:t>thousands)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933,755</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8"/>
              <w:spacing w:after="0"/>
              <w:rPr>
                <w:sz w:val="20"/>
                <w:szCs w:val="20"/>
                <w:color w:val="auto"/>
              </w:rPr>
            </w:pPr>
            <w:r>
              <w:rPr>
                <w:rFonts w:ascii="Arial" w:cs="Arial" w:eastAsia="Arial" w:hAnsi="Arial"/>
                <w:sz w:val="13"/>
                <w:szCs w:val="13"/>
                <w:color w:val="auto"/>
              </w:rPr>
              <w:t>933,755</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1,246,342</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1,246,342</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Interest-bearing deposits at banks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101,222</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101,222</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133,335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133,335</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Trading account assets</w:t>
            </w:r>
          </w:p>
        </w:tc>
        <w:tc>
          <w:tcPr>
            <w:tcW w:w="18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523,834</w:t>
            </w:r>
          </w:p>
        </w:tc>
        <w:tc>
          <w:tcPr>
            <w:tcW w:w="240" w:type="dxa"/>
            <w:vAlign w:val="bottom"/>
          </w:tcPr>
          <w:p>
            <w:pPr>
              <w:spacing w:after="0"/>
              <w:rPr>
                <w:sz w:val="13"/>
                <w:szCs w:val="13"/>
                <w:color w:val="auto"/>
              </w:rPr>
            </w:pPr>
          </w:p>
        </w:tc>
        <w:tc>
          <w:tcPr>
            <w:tcW w:w="1140" w:type="dxa"/>
            <w:vAlign w:val="bottom"/>
            <w:gridSpan w:val="2"/>
          </w:tcPr>
          <w:p>
            <w:pPr>
              <w:jc w:val="right"/>
              <w:ind w:right="328"/>
              <w:spacing w:after="0"/>
              <w:rPr>
                <w:sz w:val="20"/>
                <w:szCs w:val="20"/>
                <w:color w:val="auto"/>
              </w:rPr>
            </w:pPr>
            <w:r>
              <w:rPr>
                <w:rFonts w:ascii="Arial" w:cs="Arial" w:eastAsia="Arial" w:hAnsi="Arial"/>
                <w:sz w:val="13"/>
                <w:szCs w:val="13"/>
                <w:color w:val="auto"/>
              </w:rPr>
              <w:t>523,834</w:t>
            </w: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386,984</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386,984</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7,150,540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7,051,454</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7,780,609</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7,629,485</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Loans and leases: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Commercial loans and leases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13,390,610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13,135,569</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13,479,447</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13,090,206</w:t>
            </w:r>
          </w:p>
        </w:tc>
        <w:tc>
          <w:tcPr>
            <w:tcW w:w="0" w:type="dxa"/>
            <w:vAlign w:val="bottom"/>
          </w:tcPr>
          <w:p>
            <w:pPr>
              <w:spacing w:after="0"/>
              <w:rPr>
                <w:sz w:val="1"/>
                <w:szCs w:val="1"/>
                <w:color w:val="auto"/>
              </w:rPr>
            </w:pPr>
          </w:p>
        </w:tc>
      </w:tr>
      <w:tr>
        <w:trPr>
          <w:trHeight w:val="157"/>
        </w:trPr>
        <w:tc>
          <w:tcPr>
            <w:tcW w:w="4700" w:type="dxa"/>
            <w:vAlign w:val="bottom"/>
          </w:tcPr>
          <w:p>
            <w:pPr>
              <w:ind w:left="280"/>
              <w:spacing w:after="0"/>
              <w:rPr>
                <w:sz w:val="20"/>
                <w:szCs w:val="20"/>
                <w:color w:val="auto"/>
              </w:rPr>
            </w:pPr>
            <w:r>
              <w:rPr>
                <w:rFonts w:ascii="Arial" w:cs="Arial" w:eastAsia="Arial" w:hAnsi="Arial"/>
                <w:sz w:val="13"/>
                <w:szCs w:val="13"/>
                <w:color w:val="auto"/>
              </w:rPr>
              <w:t>Commercial real estate loans</w:t>
            </w:r>
          </w:p>
        </w:tc>
        <w:tc>
          <w:tcPr>
            <w:tcW w:w="18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21,183,161</w:t>
            </w:r>
          </w:p>
        </w:tc>
        <w:tc>
          <w:tcPr>
            <w:tcW w:w="240" w:type="dxa"/>
            <w:vAlign w:val="bottom"/>
          </w:tcPr>
          <w:p>
            <w:pPr>
              <w:spacing w:after="0"/>
              <w:rPr>
                <w:sz w:val="13"/>
                <w:szCs w:val="13"/>
                <w:color w:val="auto"/>
              </w:rPr>
            </w:pPr>
          </w:p>
        </w:tc>
        <w:tc>
          <w:tcPr>
            <w:tcW w:w="1140" w:type="dxa"/>
            <w:vAlign w:val="bottom"/>
            <w:gridSpan w:val="2"/>
          </w:tcPr>
          <w:p>
            <w:pPr>
              <w:jc w:val="right"/>
              <w:ind w:right="328"/>
              <w:spacing w:after="0"/>
              <w:rPr>
                <w:sz w:val="20"/>
                <w:szCs w:val="20"/>
                <w:color w:val="auto"/>
              </w:rPr>
            </w:pPr>
            <w:r>
              <w:rPr>
                <w:rFonts w:ascii="Arial" w:cs="Arial" w:eastAsia="Arial" w:hAnsi="Arial"/>
                <w:sz w:val="13"/>
                <w:szCs w:val="13"/>
                <w:color w:val="auto"/>
              </w:rPr>
              <w:t>20,840,346</w:t>
            </w: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20,949,931</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20,426,273</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Residential real estate loans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5,928,056</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5,699,028</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5,463,463</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5,058,763</w:t>
            </w:r>
          </w:p>
        </w:tc>
        <w:tc>
          <w:tcPr>
            <w:tcW w:w="0" w:type="dxa"/>
            <w:vAlign w:val="bottom"/>
          </w:tcPr>
          <w:p>
            <w:pPr>
              <w:spacing w:after="0"/>
              <w:rPr>
                <w:sz w:val="1"/>
                <w:szCs w:val="1"/>
                <w:color w:val="auto"/>
              </w:rPr>
            </w:pPr>
          </w:p>
        </w:tc>
      </w:tr>
      <w:tr>
        <w:trPr>
          <w:trHeight w:val="157"/>
        </w:trPr>
        <w:tc>
          <w:tcPr>
            <w:tcW w:w="4700" w:type="dxa"/>
            <w:vAlign w:val="bottom"/>
          </w:tcPr>
          <w:p>
            <w:pPr>
              <w:ind w:left="280"/>
              <w:spacing w:after="0"/>
              <w:rPr>
                <w:sz w:val="20"/>
                <w:szCs w:val="20"/>
                <w:color w:val="auto"/>
              </w:rPr>
            </w:pPr>
            <w:r>
              <w:rPr>
                <w:rFonts w:ascii="Arial" w:cs="Arial" w:eastAsia="Arial" w:hAnsi="Arial"/>
                <w:sz w:val="13"/>
                <w:szCs w:val="13"/>
                <w:color w:val="auto"/>
              </w:rPr>
              <w:t>Consumer loans</w:t>
            </w:r>
          </w:p>
        </w:tc>
        <w:tc>
          <w:tcPr>
            <w:tcW w:w="18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11,488,555</w:t>
            </w:r>
          </w:p>
        </w:tc>
        <w:tc>
          <w:tcPr>
            <w:tcW w:w="240" w:type="dxa"/>
            <w:vAlign w:val="bottom"/>
          </w:tcPr>
          <w:p>
            <w:pPr>
              <w:spacing w:after="0"/>
              <w:rPr>
                <w:sz w:val="13"/>
                <w:szCs w:val="13"/>
                <w:color w:val="auto"/>
              </w:rPr>
            </w:pPr>
          </w:p>
        </w:tc>
        <w:tc>
          <w:tcPr>
            <w:tcW w:w="1140" w:type="dxa"/>
            <w:vAlign w:val="bottom"/>
            <w:gridSpan w:val="2"/>
          </w:tcPr>
          <w:p>
            <w:pPr>
              <w:jc w:val="right"/>
              <w:ind w:right="328"/>
              <w:spacing w:after="0"/>
              <w:rPr>
                <w:sz w:val="20"/>
                <w:szCs w:val="20"/>
                <w:color w:val="auto"/>
              </w:rPr>
            </w:pPr>
            <w:r>
              <w:rPr>
                <w:rFonts w:ascii="Arial" w:cs="Arial" w:eastAsia="Arial" w:hAnsi="Arial"/>
                <w:sz w:val="13"/>
                <w:szCs w:val="13"/>
                <w:color w:val="auto"/>
              </w:rPr>
              <w:t>11,178,583</w:t>
            </w: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12,043,845</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11,575,525</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Allowance for credit losses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(902,941)</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(878,022)</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0"/>
              <w:spacing w:after="0"/>
              <w:rPr>
                <w:sz w:val="20"/>
                <w:szCs w:val="20"/>
                <w:color w:val="auto"/>
              </w:rPr>
            </w:pPr>
            <w:r>
              <w:rPr>
                <w:rFonts w:ascii="Arial" w:cs="Arial" w:eastAsia="Arial" w:hAnsi="Arial"/>
                <w:sz w:val="13"/>
                <w:szCs w:val="13"/>
                <w:color w:val="auto"/>
              </w:rPr>
              <w:t>Loans and leases, net</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51,087,441</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50,853,526</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51,058,664</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50,150,767</w:t>
            </w: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interest receivable</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202,182</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202,182</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214,692</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214,692</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Financial liabilities: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Noninterest-bearing deposits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(14,557,568)</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(14,557,568)</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(13,794,636)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(13,794,636)</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Savings deposits and NOW accounts</w:t>
            </w:r>
          </w:p>
        </w:tc>
        <w:tc>
          <w:tcPr>
            <w:tcW w:w="18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(27,824,630)</w:t>
            </w:r>
          </w:p>
        </w:tc>
        <w:tc>
          <w:tcPr>
            <w:tcW w:w="2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3"/>
                <w:szCs w:val="13"/>
                <w:color w:val="auto"/>
              </w:rPr>
              <w:t>(27,824,630)</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(25,073,269)</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(25,073,269)</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Time deposits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(5,817,170)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(5,865,779)</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(7,531,495)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(7,592,214)</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Deposits at Cayman Islands office</w:t>
            </w:r>
          </w:p>
        </w:tc>
        <w:tc>
          <w:tcPr>
            <w:tcW w:w="18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(1,605,916)</w:t>
            </w:r>
          </w:p>
        </w:tc>
        <w:tc>
          <w:tcPr>
            <w:tcW w:w="2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3"/>
                <w:szCs w:val="13"/>
                <w:color w:val="auto"/>
              </w:rPr>
              <w:t>(1,605,916)</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(1,050,438)</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(1,050,438)</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Short-term borrowings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(947,432)</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(947,432)</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(2,442,582)</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(2,442,582)</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Long-term borrowings</w:t>
            </w:r>
          </w:p>
        </w:tc>
        <w:tc>
          <w:tcPr>
            <w:tcW w:w="18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(7,840,151)</w:t>
            </w:r>
          </w:p>
        </w:tc>
        <w:tc>
          <w:tcPr>
            <w:tcW w:w="2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3"/>
                <w:szCs w:val="13"/>
                <w:color w:val="auto"/>
              </w:rPr>
              <w:t>(7,937,397)</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(10,240,016)</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(9,822,153)</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interest payable</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(71,954)</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(71,954)</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(94,838)</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(94,838)</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Trading account liabilities</w:t>
            </w:r>
          </w:p>
        </w:tc>
        <w:tc>
          <w:tcPr>
            <w:tcW w:w="18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(333,222)</w:t>
            </w:r>
          </w:p>
        </w:tc>
        <w:tc>
          <w:tcPr>
            <w:tcW w:w="2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3"/>
                <w:szCs w:val="13"/>
                <w:color w:val="auto"/>
              </w:rPr>
              <w:t>(333,222)</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(302,198)</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(302,198)</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Other financial instruments:</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Commitments to originate real estate loans for sale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2,244</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28"/>
              <w:spacing w:after="0"/>
              <w:rPr>
                <w:sz w:val="20"/>
                <w:szCs w:val="20"/>
                <w:color w:val="auto"/>
              </w:rPr>
            </w:pPr>
            <w:r>
              <w:rPr>
                <w:rFonts w:ascii="Arial" w:cs="Arial" w:eastAsia="Arial" w:hAnsi="Arial"/>
                <w:sz w:val="13"/>
                <w:szCs w:val="13"/>
                <w:color w:val="auto"/>
              </w:rPr>
              <w:t>2,244</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(80)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Commitments to sell real estate loans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12,178</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12,178</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17,771</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17,771</w:t>
            </w: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rPr>
                <w:sz w:val="20"/>
                <w:szCs w:val="20"/>
                <w:color w:val="auto"/>
              </w:rPr>
            </w:pPr>
            <w:r>
              <w:rPr>
                <w:rFonts w:ascii="Arial" w:cs="Arial" w:eastAsia="Arial" w:hAnsi="Arial"/>
                <w:sz w:val="13"/>
                <w:szCs w:val="13"/>
                <w:color w:val="auto"/>
              </w:rPr>
              <w:t>Other credit-related commitments</w:t>
            </w:r>
          </w:p>
        </w:tc>
        <w:tc>
          <w:tcPr>
            <w:tcW w:w="18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(74,426)</w:t>
            </w:r>
          </w:p>
        </w:tc>
        <w:tc>
          <w:tcPr>
            <w:tcW w:w="240" w:type="dxa"/>
            <w:vAlign w:val="bottom"/>
          </w:tcPr>
          <w:p>
            <w:pPr>
              <w:spacing w:after="0"/>
              <w:rPr>
                <w:sz w:val="13"/>
                <w:szCs w:val="13"/>
                <w:color w:val="auto"/>
              </w:rPr>
            </w:pPr>
          </w:p>
        </w:tc>
        <w:tc>
          <w:tcPr>
            <w:tcW w:w="1140" w:type="dxa"/>
            <w:vAlign w:val="bottom"/>
            <w:gridSpan w:val="2"/>
          </w:tcPr>
          <w:p>
            <w:pPr>
              <w:jc w:val="right"/>
              <w:ind w:right="288"/>
              <w:spacing w:after="0"/>
              <w:rPr>
                <w:sz w:val="20"/>
                <w:szCs w:val="20"/>
                <w:color w:val="auto"/>
              </w:rPr>
            </w:pPr>
            <w:r>
              <w:rPr>
                <w:rFonts w:ascii="Arial" w:cs="Arial" w:eastAsia="Arial" w:hAnsi="Arial"/>
                <w:sz w:val="13"/>
                <w:szCs w:val="13"/>
                <w:color w:val="auto"/>
              </w:rPr>
              <w:t>(74,426)</w:t>
            </w: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(55,954)</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(55,954)</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swap agreements used for interest rate risk management</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96,637</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96,637</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54,486</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54,486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300" w:firstLine="399"/>
        <w:spacing w:after="0" w:line="280" w:lineRule="auto"/>
        <w:rPr>
          <w:sz w:val="20"/>
          <w:szCs w:val="20"/>
          <w:color w:val="auto"/>
        </w:rPr>
      </w:pPr>
      <w:r>
        <w:rPr>
          <w:rFonts w:ascii="Arial" w:cs="Arial" w:eastAsia="Arial" w:hAnsi="Arial"/>
          <w:sz w:val="14"/>
          <w:szCs w:val="14"/>
          <w:color w:val="auto"/>
        </w:rPr>
        <w:t>The following assumptions, methods and calculations were used in determining the estimated fair value of financial instruments not measured at fair value in the consolidated balance sheet.</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Cash and cash equivalents, interest-bearing deposits at banks, short-term borrowings, accrued interest receivable and accrued interest payable</w:t>
      </w:r>
    </w:p>
    <w:p>
      <w:pPr>
        <w:spacing w:after="0" w:line="18" w:lineRule="exact"/>
        <w:rPr>
          <w:sz w:val="20"/>
          <w:szCs w:val="20"/>
          <w:color w:val="auto"/>
        </w:rPr>
      </w:pPr>
    </w:p>
    <w:p>
      <w:pPr>
        <w:ind w:left="680" w:right="220"/>
        <w:spacing w:after="0" w:line="263" w:lineRule="auto"/>
        <w:rPr>
          <w:sz w:val="20"/>
          <w:szCs w:val="20"/>
          <w:color w:val="auto"/>
        </w:rPr>
      </w:pPr>
      <w:r>
        <w:rPr>
          <w:rFonts w:ascii="Arial" w:cs="Arial" w:eastAsia="Arial" w:hAnsi="Arial"/>
          <w:sz w:val="14"/>
          <w:szCs w:val="14"/>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right="20"/>
        <w:spacing w:after="0" w:line="285" w:lineRule="auto"/>
        <w:rPr>
          <w:sz w:val="20"/>
          <w:szCs w:val="20"/>
          <w:color w:val="auto"/>
        </w:rPr>
      </w:pPr>
      <w:r>
        <w:rPr>
          <w:rFonts w:ascii="Arial" w:cs="Arial" w:eastAsia="Arial" w:hAnsi="Arial"/>
          <w:sz w:val="13"/>
          <w:szCs w:val="13"/>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Deposits</w:t>
      </w:r>
    </w:p>
    <w:p>
      <w:pPr>
        <w:spacing w:after="0" w:line="18"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ind w:left="680" w:right="220" w:firstLine="599"/>
        <w:spacing w:after="0" w:line="256" w:lineRule="auto"/>
        <w:rPr>
          <w:sz w:val="20"/>
          <w:szCs w:val="20"/>
          <w:color w:val="auto"/>
        </w:rPr>
      </w:pPr>
      <w:r>
        <w:rPr>
          <w:rFonts w:ascii="Arial" w:cs="Arial" w:eastAsia="Arial" w:hAnsi="Arial"/>
          <w:sz w:val="14"/>
          <w:szCs w:val="14"/>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Long-term borrowings</w:t>
      </w:r>
    </w:p>
    <w:p>
      <w:pPr>
        <w:spacing w:after="0" w:line="18" w:lineRule="exact"/>
        <w:rPr>
          <w:sz w:val="20"/>
          <w:szCs w:val="20"/>
          <w:color w:val="auto"/>
        </w:rPr>
      </w:pPr>
    </w:p>
    <w:p>
      <w:pPr>
        <w:ind w:left="680" w:right="200"/>
        <w:spacing w:after="0" w:line="263" w:lineRule="auto"/>
        <w:rPr>
          <w:sz w:val="20"/>
          <w:szCs w:val="20"/>
          <w:color w:val="auto"/>
        </w:rPr>
      </w:pPr>
      <w:r>
        <w:rPr>
          <w:rFonts w:ascii="Arial" w:cs="Arial" w:eastAsia="Arial" w:hAnsi="Arial"/>
          <w:sz w:val="14"/>
          <w:szCs w:val="14"/>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8" w:lineRule="exact"/>
        <w:rPr>
          <w:sz w:val="20"/>
          <w:szCs w:val="20"/>
          <w:color w:val="auto"/>
        </w:rPr>
      </w:pPr>
    </w:p>
    <w:p>
      <w:pPr>
        <w:ind w:left="680" w:right="240"/>
        <w:spacing w:after="0" w:line="285" w:lineRule="auto"/>
        <w:rPr>
          <w:sz w:val="20"/>
          <w:szCs w:val="20"/>
          <w:color w:val="auto"/>
        </w:rPr>
      </w:pPr>
      <w:r>
        <w:rPr>
          <w:rFonts w:ascii="Arial" w:cs="Arial" w:eastAsia="Arial" w:hAnsi="Arial"/>
          <w:sz w:val="13"/>
          <w:szCs w:val="13"/>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8" w:lineRule="exact"/>
        <w:rPr>
          <w:sz w:val="20"/>
          <w:szCs w:val="20"/>
          <w:color w:val="auto"/>
        </w:rPr>
      </w:pPr>
    </w:p>
    <w:p>
      <w:pPr>
        <w:ind w:left="680" w:right="80"/>
        <w:spacing w:after="0" w:line="263" w:lineRule="auto"/>
        <w:rPr>
          <w:sz w:val="20"/>
          <w:szCs w:val="20"/>
          <w:color w:val="auto"/>
        </w:rPr>
      </w:pPr>
      <w:r>
        <w:rPr>
          <w:rFonts w:ascii="Arial" w:cs="Arial" w:eastAsia="Arial" w:hAnsi="Arial"/>
          <w:sz w:val="14"/>
          <w:szCs w:val="14"/>
          <w:color w:val="auto"/>
        </w:rPr>
        <w:t>The estimated fair value of interest rate swap agreements used for interest rate risk management represents the amount the Company would have expected to receive or pay to terminate such agreements.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Other commitments and contingencies</w:t>
      </w:r>
    </w:p>
    <w:p>
      <w:pPr>
        <w:spacing w:after="0" w:line="18" w:lineRule="exact"/>
        <w:rPr>
          <w:sz w:val="20"/>
          <w:szCs w:val="20"/>
          <w:color w:val="auto"/>
        </w:rPr>
      </w:pPr>
    </w:p>
    <w:p>
      <w:pPr>
        <w:ind w:left="680" w:right="20"/>
        <w:spacing w:after="0" w:line="252" w:lineRule="auto"/>
        <w:rPr>
          <w:sz w:val="20"/>
          <w:szCs w:val="20"/>
          <w:color w:val="auto"/>
        </w:rPr>
      </w:pPr>
      <w:r>
        <w:rPr>
          <w:rFonts w:ascii="Arial" w:cs="Arial" w:eastAsia="Arial" w:hAnsi="Arial"/>
          <w:sz w:val="14"/>
          <w:szCs w:val="14"/>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200"/>
        <w:spacing w:after="0" w:line="258" w:lineRule="auto"/>
        <w:rPr>
          <w:sz w:val="20"/>
          <w:szCs w:val="20"/>
          <w:color w:val="auto"/>
        </w:rPr>
      </w:pPr>
      <w:r>
        <w:rPr>
          <w:rFonts w:ascii="Arial" w:cs="Arial" w:eastAsia="Arial" w:hAnsi="Arial"/>
          <w:sz w:val="14"/>
          <w:szCs w:val="14"/>
          <w:color w:val="auto"/>
        </w:rPr>
        <w:t>operating in markets served by the Company. The Company believes that the carrying amounts, which are included in other liabilities, are reasonable estimates of the fair value of these financial instruments.</w:t>
      </w:r>
    </w:p>
    <w:p>
      <w:pPr>
        <w:ind w:left="680" w:right="80" w:firstLine="599"/>
        <w:spacing w:after="0" w:line="249" w:lineRule="auto"/>
        <w:rPr>
          <w:sz w:val="20"/>
          <w:szCs w:val="20"/>
          <w:color w:val="auto"/>
        </w:rPr>
      </w:pPr>
      <w:r>
        <w:rPr>
          <w:rFonts w:ascii="Arial" w:cs="Arial" w:eastAsia="Arial" w:hAnsi="Arial"/>
          <w:sz w:val="14"/>
          <w:szCs w:val="14"/>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ind w:left="680" w:right="80" w:firstLine="599"/>
        <w:spacing w:after="0" w:line="253" w:lineRule="auto"/>
        <w:rPr>
          <w:sz w:val="20"/>
          <w:szCs w:val="20"/>
          <w:color w:val="auto"/>
        </w:rPr>
      </w:pPr>
      <w:r>
        <w:rPr>
          <w:rFonts w:ascii="Arial" w:cs="Arial" w:eastAsia="Arial" w:hAnsi="Arial"/>
          <w:sz w:val="14"/>
          <w:szCs w:val="14"/>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1" w:lineRule="exact"/>
        <w:rPr>
          <w:sz w:val="20"/>
          <w:szCs w:val="20"/>
          <w:color w:val="auto"/>
        </w:rPr>
      </w:pPr>
    </w:p>
    <w:p>
      <w:pPr>
        <w:ind w:left="1180" w:hanging="493"/>
        <w:spacing w:after="0"/>
        <w:tabs>
          <w:tab w:leader="none" w:pos="11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normal course of business, various commitments and contingent liabilities are outstanding. The following table presents the Company’s significant commitments.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Certain of these commitments are not included in the Company’s consolidated balance sheet.</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2"/>
              </w:rPr>
              <w:t>thousands)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Commitments to extend credit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Home equity lines of credit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6,281,366</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6,482,987</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real estate loans to be sold</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72,930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180,498</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 commercial real estate and construction</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1,672,006</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1,360,805</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Residential real estate loans to be sold</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161,583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631,090</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 residential real estate</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151,111</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127,788</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and other</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8,332,199</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7,155,188</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Standby letters of credit</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3,917,318</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3,828,586</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Commercial letters of credit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76,962</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66,377</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Financial guarantees and indemnification contracts</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1,609,944</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1,633,549</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Commitments to sell real estate loans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734,696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1,239,001</w:t>
            </w:r>
          </w:p>
        </w:tc>
      </w:tr>
    </w:tbl>
    <w:p>
      <w:pPr>
        <w:spacing w:after="0" w:line="76" w:lineRule="exact"/>
        <w:rPr>
          <w:sz w:val="20"/>
          <w:szCs w:val="20"/>
          <w:color w:val="auto"/>
        </w:rPr>
      </w:pPr>
    </w:p>
    <w:p>
      <w:pPr>
        <w:ind w:left="680" w:right="40" w:firstLine="599"/>
        <w:spacing w:after="0" w:line="271" w:lineRule="auto"/>
        <w:rPr>
          <w:sz w:val="20"/>
          <w:szCs w:val="20"/>
          <w:color w:val="auto"/>
        </w:rPr>
      </w:pPr>
      <w:r>
        <w:rPr>
          <w:rFonts w:ascii="Arial" w:cs="Arial" w:eastAsia="Arial" w:hAnsi="Arial"/>
          <w:sz w:val="13"/>
          <w:szCs w:val="13"/>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$1.6 billion and $1.3 billion at December 31, 2010 and 2009, respectively.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480" w:firstLine="599"/>
        <w:spacing w:after="0" w:line="258" w:lineRule="auto"/>
        <w:rPr>
          <w:sz w:val="20"/>
          <w:szCs w:val="20"/>
          <w:color w:val="auto"/>
        </w:rPr>
      </w:pPr>
      <w:r>
        <w:rPr>
          <w:rFonts w:ascii="Arial" w:cs="Arial" w:eastAsia="Arial" w:hAnsi="Arial"/>
          <w:sz w:val="14"/>
          <w:szCs w:val="14"/>
          <w:color w:val="auto"/>
        </w:rPr>
        <w:t>Since many loan commitments, standby letters of credit, and guarantees and indemnification contracts expire without being funded in whole or in part, the contract amounts are not necessarily indicative of future cash flows.</w:t>
      </w:r>
    </w:p>
    <w:p>
      <w:pPr>
        <w:jc w:val="both"/>
        <w:ind w:left="680" w:right="20" w:firstLine="599"/>
        <w:spacing w:after="0" w:line="249" w:lineRule="auto"/>
        <w:rPr>
          <w:sz w:val="20"/>
          <w:szCs w:val="20"/>
          <w:color w:val="auto"/>
        </w:rPr>
      </w:pPr>
      <w:r>
        <w:rPr>
          <w:rFonts w:ascii="Arial" w:cs="Arial" w:eastAsia="Arial" w:hAnsi="Arial"/>
          <w:sz w:val="14"/>
          <w:szCs w:val="14"/>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ind w:left="680" w:right="240" w:firstLine="599"/>
        <w:spacing w:after="0" w:line="263" w:lineRule="auto"/>
        <w:rPr>
          <w:sz w:val="20"/>
          <w:szCs w:val="20"/>
          <w:color w:val="auto"/>
        </w:rPr>
      </w:pPr>
      <w:r>
        <w:rPr>
          <w:rFonts w:ascii="Arial" w:cs="Arial" w:eastAsia="Arial" w:hAnsi="Arial"/>
          <w:sz w:val="14"/>
          <w:szCs w:val="14"/>
          <w:color w:val="auto"/>
        </w:rPr>
        <w:t>The Company occupies certain banking offices and uses certain equipment under noncancellable operating lease agreements expiring at various dates over the next 29 years. Minimum lease payments under noncancellable operating leases are summarized in the following table: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78,325</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75,033</w:t>
            </w: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60,712</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50,493</w:t>
            </w:r>
          </w:p>
        </w:tc>
      </w:tr>
      <w:tr>
        <w:trPr>
          <w:trHeight w:val="157"/>
        </w:trPr>
        <w:tc>
          <w:tcPr>
            <w:tcW w:w="9000" w:type="dxa"/>
            <w:vAlign w:val="bottom"/>
          </w:tcPr>
          <w:p>
            <w:pPr>
              <w:ind w:left="140"/>
              <w:spacing w:after="0"/>
              <w:rPr>
                <w:sz w:val="20"/>
                <w:szCs w:val="20"/>
                <w:color w:val="auto"/>
              </w:rPr>
            </w:pPr>
            <w:r>
              <w:rPr>
                <w:rFonts w:ascii="Arial" w:cs="Arial" w:eastAsia="Arial" w:hAnsi="Arial"/>
                <w:sz w:val="13"/>
                <w:szCs w:val="13"/>
                <w:color w:val="auto"/>
              </w:rPr>
              <w:t>2015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42,741</w:t>
            </w:r>
          </w:p>
        </w:tc>
      </w:tr>
      <w:tr>
        <w:trPr>
          <w:trHeight w:val="157"/>
        </w:trPr>
        <w:tc>
          <w:tcPr>
            <w:tcW w:w="9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Later years</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137,592</w:t>
            </w:r>
          </w:p>
        </w:tc>
      </w:tr>
      <w:tr>
        <w:trPr>
          <w:trHeight w:val="20"/>
        </w:trPr>
        <w:tc>
          <w:tcPr>
            <w:tcW w:w="9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90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444,896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635</wp:posOffset>
            </wp:positionV>
            <wp:extent cx="56769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13335</wp:posOffset>
            </wp:positionV>
            <wp:extent cx="56769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8" w:lineRule="exact"/>
        <w:rPr>
          <w:sz w:val="20"/>
          <w:szCs w:val="20"/>
          <w:color w:val="auto"/>
        </w:rPr>
      </w:pPr>
    </w:p>
    <w:p>
      <w:pPr>
        <w:jc w:val="both"/>
        <w:ind w:left="680" w:right="100" w:firstLine="599"/>
        <w:spacing w:after="0" w:line="277" w:lineRule="auto"/>
        <w:rPr>
          <w:sz w:val="20"/>
          <w:szCs w:val="20"/>
          <w:color w:val="auto"/>
        </w:rPr>
      </w:pPr>
      <w:r>
        <w:rPr>
          <w:rFonts w:ascii="Arial" w:cs="Arial" w:eastAsia="Arial" w:hAnsi="Arial"/>
          <w:sz w:val="13"/>
          <w:szCs w:val="13"/>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$85 million at December 31, 2010. Assets of subsidiaries providing reinsurance that are available to satisfy claims totaled approximately $71 million at December 31, 2010.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2010, management believes that any remaining liability arising out of the Company’s obligation to loan purchasers is not material to the Company’s consolidated financial position.</w:t>
      </w:r>
    </w:p>
    <w:p>
      <w:pPr>
        <w:ind w:left="680" w:right="60" w:firstLine="599"/>
        <w:spacing w:after="0" w:line="253"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1180" w:hanging="493"/>
        <w:spacing w:after="0"/>
        <w:tabs>
          <w:tab w:leader="none" w:pos="11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ind w:left="680" w:firstLine="599"/>
        <w:spacing w:after="0" w:line="268" w:lineRule="auto"/>
        <w:rPr>
          <w:sz w:val="20"/>
          <w:szCs w:val="20"/>
          <w:color w:val="auto"/>
        </w:rPr>
      </w:pPr>
      <w:r>
        <w:rPr>
          <w:rFonts w:ascii="Arial" w:cs="Arial" w:eastAsia="Arial" w:hAnsi="Arial"/>
          <w:sz w:val="13"/>
          <w:szCs w:val="13"/>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 1 to assess the overall adequacy of the allowance for credit losses.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2" w:lineRule="exact"/>
        <w:rPr>
          <w:sz w:val="20"/>
          <w:szCs w:val="20"/>
          <w:color w:val="auto"/>
        </w:rPr>
      </w:pPr>
    </w:p>
    <w:p>
      <w:pPr>
        <w:ind w:left="680" w:right="20" w:firstLine="599"/>
        <w:spacing w:after="0" w:line="252" w:lineRule="auto"/>
        <w:rPr>
          <w:sz w:val="20"/>
          <w:szCs w:val="20"/>
          <w:color w:val="auto"/>
        </w:rPr>
      </w:pPr>
      <w:r>
        <w:rPr>
          <w:rFonts w:ascii="Arial" w:cs="Arial" w:eastAsia="Arial" w:hAnsi="Arial"/>
          <w:sz w:val="14"/>
          <w:szCs w:val="14"/>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15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gridSpan w:val="11"/>
          </w:tcPr>
          <w:p>
            <w:pPr>
              <w:jc w:val="right"/>
              <w:ind w:right="340"/>
              <w:spacing w:after="0"/>
              <w:rPr>
                <w:sz w:val="20"/>
                <w:szCs w:val="20"/>
                <w:color w:val="auto"/>
              </w:rPr>
            </w:pPr>
            <w:r>
              <w:rPr>
                <w:rFonts w:ascii="Arial" w:cs="Arial" w:eastAsia="Arial" w:hAnsi="Arial"/>
                <w:sz w:val="8"/>
                <w:szCs w:val="8"/>
                <w:b w:val="1"/>
                <w:bCs w:val="1"/>
                <w:color w:val="auto"/>
                <w:w w:val="91"/>
              </w:rPr>
              <w:t>For the Years Ended December 31, 2010, 2009 and 2008</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4"/>
          </w:tcPr>
          <w:p>
            <w:pPr>
              <w:ind w:left="140"/>
              <w:spacing w:after="0"/>
              <w:rPr>
                <w:sz w:val="20"/>
                <w:szCs w:val="20"/>
                <w:color w:val="auto"/>
              </w:rPr>
            </w:pPr>
            <w:r>
              <w:rPr>
                <w:rFonts w:ascii="Arial" w:cs="Arial" w:eastAsia="Arial" w:hAnsi="Arial"/>
                <w:sz w:val="8"/>
                <w:szCs w:val="8"/>
                <w:b w:val="1"/>
                <w:bCs w:val="1"/>
                <w:color w:val="auto"/>
              </w:rPr>
              <w:t>Business Banking</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8"/>
                <w:szCs w:val="8"/>
                <w:b w:val="1"/>
                <w:bCs w:val="1"/>
                <w:color w:val="auto"/>
                <w:w w:val="92"/>
              </w:rPr>
              <w:t>Commercial Banking</w:t>
            </w: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8"/>
                <w:szCs w:val="8"/>
                <w:b w:val="1"/>
                <w:bCs w:val="1"/>
                <w:color w:val="auto"/>
              </w:rPr>
              <w:t>Commercial Real Estate</w:t>
            </w: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8"/>
                <w:szCs w:val="8"/>
                <w:b w:val="1"/>
                <w:bCs w:val="1"/>
                <w:color w:val="auto"/>
                <w:w w:val="88"/>
              </w:rPr>
              <w:t>Discretionary Portfolio</w:t>
            </w: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29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2009</w:t>
            </w: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2010</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w w:val="89"/>
              </w:rPr>
              <w:t>2010</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6"/>
                <w:szCs w:val="6"/>
                <w:color w:val="auto"/>
              </w:rPr>
            </w:pPr>
          </w:p>
        </w:tc>
      </w:tr>
      <w:tr>
        <w:trPr>
          <w:trHeight w:val="29"/>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315,407</w:t>
            </w:r>
          </w:p>
        </w:tc>
        <w:tc>
          <w:tcPr>
            <w:tcW w:w="320" w:type="dxa"/>
            <w:vAlign w:val="bottom"/>
            <w:tcBorders>
              <w:left w:val="single" w:sz="8" w:color="CCEEFF"/>
            </w:tcBorders>
            <w:gridSpan w:val="2"/>
            <w:shd w:val="clear" w:color="auto" w:fill="CCEEFF"/>
          </w:tcPr>
          <w:p>
            <w:pPr>
              <w:jc w:val="right"/>
              <w:ind w:right="34"/>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321,208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288,519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582,231</w:t>
            </w:r>
          </w:p>
        </w:tc>
        <w:tc>
          <w:tcPr>
            <w:tcW w:w="26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531,592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433,238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384,147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346,513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287,727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23,347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137,507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144,856</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Noninterest income</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95,443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89,043</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86,293</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w w:val="96"/>
              </w:rPr>
              <w:t>217,368</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192,979</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6"/>
              </w:rPr>
              <w:t>197,515</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85,200</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65,224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63,288</w:t>
            </w:r>
          </w:p>
        </w:tc>
        <w:tc>
          <w:tcPr>
            <w:tcW w:w="80" w:type="dxa"/>
            <w:vAlign w:val="bottom"/>
          </w:tcPr>
          <w:p>
            <w:pPr>
              <w:spacing w:after="0"/>
              <w:rPr>
                <w:sz w:val="7"/>
                <w:szCs w:val="7"/>
                <w:color w:val="auto"/>
              </w:rPr>
            </w:pPr>
          </w:p>
        </w:tc>
        <w:tc>
          <w:tcPr>
            <w:tcW w:w="500" w:type="dxa"/>
            <w:vAlign w:val="bottom"/>
            <w:gridSpan w:val="2"/>
          </w:tcPr>
          <w:p>
            <w:pPr>
              <w:jc w:val="right"/>
              <w:ind w:right="121"/>
              <w:spacing w:after="0" w:line="89" w:lineRule="exact"/>
              <w:rPr>
                <w:sz w:val="20"/>
                <w:szCs w:val="20"/>
                <w:color w:val="auto"/>
              </w:rPr>
            </w:pPr>
            <w:r>
              <w:rPr>
                <w:rFonts w:ascii="Arial" w:cs="Arial" w:eastAsia="Arial" w:hAnsi="Arial"/>
                <w:sz w:val="8"/>
                <w:szCs w:val="8"/>
                <w:color w:val="auto"/>
              </w:rPr>
              <w:t>(34,383)</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w w:val="93"/>
              </w:rPr>
              <w:t>(100,507)</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w w:val="99"/>
              </w:rPr>
              <w:t>(140,063)</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410,850</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8"/>
                <w:szCs w:val="8"/>
                <w:color w:val="auto"/>
              </w:rPr>
              <w:t>410,251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374,812</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8" w:lineRule="exact"/>
              <w:rPr>
                <w:sz w:val="20"/>
                <w:szCs w:val="20"/>
                <w:color w:val="auto"/>
              </w:rPr>
            </w:pPr>
            <w:r>
              <w:rPr>
                <w:rFonts w:ascii="Arial" w:cs="Arial" w:eastAsia="Arial" w:hAnsi="Arial"/>
                <w:sz w:val="8"/>
                <w:szCs w:val="8"/>
                <w:color w:val="auto"/>
                <w:w w:val="96"/>
              </w:rPr>
              <w:t>799,599</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724,571</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96"/>
              </w:rPr>
              <w:t>630,753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469,347</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96"/>
              </w:rPr>
              <w:t>411,737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351,015</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21"/>
              <w:spacing w:after="0" w:line="88" w:lineRule="exact"/>
              <w:rPr>
                <w:sz w:val="20"/>
                <w:szCs w:val="20"/>
                <w:color w:val="auto"/>
              </w:rPr>
            </w:pPr>
            <w:r>
              <w:rPr>
                <w:rFonts w:ascii="Arial" w:cs="Arial" w:eastAsia="Arial" w:hAnsi="Arial"/>
                <w:sz w:val="8"/>
                <w:szCs w:val="8"/>
                <w:color w:val="auto"/>
              </w:rPr>
              <w:t>(11,036)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37,000</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rPr>
              <w:t>4,793</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74,443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41,923</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33,529</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47,675</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107,871</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77,104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45,781</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84,614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15,507</w:t>
            </w:r>
          </w:p>
        </w:tc>
        <w:tc>
          <w:tcPr>
            <w:tcW w:w="80" w:type="dxa"/>
            <w:vAlign w:val="bottom"/>
          </w:tcPr>
          <w:p>
            <w:pPr>
              <w:spacing w:after="0"/>
              <w:rPr>
                <w:sz w:val="7"/>
                <w:szCs w:val="7"/>
                <w:color w:val="auto"/>
              </w:rPr>
            </w:pPr>
          </w:p>
        </w:tc>
        <w:tc>
          <w:tcPr>
            <w:tcW w:w="5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55,810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83,139</w:t>
            </w:r>
          </w:p>
        </w:tc>
        <w:tc>
          <w:tcPr>
            <w:tcW w:w="60" w:type="dxa"/>
            <w:vAlign w:val="bottom"/>
          </w:tcPr>
          <w:p>
            <w:pPr>
              <w:spacing w:after="0"/>
              <w:rPr>
                <w:sz w:val="7"/>
                <w:szCs w:val="7"/>
                <w:color w:val="auto"/>
              </w:rPr>
            </w:pPr>
          </w:p>
        </w:tc>
        <w:tc>
          <w:tcPr>
            <w:tcW w:w="4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68,766</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r>
      <w:tr>
        <w:trPr>
          <w:trHeight w:val="88"/>
        </w:trPr>
        <w:tc>
          <w:tcPr>
            <w:tcW w:w="2920" w:type="dxa"/>
            <w:vAlign w:val="bottom"/>
          </w:tcPr>
          <w:p>
            <w:pPr>
              <w:spacing w:after="0" w:line="89"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276</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color w:val="auto"/>
              </w:rPr>
              <w:t>857</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757</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552</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628</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559</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7,339</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5,934</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4,588</w:t>
            </w:r>
          </w:p>
        </w:tc>
        <w:tc>
          <w:tcPr>
            <w:tcW w:w="80" w:type="dxa"/>
            <w:vAlign w:val="bottom"/>
          </w:tcPr>
          <w:p>
            <w:pPr>
              <w:spacing w:after="0"/>
              <w:rPr>
                <w:sz w:val="7"/>
                <w:szCs w:val="7"/>
                <w:color w:val="auto"/>
              </w:rPr>
            </w:pPr>
          </w:p>
        </w:tc>
        <w:tc>
          <w:tcPr>
            <w:tcW w:w="500" w:type="dxa"/>
            <w:vAlign w:val="bottom"/>
            <w:gridSpan w:val="2"/>
          </w:tcPr>
          <w:p>
            <w:pPr>
              <w:jc w:val="right"/>
              <w:ind w:right="161"/>
              <w:spacing w:after="0" w:line="89" w:lineRule="exact"/>
              <w:rPr>
                <w:sz w:val="20"/>
                <w:szCs w:val="20"/>
                <w:color w:val="auto"/>
              </w:rPr>
            </w:pPr>
            <w:r>
              <w:rPr>
                <w:rFonts w:ascii="Arial" w:cs="Arial" w:eastAsia="Arial" w:hAnsi="Arial"/>
                <w:sz w:val="8"/>
                <w:szCs w:val="8"/>
                <w:color w:val="auto"/>
              </w:rPr>
              <w:t>3,733</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5,506</w:t>
            </w:r>
          </w:p>
        </w:tc>
        <w:tc>
          <w:tcPr>
            <w:tcW w:w="60" w:type="dxa"/>
            <w:vAlign w:val="bottom"/>
          </w:tcPr>
          <w:p>
            <w:pPr>
              <w:spacing w:after="0"/>
              <w:rPr>
                <w:sz w:val="7"/>
                <w:szCs w:val="7"/>
                <w:color w:val="auto"/>
              </w:rPr>
            </w:pPr>
          </w:p>
        </w:tc>
        <w:tc>
          <w:tcPr>
            <w:tcW w:w="4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5,342</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 noninterest expense</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169,878</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158,042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137,780</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219,471</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210,180</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191,785</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124,674</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103,124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89,151</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1"/>
              <w:spacing w:after="0" w:line="89" w:lineRule="exact"/>
              <w:rPr>
                <w:sz w:val="20"/>
                <w:szCs w:val="20"/>
                <w:color w:val="auto"/>
              </w:rPr>
            </w:pPr>
            <w:r>
              <w:rPr>
                <w:rFonts w:ascii="Arial" w:cs="Arial" w:eastAsia="Arial" w:hAnsi="Arial"/>
                <w:sz w:val="8"/>
                <w:szCs w:val="8"/>
                <w:color w:val="auto"/>
              </w:rPr>
              <w:t>26,256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27,070</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45,892</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tcPr>
          <w:p>
            <w:pPr>
              <w:spacing w:after="0" w:line="88"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166,253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209,429</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202,746</w:t>
            </w:r>
          </w:p>
        </w:tc>
        <w:tc>
          <w:tcPr>
            <w:tcW w:w="80" w:type="dxa"/>
            <w:vAlign w:val="bottom"/>
          </w:tcPr>
          <w:p>
            <w:pPr>
              <w:spacing w:after="0"/>
              <w:rPr>
                <w:sz w:val="7"/>
                <w:szCs w:val="7"/>
                <w:color w:val="auto"/>
              </w:rPr>
            </w:pPr>
          </w:p>
        </w:tc>
        <w:tc>
          <w:tcPr>
            <w:tcW w:w="3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w w:val="96"/>
              </w:rPr>
              <w:t>531,901</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405,892</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96"/>
              </w:rPr>
              <w:t>361,305</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291,553</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96"/>
              </w:rPr>
              <w:t>218,065</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241,769</w:t>
            </w:r>
          </w:p>
        </w:tc>
        <w:tc>
          <w:tcPr>
            <w:tcW w:w="80" w:type="dxa"/>
            <w:vAlign w:val="bottom"/>
          </w:tcPr>
          <w:p>
            <w:pPr>
              <w:spacing w:after="0"/>
              <w:rPr>
                <w:sz w:val="7"/>
                <w:szCs w:val="7"/>
                <w:color w:val="auto"/>
              </w:rPr>
            </w:pPr>
          </w:p>
        </w:tc>
        <w:tc>
          <w:tcPr>
            <w:tcW w:w="500" w:type="dxa"/>
            <w:vAlign w:val="bottom"/>
            <w:gridSpan w:val="2"/>
          </w:tcPr>
          <w:p>
            <w:pPr>
              <w:jc w:val="right"/>
              <w:ind w:right="121"/>
              <w:spacing w:after="0" w:line="88" w:lineRule="exact"/>
              <w:rPr>
                <w:sz w:val="20"/>
                <w:szCs w:val="20"/>
                <w:color w:val="auto"/>
              </w:rPr>
            </w:pPr>
            <w:r>
              <w:rPr>
                <w:rFonts w:ascii="Arial" w:cs="Arial" w:eastAsia="Arial" w:hAnsi="Arial"/>
                <w:sz w:val="8"/>
                <w:szCs w:val="8"/>
                <w:color w:val="auto"/>
              </w:rPr>
              <w:t>(96,835)</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(78,715)</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w w:val="99"/>
              </w:rPr>
              <w:t>(115,207)</w:t>
            </w:r>
          </w:p>
        </w:tc>
      </w:tr>
      <w:tr>
        <w:trPr>
          <w:trHeight w:val="88"/>
        </w:trPr>
        <w:tc>
          <w:tcPr>
            <w:tcW w:w="292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67,687</w:t>
            </w:r>
          </w:p>
        </w:tc>
        <w:tc>
          <w:tcPr>
            <w:tcW w:w="2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85,387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82,686</w:t>
            </w:r>
          </w:p>
        </w:tc>
        <w:tc>
          <w:tcPr>
            <w:tcW w:w="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8"/>
                <w:szCs w:val="8"/>
                <w:color w:val="auto"/>
                <w:w w:val="96"/>
              </w:rPr>
              <w:t>217,734</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166,459</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148,136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88,466</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62,711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77,478</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21"/>
              <w:spacing w:after="0" w:line="89" w:lineRule="exact"/>
              <w:rPr>
                <w:sz w:val="20"/>
                <w:szCs w:val="20"/>
                <w:color w:val="auto"/>
              </w:rPr>
            </w:pPr>
            <w:r>
              <w:rPr>
                <w:rFonts w:ascii="Arial" w:cs="Arial" w:eastAsia="Arial" w:hAnsi="Arial"/>
                <w:sz w:val="8"/>
                <w:szCs w:val="8"/>
                <w:color w:val="auto"/>
              </w:rPr>
              <w:t>(58,269)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(50,692)</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(67,142)</w:t>
            </w:r>
          </w:p>
        </w:tc>
      </w:tr>
      <w:tr>
        <w:trPr>
          <w:trHeight w:val="20"/>
        </w:trPr>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920" w:type="dxa"/>
            <w:vAlign w:val="bottom"/>
          </w:tcPr>
          <w:p>
            <w:pPr>
              <w:spacing w:after="0" w:line="88" w:lineRule="exact"/>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98,566</w:t>
            </w:r>
          </w:p>
        </w:tc>
        <w:tc>
          <w:tcPr>
            <w:tcW w:w="320" w:type="dxa"/>
            <w:vAlign w:val="bottom"/>
            <w:gridSpan w:val="2"/>
          </w:tcPr>
          <w:p>
            <w:pPr>
              <w:jc w:val="right"/>
              <w:ind w:right="34"/>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124,042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120,060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20"/>
              <w:spacing w:after="0" w:line="88" w:lineRule="exact"/>
              <w:rPr>
                <w:sz w:val="20"/>
                <w:szCs w:val="20"/>
                <w:color w:val="auto"/>
              </w:rPr>
            </w:pPr>
            <w:r>
              <w:rPr>
                <w:rFonts w:ascii="Arial" w:cs="Arial" w:eastAsia="Arial" w:hAnsi="Arial"/>
                <w:sz w:val="8"/>
                <w:szCs w:val="8"/>
                <w:color w:val="auto"/>
                <w:w w:val="96"/>
              </w:rPr>
              <w:t>314,167</w:t>
            </w:r>
          </w:p>
        </w:tc>
        <w:tc>
          <w:tcPr>
            <w:tcW w:w="26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239,433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96"/>
              </w:rPr>
              <w:t>213,169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203,087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96"/>
              </w:rPr>
              <w:t>155,354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164,291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21"/>
              <w:spacing w:after="0" w:line="88" w:lineRule="exact"/>
              <w:rPr>
                <w:sz w:val="20"/>
                <w:szCs w:val="20"/>
                <w:color w:val="auto"/>
              </w:rPr>
            </w:pPr>
            <w:r>
              <w:rPr>
                <w:rFonts w:ascii="Arial" w:cs="Arial" w:eastAsia="Arial" w:hAnsi="Arial"/>
                <w:sz w:val="8"/>
                <w:szCs w:val="8"/>
                <w:color w:val="auto"/>
              </w:rPr>
              <w:t>(38,566)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(28,023)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(48,065)</w:t>
            </w:r>
          </w:p>
        </w:tc>
      </w:tr>
      <w:tr>
        <w:trPr>
          <w:trHeight w:val="34"/>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3"/>
        </w:trPr>
        <w:tc>
          <w:tcPr>
            <w:tcW w:w="2920" w:type="dxa"/>
            <w:vAlign w:val="bottom"/>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4,843</w:t>
            </w:r>
          </w:p>
        </w:tc>
        <w:tc>
          <w:tcPr>
            <w:tcW w:w="320" w:type="dxa"/>
            <w:vAlign w:val="bottom"/>
            <w:tcBorders>
              <w:lef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4,869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4,452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15,461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15,399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14,981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13,194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12,842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11,394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1"/>
              <w:spacing w:after="0"/>
              <w:rPr>
                <w:sz w:val="20"/>
                <w:szCs w:val="20"/>
                <w:color w:val="auto"/>
              </w:rPr>
            </w:pPr>
            <w:r>
              <w:rPr>
                <w:rFonts w:ascii="Arial" w:cs="Arial" w:eastAsia="Arial" w:hAnsi="Arial"/>
                <w:sz w:val="8"/>
                <w:szCs w:val="8"/>
                <w:color w:val="auto"/>
              </w:rPr>
              <w:t>14,690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13,763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14,179</w:t>
            </w:r>
          </w:p>
        </w:tc>
      </w:tr>
      <w:tr>
        <w:trPr>
          <w:trHeight w:val="29"/>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2920" w:type="dxa"/>
            <w:vAlign w:val="bottom"/>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w:t>
            </w:r>
          </w:p>
        </w:tc>
        <w:tc>
          <w:tcPr>
            <w:tcW w:w="220" w:type="dxa"/>
            <w:vAlign w:val="bottom"/>
          </w:tcPr>
          <w:p>
            <w:pPr>
              <w:spacing w:after="0"/>
              <w:rPr>
                <w:sz w:val="8"/>
                <w:szCs w:val="8"/>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w:t>
            </w:r>
          </w:p>
        </w:tc>
        <w:tc>
          <w:tcPr>
            <w:tcW w:w="220" w:type="dxa"/>
            <w:vAlign w:val="bottom"/>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2</w:t>
            </w:r>
          </w:p>
        </w:tc>
        <w:tc>
          <w:tcPr>
            <w:tcW w:w="200" w:type="dxa"/>
            <w:vAlign w:val="bottom"/>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gridSpan w:val="2"/>
          </w:tcPr>
          <w:p>
            <w:pPr>
              <w:jc w:val="right"/>
              <w:ind w:right="20"/>
              <w:spacing w:after="0"/>
              <w:rPr>
                <w:sz w:val="20"/>
                <w:szCs w:val="20"/>
                <w:color w:val="auto"/>
              </w:rPr>
            </w:pPr>
            <w:r>
              <w:rPr>
                <w:rFonts w:ascii="Arial" w:cs="Arial" w:eastAsia="Arial" w:hAnsi="Arial"/>
                <w:sz w:val="8"/>
                <w:szCs w:val="8"/>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1"/>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r>
      <w:tr>
        <w:trPr>
          <w:trHeight w:val="29"/>
        </w:trPr>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3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97"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1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20" w:type="dxa"/>
            <w:vAlign w:val="bottom"/>
            <w:gridSpan w:val="11"/>
          </w:tcPr>
          <w:p>
            <w:pPr>
              <w:jc w:val="right"/>
              <w:ind w:right="340"/>
              <w:spacing w:after="0"/>
              <w:rPr>
                <w:sz w:val="20"/>
                <w:szCs w:val="20"/>
                <w:color w:val="auto"/>
              </w:rPr>
            </w:pPr>
            <w:r>
              <w:rPr>
                <w:rFonts w:ascii="Arial" w:cs="Arial" w:eastAsia="Arial" w:hAnsi="Arial"/>
                <w:sz w:val="8"/>
                <w:szCs w:val="8"/>
                <w:b w:val="1"/>
                <w:bCs w:val="1"/>
                <w:color w:val="auto"/>
                <w:w w:val="92"/>
              </w:rPr>
              <w:t>For the Years Ended December 31, 2010, 2009 and 2008</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1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gridSpan w:val="8"/>
          </w:tcPr>
          <w:p>
            <w:pPr>
              <w:jc w:val="center"/>
              <w:ind w:right="280"/>
              <w:spacing w:after="0"/>
              <w:rPr>
                <w:sz w:val="20"/>
                <w:szCs w:val="20"/>
                <w:color w:val="auto"/>
              </w:rPr>
            </w:pPr>
            <w:r>
              <w:rPr>
                <w:rFonts w:ascii="Arial" w:cs="Arial" w:eastAsia="Arial" w:hAnsi="Arial"/>
                <w:sz w:val="8"/>
                <w:szCs w:val="8"/>
                <w:b w:val="1"/>
                <w:bCs w:val="1"/>
                <w:color w:val="auto"/>
                <w:w w:val="88"/>
              </w:rPr>
              <w:t>Residential Mortgage Banking</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4"/>
          </w:tcPr>
          <w:p>
            <w:pPr>
              <w:ind w:left="80"/>
              <w:spacing w:after="0"/>
              <w:rPr>
                <w:sz w:val="20"/>
                <w:szCs w:val="20"/>
                <w:color w:val="auto"/>
              </w:rPr>
            </w:pPr>
            <w:r>
              <w:rPr>
                <w:rFonts w:ascii="Arial" w:cs="Arial" w:eastAsia="Arial" w:hAnsi="Arial"/>
                <w:sz w:val="8"/>
                <w:szCs w:val="8"/>
                <w:b w:val="1"/>
                <w:bCs w:val="1"/>
                <w:color w:val="auto"/>
              </w:rPr>
              <w:t>Retail Banking</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8"/>
                <w:szCs w:val="8"/>
                <w:b w:val="1"/>
                <w:bCs w:val="1"/>
                <w:color w:val="auto"/>
              </w:rPr>
              <w:t>All Other</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ind w:left="40"/>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8"/>
        </w:trPr>
        <w:tc>
          <w:tcPr>
            <w:tcW w:w="1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101"/>
              <w:spacing w:after="0" w:line="79" w:lineRule="exact"/>
              <w:rPr>
                <w:sz w:val="20"/>
                <w:szCs w:val="20"/>
                <w:color w:val="auto"/>
              </w:rPr>
            </w:pPr>
            <w:r>
              <w:rPr>
                <w:rFonts w:ascii="Arial" w:cs="Arial" w:eastAsia="Arial" w:hAnsi="Arial"/>
                <w:sz w:val="8"/>
                <w:szCs w:val="8"/>
                <w:b w:val="1"/>
                <w:bCs w:val="1"/>
                <w:color w:val="auto"/>
              </w:rPr>
              <w:t>2009</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81"/>
              <w:spacing w:after="0" w:line="79" w:lineRule="exact"/>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6"/>
                <w:szCs w:val="6"/>
                <w:color w:val="auto"/>
              </w:rPr>
            </w:pPr>
          </w:p>
        </w:tc>
      </w:tr>
      <w:tr>
        <w:trPr>
          <w:trHeight w:val="29"/>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71,599</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78,865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66,051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839,828</w:t>
            </w:r>
          </w:p>
        </w:tc>
        <w:tc>
          <w:tcPr>
            <w:tcW w:w="20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878,520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830,022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50,967</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3"/>
              </w:rPr>
              <w:t>(238,457)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(110,617)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2,267,526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2,055,748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w w:val="89"/>
              </w:rPr>
              <w:t>1,939,796</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Noninterest income</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195,540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226,659</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171,774</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380,015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372,821</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343,666</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168,917</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6"/>
              </w:rPr>
              <w:t>201,887</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216,506</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89"/>
              </w:rPr>
              <w:t>1,108,100</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89"/>
              </w:rPr>
              <w:t>1,048,106</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938,979</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13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267,139</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305,524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237,825</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w w:val="95"/>
              </w:rPr>
              <w:t>1,219,843</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1,251,341</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1,173,688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219,884</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(36,570)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105,889</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3,375,626</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w w:val="89"/>
              </w:rPr>
              <w:t>3,103,854</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8"/>
                <w:szCs w:val="8"/>
                <w:color w:val="auto"/>
                <w:w w:val="89"/>
              </w:rPr>
              <w:t>2,878,775</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49,110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97,816</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104,995</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109,978</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130,509</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98,586</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(14,797)</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58,128</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13,513</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368,000</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604,000</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412,000</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58,103</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64,255</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66,646</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58,103</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64,255</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66,646</w:t>
            </w:r>
          </w:p>
        </w:tc>
      </w:tr>
      <w:tr>
        <w:trPr>
          <w:trHeight w:val="88"/>
        </w:trPr>
        <w:tc>
          <w:tcPr>
            <w:tcW w:w="2880" w:type="dxa"/>
            <w:vAlign w:val="bottom"/>
            <w:gridSpan w:val="2"/>
          </w:tcPr>
          <w:p>
            <w:pPr>
              <w:spacing w:after="0" w:line="89"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20" w:type="dxa"/>
            <w:vAlign w:val="bottom"/>
          </w:tcPr>
          <w:p>
            <w:pPr>
              <w:jc w:val="right"/>
              <w:spacing w:after="0" w:line="89" w:lineRule="exact"/>
              <w:rPr>
                <w:sz w:val="20"/>
                <w:szCs w:val="20"/>
                <w:color w:val="auto"/>
              </w:rPr>
            </w:pPr>
            <w:r>
              <w:rPr>
                <w:rFonts w:ascii="Arial" w:cs="Arial" w:eastAsia="Arial" w:hAnsi="Arial"/>
                <w:sz w:val="8"/>
                <w:szCs w:val="8"/>
                <w:color w:val="auto"/>
              </w:rPr>
              <w:t>46,171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51,552</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56,666</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31,350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31,299</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28,523</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34,838</w:t>
            </w:r>
          </w:p>
        </w:tc>
        <w:tc>
          <w:tcPr>
            <w:tcW w:w="80" w:type="dxa"/>
            <w:vAlign w:val="bottom"/>
          </w:tcPr>
          <w:p>
            <w:pPr>
              <w:spacing w:after="0"/>
              <w:rPr>
                <w:sz w:val="7"/>
                <w:szCs w:val="7"/>
                <w:color w:val="auto"/>
              </w:rPr>
            </w:pPr>
          </w:p>
        </w:tc>
        <w:tc>
          <w:tcPr>
            <w:tcW w:w="5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30,890</w:t>
            </w:r>
          </w:p>
        </w:tc>
        <w:tc>
          <w:tcPr>
            <w:tcW w:w="80" w:type="dxa"/>
            <w:vAlign w:val="bottom"/>
          </w:tcPr>
          <w:p>
            <w:pPr>
              <w:spacing w:after="0"/>
              <w:rPr>
                <w:sz w:val="7"/>
                <w:szCs w:val="7"/>
                <w:color w:val="auto"/>
              </w:rPr>
            </w:pPr>
          </w:p>
        </w:tc>
        <w:tc>
          <w:tcPr>
            <w:tcW w:w="5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22,709</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124,259</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126,666</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119,144</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Other noninterest expense</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160,131</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185,829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164,102</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698,540</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689,314</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624,834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333,525</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6"/>
              </w:rPr>
              <w:t>416,083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287,662</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1,732,475</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89"/>
              </w:rPr>
              <w:t>1,789,642</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w w:val="89"/>
              </w:rPr>
              <w:t>1,541,206</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880" w:type="dxa"/>
            <w:vAlign w:val="bottom"/>
            <w:gridSpan w:val="2"/>
          </w:tcPr>
          <w:p>
            <w:pPr>
              <w:spacing w:after="0" w:line="88"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11,727</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(29,673)</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(87,938)</w:t>
            </w:r>
          </w:p>
        </w:tc>
        <w:tc>
          <w:tcPr>
            <w:tcW w:w="60" w:type="dxa"/>
            <w:vAlign w:val="bottom"/>
          </w:tcPr>
          <w:p>
            <w:pPr>
              <w:spacing w:after="0"/>
              <w:rPr>
                <w:sz w:val="7"/>
                <w:szCs w:val="7"/>
                <w:color w:val="auto"/>
              </w:rPr>
            </w:pP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379,975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400,219</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421,745</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3"/>
              </w:rPr>
              <w:t>(191,785)</w:t>
            </w:r>
          </w:p>
        </w:tc>
        <w:tc>
          <w:tcPr>
            <w:tcW w:w="80" w:type="dxa"/>
            <w:vAlign w:val="bottom"/>
          </w:tcPr>
          <w:p>
            <w:pPr>
              <w:spacing w:after="0"/>
              <w:rPr>
                <w:sz w:val="7"/>
                <w:szCs w:val="7"/>
                <w:color w:val="auto"/>
              </w:rPr>
            </w:pP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93"/>
              </w:rPr>
              <w:t>(605,926)</w:t>
            </w:r>
          </w:p>
        </w:tc>
        <w:tc>
          <w:tcPr>
            <w:tcW w:w="8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w w:val="93"/>
              </w:rPr>
              <w:t>(284,641)</w:t>
            </w:r>
          </w:p>
        </w:tc>
        <w:tc>
          <w:tcPr>
            <w:tcW w:w="6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89"/>
              </w:rPr>
              <w:t>1,092,789</w:t>
            </w:r>
          </w:p>
        </w:tc>
        <w:tc>
          <w:tcPr>
            <w:tcW w:w="80" w:type="dxa"/>
            <w:vAlign w:val="bottom"/>
          </w:tcPr>
          <w:p>
            <w:pPr>
              <w:spacing w:after="0"/>
              <w:rPr>
                <w:sz w:val="7"/>
                <w:szCs w:val="7"/>
                <w:color w:val="auto"/>
              </w:rPr>
            </w:pP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519,291</w:t>
            </w:r>
          </w:p>
        </w:tc>
        <w:tc>
          <w:tcPr>
            <w:tcW w:w="60" w:type="dxa"/>
            <w:vAlign w:val="bottom"/>
          </w:tcPr>
          <w:p>
            <w:pPr>
              <w:spacing w:after="0"/>
              <w:rPr>
                <w:sz w:val="7"/>
                <w:szCs w:val="7"/>
                <w:color w:val="auto"/>
              </w:rPr>
            </w:pP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739,779</w:t>
            </w:r>
          </w:p>
        </w:tc>
      </w:tr>
      <w:tr>
        <w:trPr>
          <w:trHeight w:val="88"/>
        </w:trPr>
        <w:tc>
          <w:tcPr>
            <w:tcW w:w="288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587</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(16,629)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(39,758)</w:t>
            </w: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154,680</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162,957</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171,740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(114,257)</w:t>
            </w: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3"/>
              </w:rPr>
              <w:t>(270,793)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w w:val="93"/>
              </w:rPr>
              <w:t>(189,248)</w:t>
            </w:r>
          </w:p>
        </w:tc>
        <w:tc>
          <w:tcPr>
            <w:tcW w:w="6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356,628</w:t>
            </w:r>
          </w:p>
        </w:tc>
        <w:tc>
          <w:tcPr>
            <w:tcW w:w="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139,400</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183,892</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2880" w:type="dxa"/>
            <w:vAlign w:val="bottom"/>
            <w:gridSpan w:val="2"/>
          </w:tcPr>
          <w:p>
            <w:pPr>
              <w:spacing w:after="0" w:line="88" w:lineRule="exact"/>
              <w:rPr>
                <w:sz w:val="20"/>
                <w:szCs w:val="20"/>
                <w:color w:val="auto"/>
              </w:rPr>
            </w:pPr>
            <w:r>
              <w:rPr>
                <w:rFonts w:ascii="Arial" w:cs="Arial" w:eastAsia="Arial" w:hAnsi="Arial"/>
                <w:sz w:val="8"/>
                <w:szCs w:val="8"/>
                <w:color w:val="auto"/>
              </w:rPr>
              <w:t>Net income (loss)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line="88" w:lineRule="exact"/>
              <w:rPr>
                <w:sz w:val="20"/>
                <w:szCs w:val="20"/>
                <w:color w:val="auto"/>
              </w:rPr>
            </w:pPr>
            <w:r>
              <w:rPr>
                <w:rFonts w:ascii="Arial" w:cs="Arial" w:eastAsia="Arial" w:hAnsi="Arial"/>
                <w:sz w:val="8"/>
                <w:szCs w:val="8"/>
                <w:color w:val="auto"/>
              </w:rPr>
              <w:t>11,140</w:t>
            </w:r>
          </w:p>
        </w:tc>
        <w:tc>
          <w:tcPr>
            <w:tcW w:w="20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(13,044)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(48,180)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225,295</w:t>
            </w:r>
          </w:p>
        </w:tc>
        <w:tc>
          <w:tcPr>
            <w:tcW w:w="2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237,262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250,005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(77,528)</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w w:val="93"/>
              </w:rPr>
              <w:t>(335,133)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(95,393)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736,161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379,891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555,887</w:t>
            </w:r>
          </w:p>
        </w:tc>
      </w:tr>
      <w:tr>
        <w:trPr>
          <w:trHeight w:val="34"/>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93"/>
        </w:trPr>
        <w:tc>
          <w:tcPr>
            <w:tcW w:w="288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2,217</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2,552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2,660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12,079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12,024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11,356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5,896</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6,023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6,110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68,380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67,472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65,132</w:t>
            </w:r>
          </w:p>
        </w:tc>
      </w:tr>
      <w:tr>
        <w:trPr>
          <w:trHeight w:val="29"/>
        </w:trPr>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2880" w:type="dxa"/>
            <w:vAlign w:val="bottom"/>
            <w:gridSpan w:val="2"/>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w:t>
            </w:r>
          </w:p>
        </w:tc>
        <w:tc>
          <w:tcPr>
            <w:tcW w:w="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60"/>
              <w:spacing w:after="0"/>
              <w:rPr>
                <w:sz w:val="20"/>
                <w:szCs w:val="20"/>
                <w:color w:val="auto"/>
              </w:rPr>
            </w:pPr>
            <w:r>
              <w:rPr>
                <w:rFonts w:ascii="Arial" w:cs="Arial" w:eastAsia="Arial" w:hAnsi="Arial"/>
                <w:sz w:val="8"/>
                <w:szCs w:val="8"/>
                <w:color w:val="auto"/>
              </w:rPr>
              <w:t>33</w:t>
            </w:r>
          </w:p>
        </w:tc>
        <w:tc>
          <w:tcPr>
            <w:tcW w:w="2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39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38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31</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200"/>
              <w:spacing w:after="0"/>
              <w:rPr>
                <w:sz w:val="20"/>
                <w:szCs w:val="20"/>
                <w:color w:val="auto"/>
              </w:rPr>
            </w:pPr>
            <w:r>
              <w:rPr>
                <w:rFonts w:ascii="Arial" w:cs="Arial" w:eastAsia="Arial" w:hAnsi="Arial"/>
                <w:sz w:val="8"/>
                <w:szCs w:val="8"/>
                <w:color w:val="auto"/>
              </w:rPr>
              <w:t>18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31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70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59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rPr>
                <w:sz w:val="20"/>
                <w:szCs w:val="20"/>
                <w:color w:val="auto"/>
              </w:rPr>
            </w:pPr>
            <w:r>
              <w:rPr>
                <w:rFonts w:ascii="Arial" w:cs="Arial" w:eastAsia="Arial" w:hAnsi="Arial"/>
                <w:sz w:val="8"/>
                <w:szCs w:val="8"/>
                <w:color w:val="auto"/>
              </w:rPr>
              <w:t>72</w:t>
            </w:r>
          </w:p>
        </w:tc>
      </w:tr>
      <w:tr>
        <w:trPr>
          <w:trHeight w:val="108"/>
        </w:trPr>
        <w:tc>
          <w:tcPr>
            <w:tcW w:w="130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140" w:hanging="393"/>
        <w:spacing w:after="0" w:line="260" w:lineRule="auto"/>
        <w:tabs>
          <w:tab w:leader="none" w:pos="108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$24,023,000 in 2010, $21,829,000 in 2009 and $21,861,000 in 2008 and is eliminated in “All Other” net interest income and income tax expense (benefit).</w:t>
      </w:r>
    </w:p>
    <w:p>
      <w:pPr>
        <w:spacing w:after="0" w:line="66"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Cayman Islands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originated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amount of intersegment activity eliminated in arriving at consolidated totals was included in the “All Other” category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7"/>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(41,508)</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(47,114)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(42,738)</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(15,527)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(19,164)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(19,198)</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taxes (benefit)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(10,572)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(11,373)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(9,578)</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(15,409)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(16,577)</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(13,962)</w:t>
            </w:r>
          </w:p>
        </w:tc>
      </w:tr>
    </w:tbl>
    <w:p>
      <w:pPr>
        <w:spacing w:after="0" w:line="68" w:lineRule="exact"/>
        <w:rPr>
          <w:sz w:val="20"/>
          <w:szCs w:val="20"/>
          <w:color w:val="auto"/>
        </w:rPr>
      </w:pPr>
    </w:p>
    <w:p>
      <w:pPr>
        <w:ind w:left="680" w:right="360" w:firstLine="599"/>
        <w:spacing w:after="0" w:line="280" w:lineRule="auto"/>
        <w:rPr>
          <w:sz w:val="20"/>
          <w:szCs w:val="20"/>
          <w:color w:val="auto"/>
        </w:rPr>
      </w:pPr>
      <w:r>
        <w:rPr>
          <w:rFonts w:ascii="Arial" w:cs="Arial" w:eastAsia="Arial" w:hAnsi="Arial"/>
          <w:sz w:val="14"/>
          <w:szCs w:val="14"/>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2" w:lineRule="exact"/>
        <w:rPr>
          <w:sz w:val="20"/>
          <w:szCs w:val="20"/>
          <w:color w:val="auto"/>
        </w:rPr>
      </w:pPr>
    </w:p>
    <w:p>
      <w:pPr>
        <w:ind w:left="1180" w:hanging="493"/>
        <w:spacing w:after="0"/>
        <w:tabs>
          <w:tab w:leader="none" w:pos="118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2010, approximately $1.4 billion was available for payment of dividends to M&amp;T from banking subsidiaries.</w:t>
      </w:r>
    </w:p>
    <w:p>
      <w:pPr>
        <w:ind w:left="680" w:right="40" w:firstLine="599"/>
        <w:spacing w:after="0" w:line="249" w:lineRule="auto"/>
        <w:rPr>
          <w:sz w:val="20"/>
          <w:szCs w:val="20"/>
          <w:color w:val="auto"/>
        </w:rPr>
      </w:pPr>
      <w:r>
        <w:rPr>
          <w:rFonts w:ascii="Arial" w:cs="Arial" w:eastAsia="Arial" w:hAnsi="Arial"/>
          <w:sz w:val="14"/>
          <w:szCs w:val="14"/>
          <w:color w:val="auto"/>
        </w:rPr>
        <w:t>Banking regulations prohibit extensions of credit by the subsidiary banks to M&amp;T unless appropriately secured by assets. Securities of affiliates are not eligible as collateral for this purpose.</w:t>
      </w:r>
    </w:p>
    <w:p>
      <w:pPr>
        <w:ind w:left="680" w:right="440" w:firstLine="599"/>
        <w:spacing w:after="0" w:line="268" w:lineRule="auto"/>
        <w:rPr>
          <w:sz w:val="20"/>
          <w:szCs w:val="20"/>
          <w:color w:val="auto"/>
        </w:rPr>
      </w:pPr>
      <w:r>
        <w:rPr>
          <w:rFonts w:ascii="Arial" w:cs="Arial" w:eastAsia="Arial" w:hAnsi="Arial"/>
          <w:sz w:val="13"/>
          <w:szCs w:val="13"/>
          <w:color w:val="auto"/>
        </w:rPr>
        <w:t>The bank subsidiaries are required to maintain noninterest-earning reserves against certain deposit liabilities. During the maintenance periods that included December 31, 2010 and 2009, cash and due from banks included a daily average of $196,402,000 and $162,952,000, respectively, for such purpose.</w:t>
      </w:r>
    </w:p>
    <w:p>
      <w:pPr>
        <w:ind w:left="680" w:right="20" w:firstLine="599"/>
        <w:spacing w:after="0" w:line="251" w:lineRule="auto"/>
        <w:rPr>
          <w:sz w:val="20"/>
          <w:szCs w:val="20"/>
          <w:color w:val="auto"/>
        </w:rPr>
      </w:pPr>
      <w:r>
        <w:rPr>
          <w:rFonts w:ascii="Arial" w:cs="Arial" w:eastAsia="Arial" w:hAnsi="Arial"/>
          <w:sz w:val="14"/>
          <w:szCs w:val="14"/>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2010,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capital ratios and amounts of the Company and its banking subsidiaries as of December 31, 2010 and 2009 are presented below:</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M&amp;T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M&amp;T Bank</w:t>
            </w:r>
          </w:p>
        </w:tc>
        <w:tc>
          <w:tcPr>
            <w:tcW w:w="4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M&amp;T</w:t>
            </w:r>
          </w:p>
        </w:tc>
        <w:tc>
          <w:tcPr>
            <w:tcW w:w="0" w:type="dxa"/>
            <w:vAlign w:val="bottom"/>
          </w:tcPr>
          <w:p>
            <w:pPr>
              <w:spacing w:after="0"/>
              <w:rPr>
                <w:sz w:val="1"/>
                <w:szCs w:val="1"/>
                <w:color w:val="auto"/>
              </w:rPr>
            </w:pPr>
          </w:p>
        </w:tc>
      </w:tr>
      <w:tr>
        <w:trPr>
          <w:trHeight w:val="125"/>
        </w:trPr>
        <w:tc>
          <w:tcPr>
            <w:tcW w:w="6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0"/>
                <w:szCs w:val="10"/>
                <w:b w:val="1"/>
                <w:bCs w:val="1"/>
                <w:color w:val="auto"/>
                <w:w w:val="94"/>
              </w:rPr>
              <w:t>(Consolidated)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Bank, N.A.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0"/>
                <w:szCs w:val="10"/>
                <w:b w:val="1"/>
                <w:bCs w:val="1"/>
                <w:color w:val="auto"/>
                <w:w w:val="96"/>
              </w:rPr>
              <w:t>(Dollars in thousands)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Tier 1 capital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6,051,724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5,406,330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190,151</w:t>
            </w: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Ratio(a)</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9.47%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8.62%</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26.80%</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2,555,215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2,508,897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28,386</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Total capital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8,352,643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7,686,799</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196,140</w:t>
            </w: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Ratio(a)</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13.08%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12.26%</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27.64%</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5,110,431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5,017,795</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56,772</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Leverage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6,051,724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5,406,330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3"/>
              </w:rPr>
              <w:t>190,151</w:t>
            </w: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Ratio(c)</w:t>
            </w:r>
          </w:p>
        </w:tc>
        <w:tc>
          <w:tcPr>
            <w:tcW w:w="10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9.33%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8.46%</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22.54%</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1,946,312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1,916,033</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25,307</w:t>
            </w:r>
          </w:p>
        </w:tc>
        <w:tc>
          <w:tcPr>
            <w:tcW w:w="0" w:type="dxa"/>
            <w:vAlign w:val="bottom"/>
          </w:tcPr>
          <w:p>
            <w:pPr>
              <w:spacing w:after="0"/>
              <w:rPr>
                <w:sz w:val="1"/>
                <w:szCs w:val="1"/>
                <w:color w:val="auto"/>
              </w:rPr>
            </w:pPr>
          </w:p>
        </w:tc>
      </w:tr>
      <w:tr>
        <w:trPr>
          <w:trHeight w:val="157"/>
        </w:trPr>
        <w:tc>
          <w:tcPr>
            <w:tcW w:w="6760" w:type="dxa"/>
            <w:vAlign w:val="bottom"/>
          </w:tcPr>
          <w:p>
            <w:pPr>
              <w:spacing w:after="0"/>
              <w:rPr>
                <w:sz w:val="20"/>
                <w:szCs w:val="20"/>
                <w:color w:val="auto"/>
              </w:rPr>
            </w:pPr>
            <w:r>
              <w:rPr>
                <w:rFonts w:ascii="Arial" w:cs="Arial" w:eastAsia="Arial" w:hAnsi="Arial"/>
                <w:sz w:val="13"/>
                <w:szCs w:val="13"/>
                <w:color w:val="auto"/>
              </w:rPr>
              <w:t>December 31, 2009: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Tier 1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5,514,093</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4,988,224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188,769</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Ratio(a)</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7.96%</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2,567,323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2,507,700</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40,846</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Total capital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7,892,455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7,342,191</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193,591</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Ratio(a)</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11.71%</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5,134,646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5,015,399</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81,692</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Leverage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60" w:type="dxa"/>
            <w:vAlign w:val="bottom"/>
          </w:tcPr>
          <w:p>
            <w:pPr>
              <w:ind w:left="140"/>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5,514,093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4,988,224</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188,769</w:t>
            </w:r>
          </w:p>
        </w:tc>
        <w:tc>
          <w:tcPr>
            <w:tcW w:w="0" w:type="dxa"/>
            <w:vAlign w:val="bottom"/>
          </w:tcPr>
          <w:p>
            <w:pPr>
              <w:spacing w:after="0"/>
              <w:rPr>
                <w:sz w:val="1"/>
                <w:szCs w:val="1"/>
                <w:color w:val="auto"/>
              </w:rPr>
            </w:pPr>
          </w:p>
        </w:tc>
      </w:tr>
      <w:tr>
        <w:trPr>
          <w:trHeight w:val="157"/>
        </w:trPr>
        <w:tc>
          <w:tcPr>
            <w:tcW w:w="6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Ratio(c)</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7.77%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65"/>
        </w:trPr>
        <w:tc>
          <w:tcPr>
            <w:tcW w:w="6760" w:type="dxa"/>
            <w:vAlign w:val="bottom"/>
          </w:tcPr>
          <w:p>
            <w:pPr>
              <w:ind w:left="140"/>
              <w:spacing w:after="0"/>
              <w:rPr>
                <w:sz w:val="20"/>
                <w:szCs w:val="20"/>
                <w:color w:val="auto"/>
              </w:rPr>
            </w:pPr>
            <w:r>
              <w:rPr>
                <w:rFonts w:ascii="Arial" w:cs="Arial" w:eastAsia="Arial" w:hAnsi="Arial"/>
                <w:sz w:val="13"/>
                <w:szCs w:val="13"/>
                <w:color w:val="auto"/>
              </w:rPr>
              <w:t>Minimum required amount(b)</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1,961,213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1,925,558</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29,179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risk-weighted assets, as defined by regulation.</w:t>
      </w:r>
    </w:p>
    <w:p>
      <w:pPr>
        <w:spacing w:after="0" w:line="15" w:lineRule="exact"/>
        <w:rPr>
          <w:rFonts w:ascii="Arial" w:cs="Arial" w:eastAsia="Arial" w:hAnsi="Arial"/>
          <w:sz w:val="13"/>
          <w:szCs w:val="13"/>
          <w:i w:val="1"/>
          <w:iCs w:val="1"/>
          <w:color w:val="auto"/>
        </w:rPr>
      </w:pPr>
    </w:p>
    <w:p>
      <w:pPr>
        <w:ind w:left="1080" w:hanging="393"/>
        <w:spacing w:after="0"/>
        <w:tabs>
          <w:tab w:leader="none" w:pos="10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Minimum amount of capital to be considered adequately capitalized, as defined by regulation.</w:t>
      </w:r>
    </w:p>
    <w:p>
      <w:pPr>
        <w:spacing w:after="0" w:line="7" w:lineRule="exact"/>
        <w:rPr>
          <w:rFonts w:ascii="Arial" w:cs="Arial" w:eastAsia="Arial" w:hAnsi="Arial"/>
          <w:sz w:val="13"/>
          <w:szCs w:val="13"/>
          <w:i w:val="1"/>
          <w:iCs w:val="1"/>
          <w:color w:val="auto"/>
        </w:rPr>
      </w:pPr>
    </w:p>
    <w:p>
      <w:pPr>
        <w:ind w:left="1080" w:hanging="393"/>
        <w:spacing w:after="0"/>
        <w:tabs>
          <w:tab w:leader="none" w:pos="10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average assets, as defined by regulation.</w:t>
      </w:r>
    </w:p>
    <w:p>
      <w:pPr>
        <w:spacing w:after="0" w:line="160" w:lineRule="exact"/>
        <w:rPr>
          <w:sz w:val="20"/>
          <w:szCs w:val="20"/>
          <w:color w:val="auto"/>
        </w:rPr>
      </w:pPr>
    </w:p>
    <w:p>
      <w:pPr>
        <w:ind w:left="1180" w:hanging="493"/>
        <w:spacing w:after="0"/>
        <w:tabs>
          <w:tab w:leader="none" w:pos="11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of M&amp;T and AIB</w:t>
      </w:r>
    </w:p>
    <w:p>
      <w:pPr>
        <w:spacing w:after="0" w:line="22" w:lineRule="exact"/>
        <w:rPr>
          <w:sz w:val="20"/>
          <w:szCs w:val="20"/>
          <w:color w:val="auto"/>
        </w:rPr>
      </w:pPr>
    </w:p>
    <w:p>
      <w:pPr>
        <w:ind w:left="680" w:right="40"/>
        <w:spacing w:after="0" w:line="285" w:lineRule="auto"/>
        <w:rPr>
          <w:sz w:val="20"/>
          <w:szCs w:val="20"/>
          <w:color w:val="auto"/>
        </w:rPr>
      </w:pPr>
      <w:r>
        <w:rPr>
          <w:rFonts w:ascii="Arial" w:cs="Arial" w:eastAsia="Arial" w:hAnsi="Arial"/>
          <w:sz w:val="13"/>
          <w:szCs w:val="13"/>
          <w:color w:val="auto"/>
        </w:rPr>
        <w:t>AIB received 26,700,000 shares of M&amp;T common stock on April 1, 2003 as a result of M&amp;T’s acquisition of a subsidiary of AIB on that date. In an effort to raise its capital position to meet new Irish government-mandated capital requirements, AIB sold those shares on November 4, 2010 and, as a result, the provisions of the Agreement and Plan of Reorganization between M&amp;T and AIB related to AIB’s rights as a substantial shareholder in the corporate governance of M&amp;T became inoperative as of that date.</w:t>
      </w:r>
    </w:p>
    <w:p>
      <w:pPr>
        <w:spacing w:after="0" w:line="120" w:lineRule="exact"/>
        <w:rPr>
          <w:sz w:val="20"/>
          <w:szCs w:val="20"/>
          <w:color w:val="auto"/>
        </w:rPr>
      </w:pPr>
    </w:p>
    <w:p>
      <w:pPr>
        <w:ind w:left="1180" w:hanging="493"/>
        <w:spacing w:after="0"/>
        <w:tabs>
          <w:tab w:leader="none" w:pos="118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with Bayview Lending Group LLC and Bayview Financial Holdings, L.P.</w:t>
      </w:r>
    </w:p>
    <w:p>
      <w:pPr>
        <w:spacing w:after="0" w:line="22" w:lineRule="exact"/>
        <w:rPr>
          <w:sz w:val="20"/>
          <w:szCs w:val="20"/>
          <w:color w:val="auto"/>
        </w:rPr>
      </w:pPr>
    </w:p>
    <w:p>
      <w:pPr>
        <w:ind w:left="680" w:right="300"/>
        <w:spacing w:after="0" w:line="301" w:lineRule="auto"/>
        <w:rPr>
          <w:sz w:val="20"/>
          <w:szCs w:val="20"/>
          <w:color w:val="auto"/>
        </w:rPr>
      </w:pPr>
      <w:r>
        <w:rPr>
          <w:rFonts w:ascii="Arial" w:cs="Arial" w:eastAsia="Arial" w:hAnsi="Arial"/>
          <w:sz w:val="13"/>
          <w:szCs w:val="13"/>
          <w:color w:val="auto"/>
        </w:rPr>
        <w:t>In 2007, M&amp;T invested $300 million to acquire a 20% minority interest in Bayview Lending Group LLC (“BLG”), a privately-held commercial mortgage lender. M&amp;T recognizes income or loss from BLG using the equity method of accounting. The carrying value of that investment was $220 million at December 31, 2010.</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7" w:lineRule="exact"/>
        <w:rPr>
          <w:sz w:val="20"/>
          <w:szCs w:val="20"/>
          <w:color w:val="auto"/>
        </w:rPr>
      </w:pPr>
    </w:p>
    <w:p>
      <w:pPr>
        <w:ind w:left="680" w:right="860" w:firstLine="599"/>
        <w:spacing w:after="0" w:line="273" w:lineRule="auto"/>
        <w:rPr>
          <w:sz w:val="20"/>
          <w:szCs w:val="20"/>
          <w:color w:val="auto"/>
        </w:rPr>
      </w:pPr>
      <w:r>
        <w:rPr>
          <w:rFonts w:ascii="Arial" w:cs="Arial" w:eastAsia="Arial" w:hAnsi="Arial"/>
          <w:sz w:val="13"/>
          <w:szCs w:val="13"/>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small-balance commercial mortgage loans from BLG and Bayview Financial having outstanding principal balances of $5.2 billion and $5.5 billion at December 31, 2010 and 2009, respectively. Amounts recorded as capitalized servicing assets for such loans totaled $26 million at December 31, 2010 and $40 million at December 31, 2009. Capitalized servicing rights at December 31, 2010 and 2009 also included $9 million and $17 million, respectively, for servicing rights that were purchased from Bayview Financial related to residential mortgage loans with outstanding principal balances of $3.6 billion and $4.1 billion at December 31, 2010 and 2009, respectively. Revenues from servicing residential and small-balance commercial mortgage loans purchased from BLG and Bayview Financial were $46 million, $50 million and $54 million during 2010, 2009 and 2008, respectively. M&amp;T Bank provided $34 million of credit facilities to Bayview Financial at December 31, 2009, of which $24 million was outstanding at that date. That credit facility expired and was repaid in full during 2010. There was no similar credit facility provided as of December 31, 2010. The Company held $22 million and $25 million at December 31, 2010 and 2009, respectively, of collateralized mortgage obligations in its available-for-sale investment securities portfolio that were securitized by Bayview Financial. In addition, the Company held $313 million and $352 million of similar investment securities in its held-to-maturity portfolio at December 31, 2010 and December 31, 2009, respectively.</w:t>
      </w:r>
    </w:p>
    <w:p>
      <w:pPr>
        <w:spacing w:after="0" w:line="128" w:lineRule="exact"/>
        <w:rPr>
          <w:sz w:val="20"/>
          <w:szCs w:val="20"/>
          <w:color w:val="auto"/>
        </w:rPr>
      </w:pPr>
    </w:p>
    <w:p>
      <w:pPr>
        <w:ind w:left="680" w:right="8000" w:firstLine="7"/>
        <w:spacing w:after="0" w:line="388" w:lineRule="auto"/>
        <w:tabs>
          <w:tab w:leader="none" w:pos="1181"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financial statements Condensed Balance Sheet</w:t>
      </w: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60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92"/>
              </w:rPr>
              <w:t>thousands)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Cash in subsidiary bank</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1,784</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Due from consolidated bank subsidiaries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Arial" w:cs="Arial" w:eastAsia="Arial" w:hAnsi="Arial"/>
                <w:sz w:val="13"/>
                <w:szCs w:val="13"/>
                <w:color w:val="auto"/>
              </w:rPr>
              <w:t>Money-market savings</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481,340</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327,029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income tax receivable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2,664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due from consolidated bank subsidiaries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484,004</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Investments in consolidated subsidiaries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Banks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9,048,703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8,559,692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30,978</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29,925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unconsolidated subsidiaries (note 19)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34,257</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34,424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Investment in Bayview Lending Group LLC</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219,800</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245,568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88,976</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9,908,502</w:t>
            </w:r>
          </w:p>
        </w:tc>
        <w:tc>
          <w:tcPr>
            <w:tcW w:w="3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9,296,691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Due to consolidated bank subsidiaries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20</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and other liabilities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73,283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color w:val="auto"/>
              </w:rPr>
              <w:t>Long-term borrowings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1,477,504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1,475,780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1,550,807</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1,543,784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900" w:type="dxa"/>
            <w:vAlign w:val="bottom"/>
          </w:tcPr>
          <w:p>
            <w:pPr>
              <w:spacing w:after="0"/>
              <w:rPr>
                <w:sz w:val="20"/>
                <w:szCs w:val="20"/>
                <w:color w:val="auto"/>
              </w:rPr>
            </w:pPr>
            <w:r>
              <w:rPr>
                <w:rFonts w:ascii="Arial" w:cs="Arial" w:eastAsia="Arial" w:hAnsi="Arial"/>
                <w:sz w:val="13"/>
                <w:szCs w:val="13"/>
                <w:b w:val="1"/>
                <w:bCs w:val="1"/>
                <w:color w:val="auto"/>
              </w:rPr>
              <w:t>Shareholders’ equity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8,357,695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7,752,907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9,908,502</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9,296,691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166</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5"/>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2"/>
              </w:rPr>
              <w:t>(In thousands, except per share)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Dividends from consolidated bank subsidiaries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500,000</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Equity in earnings of Bayview Lending Group LLC</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(25,768)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(25,898)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Other-than-temporary impairment losses</w:t>
            </w:r>
          </w:p>
        </w:tc>
        <w:tc>
          <w:tcPr>
            <w:tcW w:w="160" w:type="dxa"/>
            <w:vAlign w:val="bottom"/>
          </w:tcPr>
          <w:p>
            <w:pPr>
              <w:spacing w:after="0"/>
              <w:rPr>
                <w:sz w:val="13"/>
                <w:szCs w:val="13"/>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3"/>
                <w:szCs w:val="13"/>
                <w:color w:val="auto"/>
              </w:rPr>
              <w:t>(11,993)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10,670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468,797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(15,228)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(34,468)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Interest on long-term borrowings</w:t>
            </w:r>
          </w:p>
        </w:tc>
        <w:tc>
          <w:tcPr>
            <w:tcW w:w="160" w:type="dxa"/>
            <w:vAlign w:val="bottom"/>
          </w:tcPr>
          <w:p>
            <w:pPr>
              <w:spacing w:after="0"/>
              <w:rPr>
                <w:sz w:val="13"/>
                <w:szCs w:val="13"/>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91,073</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93,331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101,534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5,427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98,520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98,758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104,332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 and equity in undistributed income of subsidiaries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370,277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(113,986)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(138,800)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Income tax credits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48,416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42,740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51,085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Income (loss) before equity in undistributed income of subsidiaries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418,693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(71,246)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(87,715)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b w:val="1"/>
                <w:bCs w:val="1"/>
                <w:color w:val="auto"/>
              </w:rPr>
              <w:t>Equity in undistributed income of subsidiaries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 of subsidiaries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817,468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451,137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643,602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Less: dividends received</w:t>
            </w:r>
          </w:p>
        </w:tc>
        <w:tc>
          <w:tcPr>
            <w:tcW w:w="160" w:type="dxa"/>
            <w:vAlign w:val="bottom"/>
          </w:tcPr>
          <w:p>
            <w:pPr>
              <w:spacing w:after="0"/>
              <w:rPr>
                <w:sz w:val="13"/>
                <w:szCs w:val="13"/>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3"/>
                <w:szCs w:val="13"/>
                <w:color w:val="auto"/>
              </w:rPr>
              <w:t>(500,000)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Equity in undistributed income of subsidiaries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317,468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451,137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643,602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i w:val="1"/>
                <w:iCs w:val="1"/>
                <w:color w:val="auto"/>
              </w:rPr>
              <w:t>Net income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736,161</w:t>
            </w:r>
          </w:p>
        </w:tc>
        <w:tc>
          <w:tcPr>
            <w:tcW w:w="10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379,891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555,887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8"/>
              <w:spacing w:after="0"/>
              <w:rPr>
                <w:sz w:val="20"/>
                <w:szCs w:val="20"/>
                <w:color w:val="auto"/>
              </w:rPr>
            </w:pPr>
            <w:r>
              <w:rPr>
                <w:rFonts w:ascii="Arial" w:cs="Arial" w:eastAsia="Arial" w:hAnsi="Arial"/>
                <w:sz w:val="13"/>
                <w:szCs w:val="13"/>
                <w:color w:val="auto"/>
              </w:rPr>
              <w:t>5.72</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5.69</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736,161</w:t>
            </w:r>
          </w:p>
        </w:tc>
        <w:tc>
          <w:tcPr>
            <w:tcW w:w="4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379,891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555,887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Equity in undistributed income of subsidiaries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(317,468)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(451,137)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(643,602)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deferred income taxes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2,237</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Net change in accrued income and expense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43,567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14,589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46,884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(used) by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464,497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(56,366)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of investment securities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2,591</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Proceeds from maturities of investment securities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1,150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6,600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Purchases of investment securities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(2,225)</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(43,072)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Investment in subsidiary</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(120,000)</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repayment of advances to subsidiaries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Other, net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15,088</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(8,790)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(used) by investing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99,833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long-term borrowings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Payments on long-term borrowings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(111,046)</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(20,661)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Dividends paid — common</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(335,303)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(325,706)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(308,501)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(40,225)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(31,946)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subsidiary for issuance of common stock to defined benefit pension plan</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44,289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Proceeds from issuance of preferred stock and warrants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600,000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63,122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Net cash provided (used) by financing activities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(312,406)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(412,154)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634,032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154,640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(368,687)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328,484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697,171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106,251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483,124</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328,484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697,171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received during the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4,960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3"/>
                <w:szCs w:val="13"/>
                <w:color w:val="auto"/>
              </w:rPr>
              <w:t>Interest paid during the year</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87,456</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92,247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99,209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taxes received during the year</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50,882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45,745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68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168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22" w:lineRule="exact"/>
        <w:rPr>
          <w:sz w:val="20"/>
          <w:szCs w:val="20"/>
          <w:color w:val="auto"/>
        </w:rPr>
      </w:pPr>
    </w:p>
    <w:p>
      <w:pPr>
        <w:ind w:left="680" w:right="60" w:firstLine="605"/>
        <w:spacing w:after="0" w:line="249" w:lineRule="auto"/>
        <w:tabs>
          <w:tab w:leader="none" w:pos="1475" w:val="left"/>
        </w:tabs>
        <w:numPr>
          <w:ilvl w:val="0"/>
          <w:numId w:val="69"/>
        </w:numPr>
        <w:rPr>
          <w:rFonts w:ascii="Arial" w:cs="Arial" w:eastAsia="Arial" w:hAnsi="Arial"/>
          <w:sz w:val="14"/>
          <w:szCs w:val="14"/>
          <w:color w:val="auto"/>
        </w:rPr>
      </w:pPr>
      <w:r>
        <w:rPr>
          <w:rFonts w:ascii="Arial" w:cs="Arial" w:eastAsia="Arial" w:hAnsi="Arial"/>
          <w:sz w:val="14"/>
          <w:szCs w:val="14"/>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2010.</w:t>
      </w:r>
    </w:p>
    <w:p>
      <w:pPr>
        <w:ind w:left="680" w:right="40" w:firstLine="605"/>
        <w:spacing w:after="0" w:line="249" w:lineRule="auto"/>
        <w:tabs>
          <w:tab w:leader="none" w:pos="1483"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Included under the heading “Report on Internal Control Over Financial Reporting” at Item 8 of this Annual Report on Form 10-K.</w:t>
      </w:r>
    </w:p>
    <w:p>
      <w:pPr>
        <w:ind w:left="680" w:right="120" w:firstLine="605"/>
        <w:spacing w:after="0" w:line="249" w:lineRule="auto"/>
        <w:tabs>
          <w:tab w:leader="none" w:pos="1467" w:val="left"/>
        </w:tabs>
        <w:numPr>
          <w:ilvl w:val="0"/>
          <w:numId w:val="69"/>
        </w:numPr>
        <w:rPr>
          <w:rFonts w:ascii="Arial" w:cs="Arial" w:eastAsia="Arial" w:hAnsi="Arial"/>
          <w:sz w:val="14"/>
          <w:szCs w:val="14"/>
          <w:color w:val="auto"/>
        </w:rPr>
      </w:pPr>
      <w:r>
        <w:rPr>
          <w:rFonts w:ascii="Arial" w:cs="Arial" w:eastAsia="Arial" w:hAnsi="Arial"/>
          <w:sz w:val="14"/>
          <w:szCs w:val="14"/>
          <w:color w:val="auto"/>
        </w:rPr>
        <w:t>Attestation report of the registered public accounting firm. Included under the heading “Report of Independent Registered Public Accounting Firm” at Item 8 of this Annual Report on Form 10-K.</w:t>
      </w:r>
    </w:p>
    <w:p>
      <w:pPr>
        <w:ind w:left="680" w:right="80" w:firstLine="605"/>
        <w:spacing w:after="0" w:line="253" w:lineRule="auto"/>
        <w:tabs>
          <w:tab w:leader="none" w:pos="1483" w:val="left"/>
        </w:tabs>
        <w:numPr>
          <w:ilvl w:val="0"/>
          <w:numId w:val="69"/>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2010 that have materially affected, or are reasonably likely to materially affect, M&amp;T’s internal control over financial reporting.</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7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9" w:lineRule="exact"/>
        <w:rPr>
          <w:sz w:val="20"/>
          <w:szCs w:val="20"/>
          <w:color w:val="auto"/>
        </w:rPr>
      </w:pPr>
    </w:p>
    <w:p>
      <w:pPr>
        <w:ind w:left="680" w:right="220"/>
        <w:spacing w:after="0" w:line="277" w:lineRule="auto"/>
        <w:rPr>
          <w:sz w:val="20"/>
          <w:szCs w:val="20"/>
          <w:color w:val="auto"/>
        </w:rPr>
      </w:pPr>
      <w:r>
        <w:rPr>
          <w:rFonts w:ascii="Arial" w:cs="Arial" w:eastAsia="Arial" w:hAnsi="Arial"/>
          <w:sz w:val="13"/>
          <w:szCs w:val="13"/>
          <w:color w:val="auto"/>
        </w:rPr>
        <w:t>The identification of the Registrant’s directors is incorporated by reference to the caption “NOMINEES FOR DIRECTOR” contained in the Registrant’s definitive Proxy Statement for its 2011 Annual Meeting of Shareholders, which will be filed with the Securities and Exchange Commission on or about March 7, 2011.</w:t>
      </w:r>
    </w:p>
    <w:p>
      <w:pPr>
        <w:spacing w:after="0" w:line="1"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The identification of the Registrant’s executive officers is presented under the caption “Executive Officers of the Registrant” contained in Part I of this Annual Report on Form 10-K.</w:t>
      </w:r>
    </w:p>
    <w:p>
      <w:pPr>
        <w:ind w:left="680" w:firstLine="599"/>
        <w:spacing w:after="0" w:line="249" w:lineRule="auto"/>
        <w:rPr>
          <w:sz w:val="20"/>
          <w:szCs w:val="20"/>
          <w:color w:val="auto"/>
        </w:rPr>
      </w:pPr>
      <w:r>
        <w:rPr>
          <w:rFonts w:ascii="Arial" w:cs="Arial" w:eastAsia="Arial" w:hAnsi="Arial"/>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2011 Annual Meeting of Shareholders which will be filed with the Securities and Exchange Commission on or about March 7, 2011.</w:t>
      </w:r>
    </w:p>
    <w:p>
      <w:pPr>
        <w:ind w:left="680" w:right="260" w:firstLine="599"/>
        <w:spacing w:after="0" w:line="253" w:lineRule="auto"/>
        <w:rPr>
          <w:sz w:val="20"/>
          <w:szCs w:val="20"/>
          <w:color w:val="auto"/>
        </w:rPr>
      </w:pPr>
      <w:r>
        <w:rPr>
          <w:rFonts w:ascii="Arial" w:cs="Arial" w:eastAsia="Arial" w:hAnsi="Arial"/>
          <w:sz w:val="14"/>
          <w:szCs w:val="14"/>
          <w:color w:val="auto"/>
        </w:rPr>
        <w:t>The other information required by Item 10 is incorporated by reference to the captions “CORPORATE GOVERNANCE OF M&amp;T BANK CORPORATION,” “BOARD OF DIRECTORS, COMMITTEES OF THE BOARD AND ATTENDANCE” and “CODES OF BUSINESS CONDUCT AND ETHICS” contained in the Registrant’s definitive Proxy Statement for its 2011 Annual Meeting of Shareholders, which will be filed with the Securities and Exchange Commission on or about March 7, 2011.</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9" w:lineRule="exact"/>
        <w:rPr>
          <w:sz w:val="20"/>
          <w:szCs w:val="20"/>
          <w:color w:val="auto"/>
        </w:rPr>
      </w:pPr>
    </w:p>
    <w:p>
      <w:pPr>
        <w:ind w:left="680" w:right="180"/>
        <w:spacing w:after="0" w:line="280"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2011 Annual Meeting of Shareholders, which will be filed with the Securities and Exchange Commission on or about March 7, 2011.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Shareholder Matters.</w:t>
      </w:r>
    </w:p>
    <w:p>
      <w:pPr>
        <w:spacing w:after="0" w:line="99" w:lineRule="exact"/>
        <w:rPr>
          <w:sz w:val="20"/>
          <w:szCs w:val="20"/>
          <w:color w:val="auto"/>
        </w:rPr>
      </w:pPr>
    </w:p>
    <w:p>
      <w:pPr>
        <w:ind w:left="680" w:right="200"/>
        <w:spacing w:after="0" w:line="255" w:lineRule="auto"/>
        <w:rPr>
          <w:sz w:val="20"/>
          <w:szCs w:val="20"/>
          <w:color w:val="auto"/>
        </w:rPr>
      </w:pPr>
      <w:r>
        <w:rPr>
          <w:rFonts w:ascii="Arial" w:cs="Arial" w:eastAsia="Arial" w:hAnsi="Arial"/>
          <w:sz w:val="14"/>
          <w:szCs w:val="14"/>
          <w:color w:val="auto"/>
        </w:rPr>
        <w:t>Incorporated by reference to the captions “PRINCIPAL BENEFICIAL OWNERS OF SHARES” and “STOCK OWNERSHIP BY DIRECTORS AND EXECUTIVE OFFICERS” contained in the Registrant’s definitive Proxy Statement for its 2011 Annual Meeting of Shareholders, which will be filed with the Securities and Exchange Commission on or about March 7, 2011.</w:t>
      </w:r>
    </w:p>
    <w:p>
      <w:pPr>
        <w:ind w:left="680" w:right="140" w:firstLine="599"/>
        <w:spacing w:after="0" w:line="256" w:lineRule="auto"/>
        <w:rPr>
          <w:sz w:val="20"/>
          <w:szCs w:val="20"/>
          <w:color w:val="auto"/>
        </w:rPr>
      </w:pPr>
      <w:r>
        <w:rPr>
          <w:rFonts w:ascii="Arial" w:cs="Arial" w:eastAsia="Arial" w:hAnsi="Arial"/>
          <w:sz w:val="14"/>
          <w:szCs w:val="14"/>
          <w:color w:val="auto"/>
        </w:rPr>
        <w:t>The information required by this item concerning Equity Compensation Plan information is incorporated by reference to the caption “COMPENSATION OF EXECUTIVE OFFICERS AND DIRECTORS” contained in the Registrant’s definitive Proxy Statement for its 2011 Annual Meeting of Shareholders, which will be filed with the Securities and Exchange Commission on or about March 7, 2011.</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9" w:lineRule="exact"/>
        <w:rPr>
          <w:sz w:val="20"/>
          <w:szCs w:val="20"/>
          <w:color w:val="auto"/>
        </w:rPr>
      </w:pPr>
    </w:p>
    <w:p>
      <w:pPr>
        <w:ind w:left="680" w:right="40"/>
        <w:spacing w:after="0" w:line="265" w:lineRule="auto"/>
        <w:rPr>
          <w:sz w:val="20"/>
          <w:szCs w:val="20"/>
          <w:color w:val="auto"/>
        </w:rPr>
      </w:pPr>
      <w:r>
        <w:rPr>
          <w:rFonts w:ascii="Arial" w:cs="Arial" w:eastAsia="Arial" w:hAnsi="Arial"/>
          <w:sz w:val="14"/>
          <w:szCs w:val="14"/>
          <w:color w:val="auto"/>
        </w:rPr>
        <w:t>Incorporated by reference to the captions “TRANSACTIONS WITH DIRECTORS AND EXECUTIVE OFFICERS” and “BOARD OF DIRECTORS, COMMITTEES OF THE BOARD AND ATTENDANCE” contained in the Registrant’s definitive Proxy Statement for its 2011 Annual Meeting of Shareholders, which will be filed with the Securities and Exchange Commission on or about March 7, 2011.</w:t>
      </w:r>
    </w:p>
    <w:p>
      <w:pPr>
        <w:spacing w:after="0" w:line="13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22" w:lineRule="exact"/>
        <w:rPr>
          <w:sz w:val="20"/>
          <w:szCs w:val="20"/>
          <w:color w:val="auto"/>
        </w:rPr>
      </w:pPr>
    </w:p>
    <w:p>
      <w:pPr>
        <w:ind w:left="680" w:right="60"/>
        <w:spacing w:after="0" w:line="256" w:lineRule="auto"/>
        <w:rPr>
          <w:sz w:val="20"/>
          <w:szCs w:val="20"/>
          <w:color w:val="auto"/>
        </w:rPr>
      </w:pPr>
      <w:r>
        <w:rPr>
          <w:rFonts w:ascii="Arial" w:cs="Arial" w:eastAsia="Arial" w:hAnsi="Arial"/>
          <w:sz w:val="14"/>
          <w:szCs w:val="14"/>
          <w:color w:val="auto"/>
        </w:rPr>
        <w:t>Incorporated by reference to the caption “PROPOSAL TO RATIFY THE APPOINTMENT OF PRICEWATERHOUSECOOPERS LLP AS THE INDEPENDENT REGISTERED PUBLIC ACCOUNTING FIRM OF M&amp;T BANK CORPORATION” contained in the Registrant’s definitive Proxy Statement for its 2011 Annual Meeting of Shareholders, which will be filed with the Securities and Exchange Commission on or about March 7, 2011.</w:t>
      </w:r>
    </w:p>
    <w:p>
      <w:pPr>
        <w:spacing w:after="0" w:line="216"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IV</w:t>
      </w:r>
    </w:p>
    <w:p>
      <w:pPr>
        <w:spacing w:after="0" w:line="17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22" w:lineRule="exact"/>
        <w:rPr>
          <w:sz w:val="20"/>
          <w:szCs w:val="20"/>
          <w:color w:val="auto"/>
        </w:rPr>
      </w:pPr>
    </w:p>
    <w:p>
      <w:pPr>
        <w:ind w:left="680" w:right="420" w:firstLine="605"/>
        <w:spacing w:after="0" w:line="249" w:lineRule="auto"/>
        <w:tabs>
          <w:tab w:leader="none" w:pos="1475"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left="680" w:firstLine="605"/>
        <w:spacing w:after="0" w:line="249" w:lineRule="auto"/>
        <w:tabs>
          <w:tab w:leader="none" w:pos="1483"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Exhibits required by Item 601 of Regulation S-K. The exhibits listed on the Exhibit Index of this Annual Report on Form 10-K have been previously filed, are filed herewith or are incorporated herein by reference to other filings.</w:t>
      </w:r>
    </w:p>
    <w:p>
      <w:pPr>
        <w:ind w:left="1480" w:hanging="195"/>
        <w:spacing w:after="0"/>
        <w:tabs>
          <w:tab w:leader="none" w:pos="1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Additional financial statement schedules. None.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Signatures</w:t>
      </w:r>
    </w:p>
    <w:p>
      <w:pPr>
        <w:spacing w:after="0" w:line="99" w:lineRule="exact"/>
        <w:rPr>
          <w:sz w:val="20"/>
          <w:szCs w:val="20"/>
          <w:color w:val="auto"/>
        </w:rPr>
      </w:pPr>
    </w:p>
    <w:p>
      <w:pPr>
        <w:ind w:left="680" w:right="400"/>
        <w:spacing w:after="0" w:line="28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18th day of February, 2011.</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4"/>
          <w:szCs w:val="14"/>
          <w:color w:val="auto"/>
        </w:rPr>
        <w:t>By:</w:t>
        <w:tab/>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-99695</wp:posOffset>
            </wp:positionV>
            <wp:extent cx="353377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4"/>
          <w:szCs w:val="14"/>
          <w:i w:val="1"/>
          <w:iCs w:val="1"/>
          <w:color w:val="auto"/>
        </w:rPr>
        <w:t>Chairman of the Board and</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4"/>
          <w:szCs w:val="14"/>
          <w:i w:val="1"/>
          <w:iCs w:val="1"/>
          <w:color w:val="auto"/>
        </w:rPr>
        <w:t>Chief Executive Officer</w:t>
      </w:r>
    </w:p>
    <w:p>
      <w:pPr>
        <w:spacing w:after="0" w:line="83" w:lineRule="exact"/>
        <w:rPr>
          <w:sz w:val="20"/>
          <w:szCs w:val="20"/>
          <w:color w:val="auto"/>
        </w:rPr>
      </w:pPr>
    </w:p>
    <w:p>
      <w:pPr>
        <w:ind w:left="680" w:firstLine="599"/>
        <w:spacing w:after="0" w:line="28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3" w:lineRule="exact"/>
        <w:rPr>
          <w:sz w:val="20"/>
          <w:szCs w:val="20"/>
          <w:color w:val="auto"/>
        </w:rPr>
      </w:pPr>
    </w:p>
    <w:p>
      <w:pPr>
        <w:ind w:left="2980"/>
        <w:spacing w:after="0"/>
        <w:tabs>
          <w:tab w:leader="none" w:pos="7260" w:val="left"/>
          <w:tab w:leader="none" w:pos="9740" w:val="left"/>
        </w:tabs>
        <w:rPr>
          <w:sz w:val="20"/>
          <w:szCs w:val="20"/>
          <w:color w:val="auto"/>
        </w:rPr>
      </w:pPr>
      <w:r>
        <w:rPr>
          <w:rFonts w:ascii="Arial" w:cs="Arial" w:eastAsia="Arial" w:hAnsi="Arial"/>
          <w:sz w:val="10"/>
          <w:szCs w:val="10"/>
          <w:b w:val="1"/>
          <w:bCs w:val="1"/>
          <w:color w:val="auto"/>
        </w:rPr>
        <w:t>Signature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Principal Executive Officer:</w:t>
            </w:r>
          </w:p>
        </w:tc>
        <w:tc>
          <w:tcPr>
            <w:tcW w:w="3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1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OBERT</w:t>
            </w:r>
            <w:r>
              <w:rPr>
                <w:rFonts w:ascii="Arial" w:cs="Arial" w:eastAsia="Arial" w:hAnsi="Arial"/>
                <w:sz w:val="13"/>
                <w:szCs w:val="13"/>
                <w:color w:val="auto"/>
              </w:rPr>
              <w:t xml:space="preserve"> G. W</w:t>
            </w:r>
            <w:r>
              <w:rPr>
                <w:rFonts w:ascii="Arial" w:cs="Arial" w:eastAsia="Arial" w:hAnsi="Arial"/>
                <w:sz w:val="8"/>
                <w:szCs w:val="8"/>
                <w:color w:val="auto"/>
              </w:rPr>
              <w:t>ILMERS</w:t>
            </w:r>
          </w:p>
        </w:tc>
        <w:tc>
          <w:tcPr>
            <w:tcW w:w="3400" w:type="dxa"/>
            <w:vAlign w:val="bottom"/>
          </w:tcPr>
          <w:p>
            <w:pPr>
              <w:jc w:val="center"/>
              <w:spacing w:after="0"/>
              <w:rPr>
                <w:sz w:val="20"/>
                <w:szCs w:val="20"/>
                <w:color w:val="auto"/>
              </w:rPr>
            </w:pPr>
            <w:r>
              <w:rPr>
                <w:rFonts w:ascii="Arial" w:cs="Arial" w:eastAsia="Arial" w:hAnsi="Arial"/>
                <w:sz w:val="13"/>
                <w:szCs w:val="13"/>
                <w:color w:val="auto"/>
                <w:w w:val="93"/>
              </w:rPr>
              <w:t>Chairman of the Board and Chief Executive Officer</w:t>
            </w: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1"/>
              </w:rPr>
              <w:t>Robert G. Wilmers</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6"/>
        </w:trPr>
        <w:tc>
          <w:tcPr>
            <w:tcW w:w="5000" w:type="dxa"/>
            <w:vAlign w:val="bottom"/>
          </w:tcPr>
          <w:p>
            <w:pPr>
              <w:spacing w:after="0"/>
              <w:rPr>
                <w:sz w:val="20"/>
                <w:szCs w:val="20"/>
                <w:color w:val="auto"/>
              </w:rPr>
            </w:pPr>
            <w:r>
              <w:rPr>
                <w:rFonts w:ascii="Arial" w:cs="Arial" w:eastAsia="Arial" w:hAnsi="Arial"/>
                <w:sz w:val="13"/>
                <w:szCs w:val="13"/>
                <w:color w:val="auto"/>
              </w:rPr>
              <w:t>Principal Financial Officer:</w:t>
            </w: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R</w:t>
            </w:r>
            <w:r>
              <w:rPr>
                <w:rFonts w:ascii="Arial" w:cs="Arial" w:eastAsia="Arial" w:hAnsi="Arial"/>
                <w:sz w:val="8"/>
                <w:szCs w:val="8"/>
                <w:color w:val="auto"/>
                <w:w w:val="98"/>
              </w:rPr>
              <w:t>ENÉ</w:t>
            </w:r>
            <w:r>
              <w:rPr>
                <w:rFonts w:ascii="Arial" w:cs="Arial" w:eastAsia="Arial" w:hAnsi="Arial"/>
                <w:sz w:val="13"/>
                <w:szCs w:val="13"/>
                <w:color w:val="auto"/>
                <w:w w:val="98"/>
              </w:rPr>
              <w:t xml:space="preserve"> F. J</w:t>
            </w:r>
            <w:r>
              <w:rPr>
                <w:rFonts w:ascii="Arial" w:cs="Arial" w:eastAsia="Arial" w:hAnsi="Arial"/>
                <w:sz w:val="8"/>
                <w:szCs w:val="8"/>
                <w:color w:val="auto"/>
                <w:w w:val="98"/>
              </w:rPr>
              <w:t>ONES</w:t>
            </w:r>
          </w:p>
        </w:tc>
        <w:tc>
          <w:tcPr>
            <w:tcW w:w="3400" w:type="dxa"/>
            <w:vAlign w:val="bottom"/>
          </w:tcPr>
          <w:p>
            <w:pPr>
              <w:jc w:val="center"/>
              <w:spacing w:after="0"/>
              <w:rPr>
                <w:sz w:val="20"/>
                <w:szCs w:val="20"/>
                <w:color w:val="auto"/>
              </w:rPr>
            </w:pPr>
            <w:r>
              <w:rPr>
                <w:rFonts w:ascii="Arial" w:cs="Arial" w:eastAsia="Arial" w:hAnsi="Arial"/>
                <w:sz w:val="13"/>
                <w:szCs w:val="13"/>
                <w:color w:val="auto"/>
                <w:w w:val="93"/>
              </w:rPr>
              <w:t>Executive Vice President and Chief Financial Officer</w:t>
            </w: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87"/>
              </w:rPr>
              <w:t>René F. Jones</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6"/>
        </w:trPr>
        <w:tc>
          <w:tcPr>
            <w:tcW w:w="5000" w:type="dxa"/>
            <w:vAlign w:val="bottom"/>
          </w:tcPr>
          <w:p>
            <w:pPr>
              <w:spacing w:after="0"/>
              <w:rPr>
                <w:sz w:val="20"/>
                <w:szCs w:val="20"/>
                <w:color w:val="auto"/>
              </w:rPr>
            </w:pPr>
            <w:r>
              <w:rPr>
                <w:rFonts w:ascii="Arial" w:cs="Arial" w:eastAsia="Arial" w:hAnsi="Arial"/>
                <w:sz w:val="13"/>
                <w:szCs w:val="13"/>
                <w:color w:val="auto"/>
              </w:rPr>
              <w:t>Principal Accounting Officer:</w:t>
            </w: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R. S</w:t>
            </w:r>
            <w:r>
              <w:rPr>
                <w:rFonts w:ascii="Arial" w:cs="Arial" w:eastAsia="Arial" w:hAnsi="Arial"/>
                <w:sz w:val="8"/>
                <w:szCs w:val="8"/>
                <w:color w:val="auto"/>
              </w:rPr>
              <w:t>PYCHALA</w:t>
            </w:r>
          </w:p>
        </w:tc>
        <w:tc>
          <w:tcPr>
            <w:tcW w:w="3400" w:type="dxa"/>
            <w:vAlign w:val="bottom"/>
          </w:tcPr>
          <w:p>
            <w:pPr>
              <w:jc w:val="center"/>
              <w:spacing w:after="0"/>
              <w:rPr>
                <w:sz w:val="20"/>
                <w:szCs w:val="20"/>
                <w:color w:val="auto"/>
              </w:rPr>
            </w:pPr>
            <w:r>
              <w:rPr>
                <w:rFonts w:ascii="Arial" w:cs="Arial" w:eastAsia="Arial" w:hAnsi="Arial"/>
                <w:sz w:val="13"/>
                <w:szCs w:val="13"/>
                <w:color w:val="auto"/>
                <w:w w:val="91"/>
              </w:rPr>
              <w:t>Senior Vice President and Controller</w:t>
            </w: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2"/>
              </w:rPr>
              <w:t>Michael R. Spychala</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6"/>
        </w:trPr>
        <w:tc>
          <w:tcPr>
            <w:tcW w:w="5000" w:type="dxa"/>
            <w:vAlign w:val="bottom"/>
          </w:tcPr>
          <w:p>
            <w:pPr>
              <w:spacing w:after="0"/>
              <w:rPr>
                <w:sz w:val="20"/>
                <w:szCs w:val="20"/>
                <w:color w:val="auto"/>
              </w:rPr>
            </w:pPr>
            <w:r>
              <w:rPr>
                <w:rFonts w:ascii="Arial" w:cs="Arial" w:eastAsia="Arial" w:hAnsi="Arial"/>
                <w:sz w:val="13"/>
                <w:szCs w:val="13"/>
                <w:color w:val="auto"/>
              </w:rPr>
              <w:t>A majority of the board of directors:</w:t>
            </w: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RENT</w:t>
            </w:r>
            <w:r>
              <w:rPr>
                <w:rFonts w:ascii="Arial" w:cs="Arial" w:eastAsia="Arial" w:hAnsi="Arial"/>
                <w:sz w:val="13"/>
                <w:szCs w:val="13"/>
                <w:color w:val="auto"/>
              </w:rPr>
              <w:t xml:space="preserve"> D. B</w:t>
            </w:r>
            <w:r>
              <w:rPr>
                <w:rFonts w:ascii="Arial" w:cs="Arial" w:eastAsia="Arial" w:hAnsi="Arial"/>
                <w:sz w:val="8"/>
                <w:szCs w:val="8"/>
                <w:color w:val="auto"/>
              </w:rPr>
              <w:t>AIRD</w:t>
            </w:r>
          </w:p>
        </w:tc>
        <w:tc>
          <w:tcPr>
            <w:tcW w:w="340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5"/>
              </w:rPr>
              <w:t>Brent D. Baird</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6"/>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OBERT</w:t>
            </w:r>
            <w:r>
              <w:rPr>
                <w:rFonts w:ascii="Arial" w:cs="Arial" w:eastAsia="Arial" w:hAnsi="Arial"/>
                <w:sz w:val="13"/>
                <w:szCs w:val="13"/>
                <w:color w:val="auto"/>
              </w:rPr>
              <w:t xml:space="preserve"> J. B</w:t>
            </w:r>
            <w:r>
              <w:rPr>
                <w:rFonts w:ascii="Arial" w:cs="Arial" w:eastAsia="Arial" w:hAnsi="Arial"/>
                <w:sz w:val="8"/>
                <w:szCs w:val="8"/>
                <w:color w:val="auto"/>
              </w:rPr>
              <w:t>ENNETT</w:t>
            </w:r>
          </w:p>
        </w:tc>
        <w:tc>
          <w:tcPr>
            <w:tcW w:w="340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88"/>
              </w:rPr>
              <w:t>Robert J. Bennett</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6"/>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 A</w:t>
            </w:r>
            <w:r>
              <w:rPr>
                <w:rFonts w:ascii="Arial" w:cs="Arial" w:eastAsia="Arial" w:hAnsi="Arial"/>
                <w:sz w:val="8"/>
                <w:szCs w:val="8"/>
                <w:color w:val="auto"/>
              </w:rPr>
              <w:t>NGELA</w:t>
            </w:r>
            <w:r>
              <w:rPr>
                <w:rFonts w:ascii="Arial" w:cs="Arial" w:eastAsia="Arial" w:hAnsi="Arial"/>
                <w:sz w:val="13"/>
                <w:szCs w:val="13"/>
                <w:color w:val="auto"/>
              </w:rPr>
              <w:t xml:space="preserve"> B</w:t>
            </w:r>
            <w:r>
              <w:rPr>
                <w:rFonts w:ascii="Arial" w:cs="Arial" w:eastAsia="Arial" w:hAnsi="Arial"/>
                <w:sz w:val="8"/>
                <w:szCs w:val="8"/>
                <w:color w:val="auto"/>
              </w:rPr>
              <w:t>ONTEMPO</w:t>
            </w:r>
          </w:p>
        </w:tc>
        <w:tc>
          <w:tcPr>
            <w:tcW w:w="340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13"/>
                <w:szCs w:val="13"/>
                <w:color w:val="auto"/>
                <w:w w:val="88"/>
              </w:rPr>
              <w:t>February 18, 2011</w:t>
            </w: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1"/>
              </w:rPr>
              <w:t>C. Angela Bontempo</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07"/>
        </w:trPr>
        <w:tc>
          <w:tcPr>
            <w:tcW w:w="500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3"/>
              </w:rPr>
              <w:t>Robert T. Brady</w:t>
            </w:r>
          </w:p>
        </w:tc>
        <w:tc>
          <w:tcPr>
            <w:tcW w:w="34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D. B</w:t>
            </w:r>
            <w:r>
              <w:rPr>
                <w:rFonts w:ascii="Arial" w:cs="Arial" w:eastAsia="Arial" w:hAnsi="Arial"/>
                <w:sz w:val="8"/>
                <w:szCs w:val="8"/>
                <w:color w:val="auto"/>
              </w:rPr>
              <w:t>UCKLEY</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5"/>
              </w:rPr>
              <w:t>Michael D. Buckley</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T. J</w:t>
            </w:r>
            <w:r>
              <w:rPr>
                <w:rFonts w:ascii="Arial" w:cs="Arial" w:eastAsia="Arial" w:hAnsi="Arial"/>
                <w:sz w:val="8"/>
                <w:szCs w:val="8"/>
                <w:color w:val="auto"/>
              </w:rPr>
              <w:t>EFFERSON</w:t>
            </w:r>
            <w:r>
              <w:rPr>
                <w:rFonts w:ascii="Arial" w:cs="Arial" w:eastAsia="Arial" w:hAnsi="Arial"/>
                <w:sz w:val="13"/>
                <w:szCs w:val="13"/>
                <w:color w:val="auto"/>
              </w:rPr>
              <w:t xml:space="preserve"> C</w:t>
            </w:r>
            <w:r>
              <w:rPr>
                <w:rFonts w:ascii="Arial" w:cs="Arial" w:eastAsia="Arial" w:hAnsi="Arial"/>
                <w:sz w:val="8"/>
                <w:szCs w:val="8"/>
                <w:color w:val="auto"/>
              </w:rPr>
              <w:t>UNNINGHAM</w:t>
            </w:r>
            <w:r>
              <w:rPr>
                <w:rFonts w:ascii="Arial" w:cs="Arial" w:eastAsia="Arial" w:hAnsi="Arial"/>
                <w:sz w:val="13"/>
                <w:szCs w:val="13"/>
                <w:color w:val="auto"/>
              </w:rPr>
              <w:t xml:space="preserve"> III</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3"/>
              </w:rPr>
              <w:t>T. Jefferson Cunningham III</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J. C</w:t>
            </w:r>
            <w:r>
              <w:rPr>
                <w:rFonts w:ascii="Arial" w:cs="Arial" w:eastAsia="Arial" w:hAnsi="Arial"/>
                <w:sz w:val="8"/>
                <w:szCs w:val="8"/>
                <w:color w:val="auto"/>
              </w:rPr>
              <w:t>ZARNECKI</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4"/>
              </w:rPr>
              <w:t>Mark J. Czarnecki</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ARY</w:t>
            </w:r>
            <w:r>
              <w:rPr>
                <w:rFonts w:ascii="Arial" w:cs="Arial" w:eastAsia="Arial" w:hAnsi="Arial"/>
                <w:sz w:val="13"/>
                <w:szCs w:val="13"/>
                <w:color w:val="auto"/>
              </w:rPr>
              <w:t xml:space="preserve"> N. G</w:t>
            </w:r>
            <w:r>
              <w:rPr>
                <w:rFonts w:ascii="Arial" w:cs="Arial" w:eastAsia="Arial" w:hAnsi="Arial"/>
                <w:sz w:val="8"/>
                <w:szCs w:val="8"/>
                <w:color w:val="auto"/>
              </w:rPr>
              <w:t>EISEL</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1"/>
              </w:rPr>
              <w:t>Gary N. Geisel</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ATRICK</w:t>
            </w:r>
            <w:r>
              <w:rPr>
                <w:rFonts w:ascii="Arial" w:cs="Arial" w:eastAsia="Arial" w:hAnsi="Arial"/>
                <w:sz w:val="13"/>
                <w:szCs w:val="13"/>
                <w:color w:val="auto"/>
              </w:rPr>
              <w:t xml:space="preserve"> W.E. H</w:t>
            </w:r>
            <w:r>
              <w:rPr>
                <w:rFonts w:ascii="Arial" w:cs="Arial" w:eastAsia="Arial" w:hAnsi="Arial"/>
                <w:sz w:val="8"/>
                <w:szCs w:val="8"/>
                <w:color w:val="auto"/>
              </w:rPr>
              <w:t>ODGSON</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2"/>
              </w:rPr>
              <w:t>Patrick W.E. Hodgson</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G. K</w:t>
            </w:r>
            <w:r>
              <w:rPr>
                <w:rFonts w:ascii="Arial" w:cs="Arial" w:eastAsia="Arial" w:hAnsi="Arial"/>
                <w:sz w:val="8"/>
                <w:szCs w:val="8"/>
                <w:color w:val="auto"/>
              </w:rPr>
              <w:t>ING</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3"/>
              </w:rPr>
              <w:t>Richard G. King</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J</w:t>
            </w:r>
            <w:r>
              <w:rPr>
                <w:rFonts w:ascii="Arial" w:cs="Arial" w:eastAsia="Arial" w:hAnsi="Arial"/>
                <w:sz w:val="8"/>
                <w:szCs w:val="8"/>
                <w:color w:val="auto"/>
                <w:w w:val="99"/>
              </w:rPr>
              <w:t>ORGE</w:t>
            </w:r>
            <w:r>
              <w:rPr>
                <w:rFonts w:ascii="Arial" w:cs="Arial" w:eastAsia="Arial" w:hAnsi="Arial"/>
                <w:sz w:val="13"/>
                <w:szCs w:val="13"/>
                <w:color w:val="auto"/>
                <w:w w:val="99"/>
              </w:rPr>
              <w:t xml:space="preserve"> G. P</w:t>
            </w:r>
            <w:r>
              <w:rPr>
                <w:rFonts w:ascii="Arial" w:cs="Arial" w:eastAsia="Arial" w:hAnsi="Arial"/>
                <w:sz w:val="8"/>
                <w:szCs w:val="8"/>
                <w:color w:val="auto"/>
                <w:w w:val="99"/>
              </w:rPr>
              <w:t>EREIRA</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0"/>
              </w:rPr>
              <w:t>Jorge G. Pereira</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P. P</w:t>
            </w:r>
            <w:r>
              <w:rPr>
                <w:rFonts w:ascii="Arial" w:cs="Arial" w:eastAsia="Arial" w:hAnsi="Arial"/>
                <w:sz w:val="8"/>
                <w:szCs w:val="8"/>
                <w:color w:val="auto"/>
              </w:rPr>
              <w:t>INTO</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1"/>
              </w:rPr>
              <w:t>Michael P. Pinto</w:t>
            </w:r>
          </w:p>
        </w:tc>
        <w:tc>
          <w:tcPr>
            <w:tcW w:w="4660" w:type="dxa"/>
            <w:vAlign w:val="bottom"/>
          </w:tcPr>
          <w:p>
            <w:pPr>
              <w:spacing w:after="0"/>
              <w:rPr>
                <w:sz w:val="13"/>
                <w:szCs w:val="13"/>
                <w:color w:val="auto"/>
              </w:rPr>
            </w:pPr>
          </w:p>
        </w:tc>
      </w:tr>
      <w:tr>
        <w:trPr>
          <w:trHeight w:val="307"/>
        </w:trPr>
        <w:tc>
          <w:tcPr>
            <w:tcW w:w="500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r>
      <w:tr>
        <w:trPr>
          <w:trHeight w:val="155"/>
        </w:trPr>
        <w:tc>
          <w:tcPr>
            <w:tcW w:w="5000" w:type="dxa"/>
            <w:vAlign w:val="bottom"/>
          </w:tcPr>
          <w:p>
            <w:pPr>
              <w:jc w:val="center"/>
              <w:spacing w:after="0"/>
              <w:rPr>
                <w:sz w:val="20"/>
                <w:szCs w:val="20"/>
                <w:color w:val="auto"/>
              </w:rPr>
            </w:pPr>
            <w:r>
              <w:rPr>
                <w:rFonts w:ascii="Arial" w:cs="Arial" w:eastAsia="Arial" w:hAnsi="Arial"/>
                <w:sz w:val="13"/>
                <w:szCs w:val="13"/>
                <w:color w:val="auto"/>
                <w:w w:val="93"/>
              </w:rPr>
              <w:t>Melinda R. Rich</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R</w:t>
            </w:r>
            <w:r>
              <w:rPr>
                <w:rFonts w:ascii="Arial" w:cs="Arial" w:eastAsia="Arial" w:hAnsi="Arial"/>
                <w:sz w:val="8"/>
                <w:szCs w:val="8"/>
                <w:color w:val="auto"/>
                <w:w w:val="98"/>
              </w:rPr>
              <w:t>OBERT</w:t>
            </w:r>
            <w:r>
              <w:rPr>
                <w:rFonts w:ascii="Arial" w:cs="Arial" w:eastAsia="Arial" w:hAnsi="Arial"/>
                <w:sz w:val="13"/>
                <w:szCs w:val="13"/>
                <w:color w:val="auto"/>
                <w:w w:val="98"/>
              </w:rPr>
              <w:t xml:space="preserve"> E. S</w:t>
            </w:r>
            <w:r>
              <w:rPr>
                <w:rFonts w:ascii="Arial" w:cs="Arial" w:eastAsia="Arial" w:hAnsi="Arial"/>
                <w:sz w:val="8"/>
                <w:szCs w:val="8"/>
                <w:color w:val="auto"/>
                <w:w w:val="98"/>
              </w:rPr>
              <w:t>ADLER</w:t>
            </w:r>
            <w:r>
              <w:rPr>
                <w:rFonts w:ascii="Arial" w:cs="Arial" w:eastAsia="Arial" w:hAnsi="Arial"/>
                <w:sz w:val="13"/>
                <w:szCs w:val="13"/>
                <w:color w:val="auto"/>
                <w:w w:val="98"/>
              </w:rPr>
              <w:t>, J</w:t>
            </w:r>
            <w:r>
              <w:rPr>
                <w:rFonts w:ascii="Arial" w:cs="Arial" w:eastAsia="Arial" w:hAnsi="Arial"/>
                <w:sz w:val="8"/>
                <w:szCs w:val="8"/>
                <w:color w:val="auto"/>
                <w:w w:val="98"/>
              </w:rPr>
              <w:t>R</w:t>
            </w:r>
            <w:r>
              <w:rPr>
                <w:rFonts w:ascii="Arial" w:cs="Arial" w:eastAsia="Arial" w:hAnsi="Arial"/>
                <w:sz w:val="13"/>
                <w:szCs w:val="13"/>
                <w:color w:val="auto"/>
                <w:w w:val="98"/>
              </w:rPr>
              <w:t>.</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89"/>
              </w:rPr>
              <w:t>Robert E. Sadler, Jr.</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H</w:t>
            </w:r>
            <w:r>
              <w:rPr>
                <w:rFonts w:ascii="Arial" w:cs="Arial" w:eastAsia="Arial" w:hAnsi="Arial"/>
                <w:sz w:val="8"/>
                <w:szCs w:val="8"/>
                <w:color w:val="auto"/>
              </w:rPr>
              <w:t>ERBERT</w:t>
            </w:r>
            <w:r>
              <w:rPr>
                <w:rFonts w:ascii="Arial" w:cs="Arial" w:eastAsia="Arial" w:hAnsi="Arial"/>
                <w:sz w:val="13"/>
                <w:szCs w:val="13"/>
                <w:color w:val="auto"/>
              </w:rPr>
              <w:t xml:space="preserve"> L. W</w:t>
            </w:r>
            <w:r>
              <w:rPr>
                <w:rFonts w:ascii="Arial" w:cs="Arial" w:eastAsia="Arial" w:hAnsi="Arial"/>
                <w:sz w:val="8"/>
                <w:szCs w:val="8"/>
                <w:color w:val="auto"/>
              </w:rPr>
              <w:t>ASHINGTON</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3"/>
              </w:rPr>
              <w:t>Herbert L. Washington</w:t>
            </w:r>
          </w:p>
        </w:tc>
        <w:tc>
          <w:tcPr>
            <w:tcW w:w="4660" w:type="dxa"/>
            <w:vAlign w:val="bottom"/>
          </w:tcPr>
          <w:p>
            <w:pPr>
              <w:spacing w:after="0"/>
              <w:rPr>
                <w:sz w:val="13"/>
                <w:szCs w:val="13"/>
                <w:color w:val="auto"/>
              </w:rPr>
            </w:pPr>
          </w:p>
        </w:tc>
      </w:tr>
      <w:tr>
        <w:trPr>
          <w:trHeight w:val="301"/>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OBERT</w:t>
            </w:r>
            <w:r>
              <w:rPr>
                <w:rFonts w:ascii="Arial" w:cs="Arial" w:eastAsia="Arial" w:hAnsi="Arial"/>
                <w:sz w:val="13"/>
                <w:szCs w:val="13"/>
                <w:color w:val="auto"/>
              </w:rPr>
              <w:t xml:space="preserve"> G. W</w:t>
            </w:r>
            <w:r>
              <w:rPr>
                <w:rFonts w:ascii="Arial" w:cs="Arial" w:eastAsia="Arial" w:hAnsi="Arial"/>
                <w:sz w:val="8"/>
                <w:szCs w:val="8"/>
                <w:color w:val="auto"/>
              </w:rPr>
              <w:t>ILMERS</w:t>
            </w:r>
          </w:p>
        </w:tc>
        <w:tc>
          <w:tcPr>
            <w:tcW w:w="4660" w:type="dxa"/>
            <w:vAlign w:val="bottom"/>
          </w:tcPr>
          <w:p>
            <w:pPr>
              <w:ind w:left="3700"/>
              <w:spacing w:after="0"/>
              <w:rPr>
                <w:sz w:val="20"/>
                <w:szCs w:val="20"/>
                <w:color w:val="auto"/>
              </w:rPr>
            </w:pPr>
            <w:r>
              <w:rPr>
                <w:rFonts w:ascii="Arial" w:cs="Arial" w:eastAsia="Arial" w:hAnsi="Arial"/>
                <w:sz w:val="13"/>
                <w:szCs w:val="13"/>
                <w:color w:val="auto"/>
                <w:w w:val="88"/>
              </w:rPr>
              <w:t>February 18, 2011</w:t>
            </w:r>
          </w:p>
        </w:tc>
      </w:tr>
      <w:tr>
        <w:trPr>
          <w:trHeight w:val="160"/>
        </w:trPr>
        <w:tc>
          <w:tcPr>
            <w:tcW w:w="5000" w:type="dxa"/>
            <w:vAlign w:val="bottom"/>
          </w:tcPr>
          <w:p>
            <w:pPr>
              <w:jc w:val="center"/>
              <w:spacing w:after="0"/>
              <w:rPr>
                <w:sz w:val="20"/>
                <w:szCs w:val="20"/>
                <w:color w:val="auto"/>
              </w:rPr>
            </w:pPr>
            <w:r>
              <w:rPr>
                <w:rFonts w:ascii="Arial" w:cs="Arial" w:eastAsia="Arial" w:hAnsi="Arial"/>
                <w:sz w:val="13"/>
                <w:szCs w:val="13"/>
                <w:color w:val="auto"/>
                <w:w w:val="91"/>
              </w:rPr>
              <w:t>Robert G. Wilmers</w:t>
            </w:r>
          </w:p>
        </w:tc>
        <w:tc>
          <w:tcPr>
            <w:tcW w:w="4660" w:type="dxa"/>
            <w:vAlign w:val="bottom"/>
          </w:tcPr>
          <w:p>
            <w:pPr>
              <w:spacing w:after="0"/>
              <w:rPr>
                <w:sz w:val="13"/>
                <w:szCs w:val="13"/>
                <w:color w:val="auto"/>
              </w:rPr>
            </w:pPr>
          </w:p>
        </w:tc>
      </w:tr>
    </w:tbl>
    <w:p>
      <w:pPr>
        <w:spacing w:after="0" w:line="1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40"/>
          </w:cols>
          <w:pgMar w:left="220" w:top="344" w:right="133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9720" w:type="dxa"/>
            <w:vAlign w:val="bottom"/>
          </w:tcPr>
          <w:p>
            <w:pPr>
              <w:ind w:left="3380"/>
              <w:spacing w:after="0"/>
              <w:rPr>
                <w:sz w:val="20"/>
                <w:szCs w:val="20"/>
                <w:color w:val="auto"/>
              </w:rPr>
            </w:pPr>
            <w:r>
              <w:rPr>
                <w:rFonts w:ascii="Arial" w:cs="Arial" w:eastAsia="Arial" w:hAnsi="Arial"/>
                <w:sz w:val="14"/>
                <w:szCs w:val="14"/>
                <w:b w:val="1"/>
                <w:bCs w:val="1"/>
                <w:color w:val="auto"/>
              </w:rPr>
              <w:t>EXHIBIT INDEX</w:t>
            </w:r>
          </w:p>
        </w:tc>
      </w:tr>
      <w:tr>
        <w:trPr>
          <w:trHeight w:val="480"/>
        </w:trPr>
        <w:tc>
          <w:tcPr>
            <w:tcW w:w="1740" w:type="dxa"/>
            <w:vAlign w:val="bottom"/>
          </w:tcPr>
          <w:p>
            <w:pPr>
              <w:ind w:left="1240"/>
              <w:spacing w:after="0"/>
              <w:rPr>
                <w:sz w:val="20"/>
                <w:szCs w:val="20"/>
                <w:color w:val="auto"/>
              </w:rPr>
            </w:pPr>
            <w:r>
              <w:rPr>
                <w:rFonts w:ascii="Arial" w:cs="Arial" w:eastAsia="Arial" w:hAnsi="Arial"/>
                <w:sz w:val="13"/>
                <w:szCs w:val="13"/>
                <w:color w:val="auto"/>
              </w:rPr>
              <w:t>3.1</w:t>
            </w:r>
          </w:p>
        </w:tc>
        <w:tc>
          <w:tcPr>
            <w:tcW w:w="9720" w:type="dxa"/>
            <w:vAlign w:val="bottom"/>
          </w:tcPr>
          <w:p>
            <w:pPr>
              <w:ind w:left="260"/>
              <w:spacing w:after="0"/>
              <w:rPr>
                <w:sz w:val="20"/>
                <w:szCs w:val="20"/>
                <w:color w:val="auto"/>
              </w:rPr>
            </w:pPr>
            <w:r>
              <w:rPr>
                <w:rFonts w:ascii="Arial" w:cs="Arial" w:eastAsia="Arial" w:hAnsi="Arial"/>
                <w:sz w:val="13"/>
                <w:szCs w:val="13"/>
                <w:color w:val="auto"/>
              </w:rPr>
              <w:t>Restated Certificate of Incorporation of M&amp;T Bank Corporation dated November 18, 2010. Incorporated by reference to Exhibit 3.1 to the Form 8-K dated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November 19, 2010 (File No. 1-9861).</w:t>
            </w:r>
          </w:p>
        </w:tc>
      </w:tr>
      <w:tr>
        <w:trPr>
          <w:trHeight w:val="157"/>
        </w:trPr>
        <w:tc>
          <w:tcPr>
            <w:tcW w:w="1740" w:type="dxa"/>
            <w:vAlign w:val="bottom"/>
          </w:tcPr>
          <w:p>
            <w:pPr>
              <w:ind w:left="1240"/>
              <w:spacing w:after="0"/>
              <w:rPr>
                <w:sz w:val="20"/>
                <w:szCs w:val="20"/>
                <w:color w:val="auto"/>
              </w:rPr>
            </w:pPr>
            <w:r>
              <w:rPr>
                <w:rFonts w:ascii="Arial" w:cs="Arial" w:eastAsia="Arial" w:hAnsi="Arial"/>
                <w:sz w:val="13"/>
                <w:szCs w:val="13"/>
                <w:color w:val="auto"/>
              </w:rPr>
              <w:t>3.2</w:t>
            </w:r>
          </w:p>
        </w:tc>
        <w:tc>
          <w:tcPr>
            <w:tcW w:w="9720" w:type="dxa"/>
            <w:vAlign w:val="bottom"/>
          </w:tcPr>
          <w:p>
            <w:pPr>
              <w:ind w:left="260"/>
              <w:spacing w:after="0"/>
              <w:rPr>
                <w:sz w:val="20"/>
                <w:szCs w:val="20"/>
                <w:color w:val="auto"/>
              </w:rPr>
            </w:pPr>
            <w:r>
              <w:rPr>
                <w:rFonts w:ascii="Arial" w:cs="Arial" w:eastAsia="Arial" w:hAnsi="Arial"/>
                <w:sz w:val="13"/>
                <w:szCs w:val="13"/>
                <w:color w:val="auto"/>
              </w:rPr>
              <w:t>Amended and Restated Bylaws of M&amp;T Bank Corporation, effective November 16, 2010. Incorporated by reference to Exhibit 3.2 to the Form 8-K dated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November 19, 2010 (File No. 1-9861).</w:t>
            </w:r>
          </w:p>
        </w:tc>
      </w:tr>
      <w:tr>
        <w:trPr>
          <w:trHeight w:val="157"/>
        </w:trPr>
        <w:tc>
          <w:tcPr>
            <w:tcW w:w="1740" w:type="dxa"/>
            <w:vAlign w:val="bottom"/>
          </w:tcPr>
          <w:p>
            <w:pPr>
              <w:ind w:left="1240"/>
              <w:spacing w:after="0"/>
              <w:rPr>
                <w:sz w:val="20"/>
                <w:szCs w:val="20"/>
                <w:color w:val="auto"/>
              </w:rPr>
            </w:pPr>
            <w:r>
              <w:rPr>
                <w:rFonts w:ascii="Arial" w:cs="Arial" w:eastAsia="Arial" w:hAnsi="Arial"/>
                <w:sz w:val="13"/>
                <w:szCs w:val="13"/>
                <w:color w:val="auto"/>
              </w:rPr>
              <w:t>4.1</w:t>
            </w:r>
          </w:p>
        </w:tc>
        <w:tc>
          <w:tcPr>
            <w:tcW w:w="9720" w:type="dxa"/>
            <w:vAlign w:val="bottom"/>
          </w:tcPr>
          <w:p>
            <w:pPr>
              <w:ind w:left="260"/>
              <w:spacing w:after="0"/>
              <w:rPr>
                <w:sz w:val="20"/>
                <w:szCs w:val="20"/>
                <w:color w:val="auto"/>
              </w:rPr>
            </w:pPr>
            <w:r>
              <w:rPr>
                <w:rFonts w:ascii="Arial" w:cs="Arial" w:eastAsia="Arial" w:hAnsi="Arial"/>
                <w:sz w:val="13"/>
                <w:szCs w:val="13"/>
                <w:color w:val="auto"/>
              </w:rPr>
              <w:t>There are no instruments with respect to long-term debt of M&amp;T Bank Corporation and its subsidiaries that involve securities authorized under the instrument in an</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w w:val="99"/>
              </w:rPr>
              <w:t>amount exceeding 10 percent of the total assets of M&amp;T Bank Corporation and its subsidiaries on a consolidated basis. M&amp;T Bank Corporation agrees to provide the</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SEC with a copy of instruments defining the rights of holders of long-term debt of M&amp;T Bank Corporation and its subsidiaries on request.</w:t>
            </w:r>
          </w:p>
        </w:tc>
      </w:tr>
      <w:tr>
        <w:trPr>
          <w:trHeight w:val="157"/>
        </w:trPr>
        <w:tc>
          <w:tcPr>
            <w:tcW w:w="1740" w:type="dxa"/>
            <w:vAlign w:val="bottom"/>
          </w:tcPr>
          <w:p>
            <w:pPr>
              <w:ind w:left="1240"/>
              <w:spacing w:after="0"/>
              <w:rPr>
                <w:sz w:val="20"/>
                <w:szCs w:val="20"/>
                <w:color w:val="auto"/>
              </w:rPr>
            </w:pPr>
            <w:r>
              <w:rPr>
                <w:rFonts w:ascii="Arial" w:cs="Arial" w:eastAsia="Arial" w:hAnsi="Arial"/>
                <w:sz w:val="13"/>
                <w:szCs w:val="13"/>
                <w:color w:val="auto"/>
              </w:rPr>
              <w:t>4.2</w:t>
            </w:r>
          </w:p>
        </w:tc>
        <w:tc>
          <w:tcPr>
            <w:tcW w:w="9720" w:type="dxa"/>
            <w:vAlign w:val="bottom"/>
          </w:tcPr>
          <w:p>
            <w:pPr>
              <w:ind w:left="260"/>
              <w:spacing w:after="0"/>
              <w:rPr>
                <w:sz w:val="20"/>
                <w:szCs w:val="20"/>
                <w:color w:val="auto"/>
              </w:rPr>
            </w:pPr>
            <w:r>
              <w:rPr>
                <w:rFonts w:ascii="Arial" w:cs="Arial" w:eastAsia="Arial" w:hAnsi="Arial"/>
                <w:sz w:val="13"/>
                <w:szCs w:val="13"/>
                <w:color w:val="auto"/>
              </w:rPr>
              <w:t>Warrant to purchase shares of M&amp;T Bank Corporation Common Stock dated December 23, 2008. Incorporated by reference to Exhibit 4.1 to the Form 8-K dated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December 19, 2008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w:t>
            </w:r>
          </w:p>
        </w:tc>
        <w:tc>
          <w:tcPr>
            <w:tcW w:w="9720" w:type="dxa"/>
            <w:vAlign w:val="bottom"/>
          </w:tcPr>
          <w:p>
            <w:pPr>
              <w:ind w:left="260"/>
              <w:spacing w:after="0"/>
              <w:rPr>
                <w:sz w:val="20"/>
                <w:szCs w:val="20"/>
                <w:color w:val="auto"/>
              </w:rPr>
            </w:pPr>
            <w:r>
              <w:rPr>
                <w:rFonts w:ascii="Arial" w:cs="Arial" w:eastAsia="Arial" w:hAnsi="Arial"/>
                <w:sz w:val="13"/>
                <w:szCs w:val="13"/>
                <w:color w:val="auto"/>
              </w:rPr>
              <w:t>Credit Agreement, dated as of December 15, 2000, between M&amp;T Bank Corporation and Citibank, N.A. Incorporated by reference to Exhibit 10.1 to the Form 10-K</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for the year ended December 31, 2000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10.2</w:t>
            </w:r>
          </w:p>
        </w:tc>
        <w:tc>
          <w:tcPr>
            <w:tcW w:w="9720" w:type="dxa"/>
            <w:vAlign w:val="bottom"/>
          </w:tcPr>
          <w:p>
            <w:pPr>
              <w:ind w:left="260"/>
              <w:spacing w:after="0"/>
              <w:rPr>
                <w:sz w:val="20"/>
                <w:szCs w:val="20"/>
                <w:color w:val="auto"/>
              </w:rPr>
            </w:pPr>
            <w:r>
              <w:rPr>
                <w:rFonts w:ascii="Arial" w:cs="Arial" w:eastAsia="Arial" w:hAnsi="Arial"/>
                <w:sz w:val="13"/>
                <w:szCs w:val="13"/>
                <w:color w:val="auto"/>
              </w:rPr>
              <w:t>Amendment No. 1, dated December 9, 2003, to the Credit Agreement, dated as of December 15, 2000, between M&amp;T Bank Corporation and Citibank, N.A.</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Incorporated by reference to Exhibit 10.3 to the Form 10-K for the year ended December 31, 2003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10.3</w:t>
            </w:r>
          </w:p>
        </w:tc>
        <w:tc>
          <w:tcPr>
            <w:tcW w:w="9720" w:type="dxa"/>
            <w:vAlign w:val="bottom"/>
          </w:tcPr>
          <w:p>
            <w:pPr>
              <w:ind w:left="260"/>
              <w:spacing w:after="0"/>
              <w:rPr>
                <w:sz w:val="20"/>
                <w:szCs w:val="20"/>
                <w:color w:val="auto"/>
              </w:rPr>
            </w:pPr>
            <w:r>
              <w:rPr>
                <w:rFonts w:ascii="Arial" w:cs="Arial" w:eastAsia="Arial" w:hAnsi="Arial"/>
                <w:sz w:val="13"/>
                <w:szCs w:val="13"/>
                <w:color w:val="auto"/>
              </w:rPr>
              <w:t>Amendment No. 2, dated January 30, 2009, to the Credit Agreement, dated as of December 15, 2000, between M&amp;T Bank Corporation and Citibank, N.A.</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Incorporated by reference to Exhibit 10.3 to the Form 10-K for the year ended December 31, 2008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10.4</w:t>
            </w:r>
          </w:p>
        </w:tc>
        <w:tc>
          <w:tcPr>
            <w:tcW w:w="9720" w:type="dxa"/>
            <w:vAlign w:val="bottom"/>
          </w:tcPr>
          <w:p>
            <w:pPr>
              <w:ind w:left="260"/>
              <w:spacing w:after="0"/>
              <w:rPr>
                <w:sz w:val="20"/>
                <w:szCs w:val="20"/>
                <w:color w:val="auto"/>
              </w:rPr>
            </w:pPr>
            <w:r>
              <w:rPr>
                <w:rFonts w:ascii="Arial" w:cs="Arial" w:eastAsia="Arial" w:hAnsi="Arial"/>
                <w:sz w:val="13"/>
                <w:szCs w:val="13"/>
                <w:color w:val="auto"/>
              </w:rPr>
              <w:t>Amendment No. 3, dated December 4, 2009, to the Credit Agreement, dated as of December 15, 2000, between M&amp;T Bank Corporation and Citibank, N.A.</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Incorporated by reference to Exhibit 10.4 to the Form 10-K for the year ended December 31, 2009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10.5</w:t>
            </w:r>
          </w:p>
        </w:tc>
        <w:tc>
          <w:tcPr>
            <w:tcW w:w="9720" w:type="dxa"/>
            <w:vAlign w:val="bottom"/>
          </w:tcPr>
          <w:p>
            <w:pPr>
              <w:ind w:left="260"/>
              <w:spacing w:after="0"/>
              <w:rPr>
                <w:sz w:val="20"/>
                <w:szCs w:val="20"/>
                <w:color w:val="auto"/>
              </w:rPr>
            </w:pPr>
            <w:r>
              <w:rPr>
                <w:rFonts w:ascii="Arial" w:cs="Arial" w:eastAsia="Arial" w:hAnsi="Arial"/>
                <w:sz w:val="13"/>
                <w:szCs w:val="13"/>
                <w:color w:val="auto"/>
              </w:rPr>
              <w:t>Amendment No. 4, dated December 3, 2010, to the Credit Agreement, dated as of December 15, 2000, between M&amp;T Bank Corporation and Citibank, N.A. Filed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herewith.</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10.6</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1983 Stock Option Plan as last amended on April 20, 1999. Incorporated by reference to Exhibit 10.3 to the Form 10-Q for the quarter</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ended March 31, 1999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10.7</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2001 Stock Option Plan. Incorporated by reference to Appendix A to the Proxy Statement of M&amp;T Bank Corporation dated March 6, 2001</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10.8</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Annual Executive Incentive Plan. Incorporated by reference to Exhibit No. 10.3 to the Form 10-Q for the quarter ended June 30, 1998 (File</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10.9</w:t>
            </w:r>
          </w:p>
        </w:tc>
        <w:tc>
          <w:tcPr>
            <w:tcW w:w="9720" w:type="dxa"/>
            <w:vAlign w:val="bottom"/>
          </w:tcPr>
          <w:p>
            <w:pPr>
              <w:ind w:left="260"/>
              <w:spacing w:after="0"/>
              <w:rPr>
                <w:sz w:val="20"/>
                <w:szCs w:val="20"/>
                <w:color w:val="auto"/>
              </w:rPr>
            </w:pPr>
            <w:r>
              <w:rPr>
                <w:rFonts w:ascii="Arial" w:cs="Arial" w:eastAsia="Arial" w:hAnsi="Arial"/>
                <w:sz w:val="13"/>
                <w:szCs w:val="13"/>
                <w:color w:val="auto"/>
              </w:rPr>
              <w:t>Supplemental Deferred Compensation Agreement between Manufacturers and Traders Trust Company and Brian E. Hickey dated as of July 21, 1994. Incorporated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by reference to Exhibit 10.8 to the Form 10-K for the year ended December 31, 1995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10.10</w:t>
            </w:r>
          </w:p>
        </w:tc>
        <w:tc>
          <w:tcPr>
            <w:tcW w:w="9720" w:type="dxa"/>
            <w:vAlign w:val="bottom"/>
          </w:tcPr>
          <w:p>
            <w:pPr>
              <w:ind w:left="260"/>
              <w:spacing w:after="0"/>
              <w:rPr>
                <w:sz w:val="20"/>
                <w:szCs w:val="20"/>
                <w:color w:val="auto"/>
              </w:rPr>
            </w:pPr>
            <w:r>
              <w:rPr>
                <w:rFonts w:ascii="Arial" w:cs="Arial" w:eastAsia="Arial" w:hAnsi="Arial"/>
                <w:sz w:val="13"/>
                <w:szCs w:val="13"/>
                <w:color w:val="auto"/>
              </w:rPr>
              <w:t>First amendment, dated as of August 1, 2006, to the Supplemental Deferred Compensation Agreement between Manufacturers and Traders Trust Company and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Brian E. Hickey dated as of July 21, 1994. Incorporated by reference to Exhibit 10.2 to the Form 10-Q for the quarter ended September 30, 2006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10.11</w:t>
            </w:r>
          </w:p>
        </w:tc>
        <w:tc>
          <w:tcPr>
            <w:tcW w:w="9720" w:type="dxa"/>
            <w:vAlign w:val="bottom"/>
          </w:tcPr>
          <w:p>
            <w:pPr>
              <w:ind w:left="260"/>
              <w:spacing w:after="0"/>
              <w:rPr>
                <w:sz w:val="20"/>
                <w:szCs w:val="20"/>
                <w:color w:val="auto"/>
              </w:rPr>
            </w:pPr>
            <w:r>
              <w:rPr>
                <w:rFonts w:ascii="Arial" w:cs="Arial" w:eastAsia="Arial" w:hAnsi="Arial"/>
                <w:sz w:val="13"/>
                <w:szCs w:val="13"/>
                <w:color w:val="auto"/>
              </w:rPr>
              <w:t>Supplemental Deferred Compensation Agreement, dated July 17, 1989, between The East New York Savings Bank and Atwood Collins, III. Incorporated by</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reference to Exhibit 10.11 to the Form 10-K for the year ended December 31, 1991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10.12</w:t>
            </w:r>
          </w:p>
        </w:tc>
        <w:tc>
          <w:tcPr>
            <w:tcW w:w="9720" w:type="dxa"/>
            <w:vAlign w:val="bottom"/>
          </w:tcPr>
          <w:p>
            <w:pPr>
              <w:ind w:left="260"/>
              <w:spacing w:after="0"/>
              <w:rPr>
                <w:sz w:val="20"/>
                <w:szCs w:val="20"/>
                <w:color w:val="auto"/>
              </w:rPr>
            </w:pPr>
            <w:r>
              <w:rPr>
                <w:rFonts w:ascii="Arial" w:cs="Arial" w:eastAsia="Arial" w:hAnsi="Arial"/>
                <w:sz w:val="13"/>
                <w:szCs w:val="13"/>
                <w:color w:val="auto"/>
              </w:rPr>
              <w:t>First amendment, dated as of August 1, 2006, to the Supplemental Deferred Compensation Agreement, dated July 17, 1989, between The East New York Savings</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Bank and Atwood Collins, III. Incorporated by reference to Exhibit 10.3 to the Form 10-Q for the quarter ended September 30, 2006 (File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10.13</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Supplemental Pension Plan, as amended and restated. Incorporated by reference to Exhibit 10.1 to the Form 8-K dated November 15, 2005</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(File 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10.14</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Supplemental Retirement Savings Plan. Incorporated by reference to Exhibit 10.2 to the Form 8-K dated November 15, 2005 (File</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No. 1-9861).*</w:t>
            </w:r>
          </w:p>
        </w:tc>
      </w:tr>
      <w:tr>
        <w:trPr>
          <w:trHeight w:val="157"/>
        </w:trPr>
        <w:tc>
          <w:tcPr>
            <w:tcW w:w="1740" w:type="dxa"/>
            <w:vAlign w:val="bottom"/>
          </w:tcPr>
          <w:p>
            <w:pPr>
              <w:ind w:left="1180"/>
              <w:spacing w:after="0"/>
              <w:rPr>
                <w:sz w:val="20"/>
                <w:szCs w:val="20"/>
                <w:color w:val="auto"/>
              </w:rPr>
            </w:pPr>
            <w:r>
              <w:rPr>
                <w:rFonts w:ascii="Arial" w:cs="Arial" w:eastAsia="Arial" w:hAnsi="Arial"/>
                <w:sz w:val="13"/>
                <w:szCs w:val="13"/>
                <w:color w:val="auto"/>
              </w:rPr>
              <w:t>10.15</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Deferred Bonus Plan, as amended and restated. Incorporated by reference to Exhibit 10.12 to the Form 10-K for the year ended</w:t>
            </w:r>
          </w:p>
        </w:tc>
      </w:tr>
      <w:tr>
        <w:trPr>
          <w:trHeight w:val="157"/>
        </w:trPr>
        <w:tc>
          <w:tcPr>
            <w:tcW w:w="1740" w:type="dxa"/>
            <w:vAlign w:val="bottom"/>
          </w:tcPr>
          <w:p>
            <w:pPr>
              <w:spacing w:after="0"/>
              <w:rPr>
                <w:sz w:val="13"/>
                <w:szCs w:val="13"/>
                <w:color w:val="auto"/>
              </w:rPr>
            </w:pPr>
          </w:p>
        </w:tc>
        <w:tc>
          <w:tcPr>
            <w:tcW w:w="9720" w:type="dxa"/>
            <w:vAlign w:val="bottom"/>
          </w:tcPr>
          <w:p>
            <w:pPr>
              <w:ind w:left="260"/>
              <w:spacing w:after="0"/>
              <w:rPr>
                <w:sz w:val="20"/>
                <w:szCs w:val="20"/>
                <w:color w:val="auto"/>
              </w:rPr>
            </w:pPr>
            <w:r>
              <w:rPr>
                <w:rFonts w:ascii="Arial" w:cs="Arial" w:eastAsia="Arial" w:hAnsi="Arial"/>
                <w:sz w:val="13"/>
                <w:szCs w:val="13"/>
                <w:color w:val="auto"/>
              </w:rPr>
              <w:t>December 31, 2004 (File No. 1-9861).*</w:t>
            </w:r>
          </w:p>
        </w:tc>
      </w:tr>
      <w:tr>
        <w:trPr>
          <w:trHeight w:val="165"/>
        </w:trPr>
        <w:tc>
          <w:tcPr>
            <w:tcW w:w="1740" w:type="dxa"/>
            <w:vAlign w:val="bottom"/>
          </w:tcPr>
          <w:p>
            <w:pPr>
              <w:ind w:left="1180"/>
              <w:spacing w:after="0"/>
              <w:rPr>
                <w:sz w:val="20"/>
                <w:szCs w:val="20"/>
                <w:color w:val="auto"/>
              </w:rPr>
            </w:pPr>
            <w:r>
              <w:rPr>
                <w:rFonts w:ascii="Arial" w:cs="Arial" w:eastAsia="Arial" w:hAnsi="Arial"/>
                <w:sz w:val="13"/>
                <w:szCs w:val="13"/>
                <w:color w:val="auto"/>
              </w:rPr>
              <w:t>10.16</w:t>
            </w:r>
          </w:p>
        </w:tc>
        <w:tc>
          <w:tcPr>
            <w:tcW w:w="9720" w:type="dxa"/>
            <w:vAlign w:val="bottom"/>
          </w:tcPr>
          <w:p>
            <w:pPr>
              <w:ind w:left="260"/>
              <w:spacing w:after="0"/>
              <w:rPr>
                <w:sz w:val="20"/>
                <w:szCs w:val="20"/>
                <w:color w:val="auto"/>
              </w:rPr>
            </w:pPr>
            <w:r>
              <w:rPr>
                <w:rFonts w:ascii="Arial" w:cs="Arial" w:eastAsia="Arial" w:hAnsi="Arial"/>
                <w:sz w:val="13"/>
                <w:szCs w:val="13"/>
                <w:color w:val="auto"/>
              </w:rPr>
              <w:t>M&amp;T Bank Corporation 2008 Directors’ Stock Plan. Incorporated by reference to Exhibit 4.1 to the Form S-8 dated April 7, 2008 (File No. 333-150122).*</w:t>
            </w:r>
          </w:p>
        </w:tc>
      </w:tr>
      <w:tr>
        <w:trPr>
          <w:trHeight w:val="301"/>
        </w:trPr>
        <w:tc>
          <w:tcPr>
            <w:tcW w:w="1740" w:type="dxa"/>
            <w:vAlign w:val="bottom"/>
          </w:tcPr>
          <w:p>
            <w:pPr>
              <w:spacing w:after="0"/>
              <w:rPr>
                <w:sz w:val="24"/>
                <w:szCs w:val="24"/>
                <w:color w:val="auto"/>
              </w:rPr>
            </w:pPr>
          </w:p>
        </w:tc>
        <w:tc>
          <w:tcPr>
            <w:tcW w:w="9720" w:type="dxa"/>
            <w:vAlign w:val="bottom"/>
          </w:tcPr>
          <w:p>
            <w:pPr>
              <w:ind w:left="8740"/>
              <w:spacing w:after="0"/>
              <w:rPr>
                <w:sz w:val="20"/>
                <w:szCs w:val="20"/>
                <w:color w:val="auto"/>
              </w:rPr>
            </w:pPr>
            <w:r>
              <w:rPr>
                <w:rFonts w:ascii="Arial" w:cs="Arial" w:eastAsia="Arial" w:hAnsi="Arial"/>
                <w:sz w:val="12"/>
                <w:szCs w:val="12"/>
                <w:color w:val="auto"/>
              </w:rPr>
              <w:t>173</w:t>
            </w:r>
          </w:p>
        </w:tc>
      </w:tr>
      <w:tr>
        <w:trPr>
          <w:trHeight w:val="167"/>
        </w:trPr>
        <w:tc>
          <w:tcPr>
            <w:tcW w:w="1740" w:type="dxa"/>
            <w:vAlign w:val="bottom"/>
            <w:tcBorders>
              <w:bottom w:val="single" w:sz="8" w:color="808080"/>
            </w:tcBorders>
          </w:tcPr>
          <w:p>
            <w:pPr>
              <w:spacing w:after="0"/>
              <w:rPr>
                <w:sz w:val="14"/>
                <w:szCs w:val="14"/>
                <w:color w:val="auto"/>
              </w:rPr>
            </w:pPr>
          </w:p>
        </w:tc>
        <w:tc>
          <w:tcPr>
            <w:tcW w:w="9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10.17</w:t>
            </w:r>
          </w:p>
        </w:tc>
        <w:tc>
          <w:tcPr>
            <w:tcW w:w="8820" w:type="dxa"/>
            <w:vAlign w:val="bottom"/>
          </w:tcPr>
          <w:p>
            <w:pPr>
              <w:ind w:left="260"/>
              <w:spacing w:after="0"/>
              <w:rPr>
                <w:sz w:val="20"/>
                <w:szCs w:val="20"/>
                <w:color w:val="auto"/>
              </w:rPr>
            </w:pPr>
            <w:r>
              <w:rPr>
                <w:rFonts w:ascii="Arial" w:cs="Arial" w:eastAsia="Arial" w:hAnsi="Arial"/>
                <w:sz w:val="13"/>
                <w:szCs w:val="13"/>
                <w:color w:val="auto"/>
                <w:w w:val="92"/>
              </w:rPr>
              <w:t>Restated 1987 Stock Option and Appreciation Rights Plan of ONBANCorp, Inc. Incorporated by reference to Exhibit 10.11 to the Form 10-Q for the quarter ended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June 30, 1998 (File 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10.18</w:t>
            </w:r>
          </w:p>
        </w:tc>
        <w:tc>
          <w:tcPr>
            <w:tcW w:w="8820" w:type="dxa"/>
            <w:vAlign w:val="bottom"/>
          </w:tcPr>
          <w:p>
            <w:pPr>
              <w:ind w:left="260"/>
              <w:spacing w:after="0"/>
              <w:rPr>
                <w:sz w:val="20"/>
                <w:szCs w:val="20"/>
                <w:color w:val="auto"/>
              </w:rPr>
            </w:pPr>
            <w:r>
              <w:rPr>
                <w:rFonts w:ascii="Arial" w:cs="Arial" w:eastAsia="Arial" w:hAnsi="Arial"/>
                <w:sz w:val="13"/>
                <w:szCs w:val="13"/>
                <w:color w:val="auto"/>
                <w:w w:val="98"/>
              </w:rPr>
              <w:t>1992 ONBANCorp Directors’ Stock Option Plan. Incorporated by reference to Exhibit 10.12 to the Form 10-Q for the quarter ended June 30, 1998 (File</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10.19</w:t>
            </w:r>
          </w:p>
        </w:tc>
        <w:tc>
          <w:tcPr>
            <w:tcW w:w="8820" w:type="dxa"/>
            <w:vAlign w:val="bottom"/>
          </w:tcPr>
          <w:p>
            <w:pPr>
              <w:ind w:left="260"/>
              <w:spacing w:after="0"/>
              <w:rPr>
                <w:sz w:val="20"/>
                <w:szCs w:val="20"/>
                <w:color w:val="auto"/>
              </w:rPr>
            </w:pPr>
            <w:r>
              <w:rPr>
                <w:rFonts w:ascii="Arial" w:cs="Arial" w:eastAsia="Arial" w:hAnsi="Arial"/>
                <w:sz w:val="13"/>
                <w:szCs w:val="13"/>
                <w:color w:val="auto"/>
                <w:w w:val="93"/>
              </w:rPr>
              <w:t>Keystone Financial, Inc. 1997 Stock Incentive Plan, as amended November 19, 1998. Incorporated by reference to Exhibit 10.16 to the Form 10-K of Keystone</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Financial, Inc. for the year ended December 31, 1998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10.20</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Keystone Financial, Inc. 1992 Stock Incentive Plan. Incorporated by reference to Exhibit 10.10 to the Form 10-K of Keystone Financial, Inc. for the year ended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December 31, 1997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10.21</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Keystone Financial, Inc. 1988 Stock Incentive Plan. Incorporated by reference to Exhibit 10.2 to the Form 10-K of Keystone Financial, Inc. for the year ended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December 31, 1998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10.22</w:t>
            </w:r>
          </w:p>
        </w:tc>
        <w:tc>
          <w:tcPr>
            <w:tcW w:w="8820" w:type="dxa"/>
            <w:vAlign w:val="bottom"/>
          </w:tcPr>
          <w:p>
            <w:pPr>
              <w:ind w:left="260"/>
              <w:spacing w:after="0"/>
              <w:rPr>
                <w:sz w:val="20"/>
                <w:szCs w:val="20"/>
                <w:color w:val="auto"/>
              </w:rPr>
            </w:pPr>
            <w:r>
              <w:rPr>
                <w:rFonts w:ascii="Arial" w:cs="Arial" w:eastAsia="Arial" w:hAnsi="Arial"/>
                <w:sz w:val="13"/>
                <w:szCs w:val="13"/>
                <w:color w:val="auto"/>
                <w:w w:val="92"/>
              </w:rPr>
              <w:t>Keystone Financial, Inc. 1995 Non-Employee Directors’ Stock Option Plan. Incorporated by reference to Exhibit B to the Proxy Statement of Keystone Financial,</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Inc. dated April 7, 1995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10.23</w:t>
            </w:r>
          </w:p>
        </w:tc>
        <w:tc>
          <w:tcPr>
            <w:tcW w:w="8820" w:type="dxa"/>
            <w:vAlign w:val="bottom"/>
          </w:tcPr>
          <w:p>
            <w:pPr>
              <w:ind w:left="260"/>
              <w:spacing w:after="0"/>
              <w:rPr>
                <w:sz w:val="20"/>
                <w:szCs w:val="20"/>
                <w:color w:val="auto"/>
              </w:rPr>
            </w:pPr>
            <w:r>
              <w:rPr>
                <w:rFonts w:ascii="Arial" w:cs="Arial" w:eastAsia="Arial" w:hAnsi="Arial"/>
                <w:sz w:val="13"/>
                <w:szCs w:val="13"/>
                <w:color w:val="auto"/>
                <w:w w:val="92"/>
              </w:rPr>
              <w:t>Keystone Financial, Inc. 1990 Non-Employee Directors’ Stock Option Plan, as amended. Incorporated by reference to Exhibit 10.9 to the Form 10-K of Keystone</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Financial, Inc. for the year ended December 31, 1998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10.24</w:t>
            </w:r>
          </w:p>
        </w:tc>
        <w:tc>
          <w:tcPr>
            <w:tcW w:w="8820" w:type="dxa"/>
            <w:vAlign w:val="bottom"/>
          </w:tcPr>
          <w:p>
            <w:pPr>
              <w:ind w:left="260"/>
              <w:spacing w:after="0"/>
              <w:rPr>
                <w:sz w:val="20"/>
                <w:szCs w:val="20"/>
                <w:color w:val="auto"/>
              </w:rPr>
            </w:pPr>
            <w:r>
              <w:rPr>
                <w:rFonts w:ascii="Arial" w:cs="Arial" w:eastAsia="Arial" w:hAnsi="Arial"/>
                <w:sz w:val="13"/>
                <w:szCs w:val="13"/>
                <w:color w:val="auto"/>
                <w:w w:val="95"/>
              </w:rPr>
              <w:t>Keystone Financial, Inc. 1992 Director Fee Plan. Incorporated by reference to Exhibit 10.11 to the Form 10-K of Keystone Financial, Inc. for the year ended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December 31, 1999 (File No. 000-11460).*</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10.25</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Financial Trust Corp Non-Employee Director Stock Option Plan of 1994. Incorporated by reference to Exhibit 4.1 to the Registration Statement on Form S-8 of</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Financial Trust Corp, dated March 26, 1996 (File No. 333-01989).*</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10.26</w:t>
            </w:r>
          </w:p>
        </w:tc>
        <w:tc>
          <w:tcPr>
            <w:tcW w:w="8820" w:type="dxa"/>
            <w:vAlign w:val="bottom"/>
          </w:tcPr>
          <w:p>
            <w:pPr>
              <w:ind w:left="260"/>
              <w:spacing w:after="0"/>
              <w:rPr>
                <w:sz w:val="20"/>
                <w:szCs w:val="20"/>
                <w:color w:val="auto"/>
              </w:rPr>
            </w:pPr>
            <w:r>
              <w:rPr>
                <w:rFonts w:ascii="Arial" w:cs="Arial" w:eastAsia="Arial" w:hAnsi="Arial"/>
                <w:sz w:val="13"/>
                <w:szCs w:val="13"/>
                <w:color w:val="auto"/>
                <w:w w:val="92"/>
              </w:rPr>
              <w:t>Progressive Bank, Inc. 1993 Non-Qualified Stock Option Plan for Directors. Incorporated by reference to Exhibit 10.9 to the Progressive Bank, Inc. Form 10-K for</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the year ended December 31, 1993 (File No. 0-15025).*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10.27</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Premier National Bancorp, Inc. 1995 Incentive Stock Plan (as amended and restated effective May 13, 1999). Incorporated by reference to Exhibit 10.4 to the</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Premier National Bancorp, Inc. Form 10-K for the year ended December 31, 1999 (File No. 1-13213).*</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10.28</w:t>
            </w:r>
          </w:p>
        </w:tc>
        <w:tc>
          <w:tcPr>
            <w:tcW w:w="8820" w:type="dxa"/>
            <w:vAlign w:val="bottom"/>
          </w:tcPr>
          <w:p>
            <w:pPr>
              <w:ind w:left="260"/>
              <w:spacing w:after="0"/>
              <w:rPr>
                <w:sz w:val="20"/>
                <w:szCs w:val="20"/>
                <w:color w:val="auto"/>
              </w:rPr>
            </w:pPr>
            <w:r>
              <w:rPr>
                <w:rFonts w:ascii="Arial" w:cs="Arial" w:eastAsia="Arial" w:hAnsi="Arial"/>
                <w:sz w:val="13"/>
                <w:szCs w:val="13"/>
                <w:color w:val="auto"/>
                <w:w w:val="93"/>
              </w:rPr>
              <w:t>M&amp;T Bank Corporation Employee Stock Purchase Plan. Incorporated by reference to Exhibit 10.28 to the Form 10-Q for the quarter ended September 30, 2002</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(File 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10.29</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M&amp;T Bank Corporation 2005 Incentive Compensation Plan. Incorporated by reference to Appendix A to the Proxy Statement of M&amp;T Bank Corporation dated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March 4, 2005 (File 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10.30</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M&amp;T Bank Corporation 2009 Equity Incentive Compensation Plan. Incorporated by reference to Appendix A to the Proxy Statement of M&amp;T Bank Corporation</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dated March 6, 2009 (File 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10.31</w:t>
            </w:r>
          </w:p>
        </w:tc>
        <w:tc>
          <w:tcPr>
            <w:tcW w:w="8820" w:type="dxa"/>
            <w:vAlign w:val="bottom"/>
          </w:tcPr>
          <w:p>
            <w:pPr>
              <w:ind w:left="260"/>
              <w:spacing w:after="0"/>
              <w:rPr>
                <w:sz w:val="20"/>
                <w:szCs w:val="20"/>
                <w:color w:val="auto"/>
              </w:rPr>
            </w:pPr>
            <w:r>
              <w:rPr>
                <w:rFonts w:ascii="Arial" w:cs="Arial" w:eastAsia="Arial" w:hAnsi="Arial"/>
                <w:sz w:val="13"/>
                <w:szCs w:val="13"/>
                <w:color w:val="auto"/>
                <w:w w:val="96"/>
              </w:rPr>
              <w:t>M&amp;T Bank Corporation Employee Severance Plan. Incorporated by reference to Exhibit 10.2 to the Form 10-Q for the quarter ended March 31, 2005 (File</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10.32</w:t>
            </w:r>
          </w:p>
        </w:tc>
        <w:tc>
          <w:tcPr>
            <w:tcW w:w="8820" w:type="dxa"/>
            <w:vAlign w:val="bottom"/>
          </w:tcPr>
          <w:p>
            <w:pPr>
              <w:ind w:left="260"/>
              <w:spacing w:after="0"/>
              <w:rPr>
                <w:sz w:val="20"/>
                <w:szCs w:val="20"/>
                <w:color w:val="auto"/>
              </w:rPr>
            </w:pPr>
            <w:r>
              <w:rPr>
                <w:rFonts w:ascii="Arial" w:cs="Arial" w:eastAsia="Arial" w:hAnsi="Arial"/>
                <w:sz w:val="13"/>
                <w:szCs w:val="13"/>
                <w:color w:val="auto"/>
                <w:w w:val="91"/>
              </w:rPr>
              <w:t>Provident Bankshares Corporation Amended and Restated Stock Option Plan. Incorporated by reference to Exhibit 4.1 to the Registration Statement on Form S-8</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dated June 5, 2009 (File No. 333-159795).*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10.33</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Provident Bankshares Corporation 2004 Equity Compensation Plan. Incorporated by reference to Exhibit 4.2 to the Registration Statement on Form S-8 dated</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June 5, 2009 (File No. 333-159795).*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10.34</w:t>
            </w:r>
          </w:p>
        </w:tc>
        <w:tc>
          <w:tcPr>
            <w:tcW w:w="8820" w:type="dxa"/>
            <w:vAlign w:val="bottom"/>
          </w:tcPr>
          <w:p>
            <w:pPr>
              <w:ind w:left="260"/>
              <w:spacing w:after="0"/>
              <w:rPr>
                <w:sz w:val="20"/>
                <w:szCs w:val="20"/>
                <w:color w:val="auto"/>
              </w:rPr>
            </w:pPr>
            <w:r>
              <w:rPr>
                <w:rFonts w:ascii="Arial" w:cs="Arial" w:eastAsia="Arial" w:hAnsi="Arial"/>
                <w:sz w:val="13"/>
                <w:szCs w:val="13"/>
                <w:color w:val="auto"/>
                <w:w w:val="94"/>
              </w:rPr>
              <w:t>Southern Financial Bancorp, Inc. 1993 Stock Option and Incentive Plan (as Amended and Restated in 2001). Incorporated by reference to Exhibit 4.3 to Post-</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Effective Amendment No. 1 to the Registration Statement on Form S-8 dated July 24, 2009 (File No. 333-159795).*</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10.35</w:t>
            </w:r>
          </w:p>
        </w:tc>
        <w:tc>
          <w:tcPr>
            <w:tcW w:w="8820" w:type="dxa"/>
            <w:vAlign w:val="bottom"/>
          </w:tcPr>
          <w:p>
            <w:pPr>
              <w:ind w:left="260"/>
              <w:spacing w:after="0"/>
              <w:rPr>
                <w:sz w:val="20"/>
                <w:szCs w:val="20"/>
                <w:color w:val="auto"/>
              </w:rPr>
            </w:pPr>
            <w:r>
              <w:rPr>
                <w:rFonts w:ascii="Arial" w:cs="Arial" w:eastAsia="Arial" w:hAnsi="Arial"/>
                <w:sz w:val="13"/>
                <w:szCs w:val="13"/>
                <w:color w:val="auto"/>
                <w:w w:val="91"/>
              </w:rPr>
              <w:t>Letter Agreement including the Securities Purchase Agreement — Standard Terms incorporated therein, between M&amp;T Bank Corporation and the U.S. Department</w:t>
            </w:r>
          </w:p>
        </w:tc>
      </w:tr>
      <w:tr>
        <w:trPr>
          <w:trHeight w:val="157"/>
        </w:trPr>
        <w:tc>
          <w:tcPr>
            <w:tcW w:w="560" w:type="dxa"/>
            <w:vAlign w:val="bottom"/>
          </w:tcPr>
          <w:p>
            <w:pPr>
              <w:spacing w:after="0"/>
              <w:rPr>
                <w:sz w:val="13"/>
                <w:szCs w:val="13"/>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of Treasury, dated December 23, 2008. Incorporated by reference to Exhibit 10.1 to the Form 8-K dated December 19, 2008 (File No. 1-9861).</w:t>
            </w:r>
          </w:p>
        </w:tc>
      </w:tr>
      <w:tr>
        <w:trPr>
          <w:trHeight w:val="157"/>
        </w:trPr>
        <w:tc>
          <w:tcPr>
            <w:tcW w:w="560" w:type="dxa"/>
            <w:vAlign w:val="bottom"/>
          </w:tcPr>
          <w:p>
            <w:pPr>
              <w:spacing w:after="0"/>
              <w:rPr>
                <w:sz w:val="20"/>
                <w:szCs w:val="20"/>
                <w:color w:val="auto"/>
              </w:rPr>
            </w:pPr>
            <w:r>
              <w:rPr>
                <w:rFonts w:ascii="Arial" w:cs="Arial" w:eastAsia="Arial" w:hAnsi="Arial"/>
                <w:sz w:val="13"/>
                <w:szCs w:val="13"/>
                <w:color w:val="auto"/>
              </w:rPr>
              <w:t>11.1</w:t>
            </w:r>
          </w:p>
        </w:tc>
        <w:tc>
          <w:tcPr>
            <w:tcW w:w="8820" w:type="dxa"/>
            <w:vAlign w:val="bottom"/>
          </w:tcPr>
          <w:p>
            <w:pPr>
              <w:ind w:left="260"/>
              <w:spacing w:after="0"/>
              <w:rPr>
                <w:sz w:val="20"/>
                <w:szCs w:val="20"/>
                <w:color w:val="auto"/>
              </w:rPr>
            </w:pPr>
            <w:r>
              <w:rPr>
                <w:rFonts w:ascii="Arial" w:cs="Arial" w:eastAsia="Arial" w:hAnsi="Arial"/>
                <w:sz w:val="13"/>
                <w:szCs w:val="13"/>
                <w:color w:val="auto"/>
                <w:w w:val="91"/>
              </w:rPr>
              <w:t>Statement re: Computation of Earnings Per Common Share. Incorporated by reference to note 14 of Notes to Financial Statements filed herewith in Part II, Item 8,</w:t>
            </w:r>
          </w:p>
        </w:tc>
      </w:tr>
      <w:tr>
        <w:trPr>
          <w:trHeight w:val="165"/>
        </w:trPr>
        <w:tc>
          <w:tcPr>
            <w:tcW w:w="560" w:type="dxa"/>
            <w:vAlign w:val="bottom"/>
          </w:tcPr>
          <w:p>
            <w:pPr>
              <w:spacing w:after="0"/>
              <w:rPr>
                <w:sz w:val="14"/>
                <w:szCs w:val="14"/>
                <w:color w:val="auto"/>
              </w:rPr>
            </w:pPr>
          </w:p>
        </w:tc>
        <w:tc>
          <w:tcPr>
            <w:tcW w:w="8820" w:type="dxa"/>
            <w:vAlign w:val="bottom"/>
          </w:tcPr>
          <w:p>
            <w:pPr>
              <w:ind w:left="260"/>
              <w:spacing w:after="0"/>
              <w:rPr>
                <w:sz w:val="20"/>
                <w:szCs w:val="20"/>
                <w:color w:val="auto"/>
              </w:rPr>
            </w:pPr>
            <w:r>
              <w:rPr>
                <w:rFonts w:ascii="Arial" w:cs="Arial" w:eastAsia="Arial" w:hAnsi="Arial"/>
                <w:sz w:val="13"/>
                <w:szCs w:val="13"/>
                <w:color w:val="auto"/>
              </w:rPr>
              <w:t>“Financial Statements and Supplementary Data.”</w:t>
            </w:r>
          </w:p>
        </w:tc>
      </w:tr>
    </w:tbl>
    <w:p>
      <w:pPr>
        <w:spacing w:after="0" w:line="15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4" w:right="11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12.1</w:t>
            </w:r>
          </w:p>
        </w:tc>
        <w:tc>
          <w:tcPr>
            <w:tcW w:w="8520" w:type="dxa"/>
            <w:vAlign w:val="bottom"/>
          </w:tcPr>
          <w:p>
            <w:pPr>
              <w:ind w:left="140"/>
              <w:spacing w:after="0"/>
              <w:rPr>
                <w:sz w:val="20"/>
                <w:szCs w:val="20"/>
                <w:color w:val="auto"/>
              </w:rPr>
            </w:pPr>
            <w:r>
              <w:rPr>
                <w:rFonts w:ascii="Arial" w:cs="Arial" w:eastAsia="Arial" w:hAnsi="Arial"/>
                <w:sz w:val="13"/>
                <w:szCs w:val="13"/>
                <w:color w:val="auto"/>
              </w:rPr>
              <w:t>Ratio of Earnings to Fixed Charges.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14.1</w:t>
            </w:r>
          </w:p>
        </w:tc>
        <w:tc>
          <w:tcPr>
            <w:tcW w:w="8520" w:type="dxa"/>
            <w:vAlign w:val="bottom"/>
          </w:tcPr>
          <w:p>
            <w:pPr>
              <w:ind w:left="140"/>
              <w:spacing w:after="0"/>
              <w:rPr>
                <w:sz w:val="20"/>
                <w:szCs w:val="20"/>
                <w:color w:val="auto"/>
              </w:rPr>
            </w:pPr>
            <w:r>
              <w:rPr>
                <w:rFonts w:ascii="Arial" w:cs="Arial" w:eastAsia="Arial" w:hAnsi="Arial"/>
                <w:sz w:val="13"/>
                <w:szCs w:val="13"/>
                <w:color w:val="auto"/>
                <w:w w:val="93"/>
              </w:rPr>
              <w:t>M&amp;T Bank Corporation Code of Ethics for CEO and Senior Financial Officers. Incorporated by reference to Exhibit 14.1 to the Form 10-K for the year ended</w:t>
            </w:r>
          </w:p>
        </w:tc>
      </w:tr>
      <w:tr>
        <w:trPr>
          <w:trHeight w:val="157"/>
        </w:trPr>
        <w:tc>
          <w:tcPr>
            <w:tcW w:w="740" w:type="dxa"/>
            <w:vAlign w:val="bottom"/>
          </w:tcPr>
          <w:p>
            <w:pPr>
              <w:spacing w:after="0"/>
              <w:rPr>
                <w:sz w:val="13"/>
                <w:szCs w:val="13"/>
                <w:color w:val="auto"/>
              </w:rPr>
            </w:pPr>
          </w:p>
        </w:tc>
        <w:tc>
          <w:tcPr>
            <w:tcW w:w="8520" w:type="dxa"/>
            <w:vAlign w:val="bottom"/>
          </w:tcPr>
          <w:p>
            <w:pPr>
              <w:ind w:left="140"/>
              <w:spacing w:after="0"/>
              <w:rPr>
                <w:sz w:val="20"/>
                <w:szCs w:val="20"/>
                <w:color w:val="auto"/>
              </w:rPr>
            </w:pPr>
            <w:r>
              <w:rPr>
                <w:rFonts w:ascii="Arial" w:cs="Arial" w:eastAsia="Arial" w:hAnsi="Arial"/>
                <w:sz w:val="13"/>
                <w:szCs w:val="13"/>
                <w:color w:val="auto"/>
              </w:rPr>
              <w:t>December 31, 2003 (File No. 1-9861).</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21.1</w:t>
            </w:r>
          </w:p>
        </w:tc>
        <w:tc>
          <w:tcPr>
            <w:tcW w:w="8520" w:type="dxa"/>
            <w:vAlign w:val="bottom"/>
          </w:tcPr>
          <w:p>
            <w:pPr>
              <w:ind w:left="140"/>
              <w:spacing w:after="0"/>
              <w:rPr>
                <w:sz w:val="20"/>
                <w:szCs w:val="20"/>
                <w:color w:val="auto"/>
              </w:rPr>
            </w:pPr>
            <w:r>
              <w:rPr>
                <w:rFonts w:ascii="Arial" w:cs="Arial" w:eastAsia="Arial" w:hAnsi="Arial"/>
                <w:sz w:val="13"/>
                <w:szCs w:val="13"/>
                <w:color w:val="auto"/>
              </w:rPr>
              <w:t>Subsidiaries of the Registrant. Incorporated by reference to the caption “Subsidiaries” contained in Part I, Item 1 hereof.</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23.1</w:t>
            </w:r>
          </w:p>
        </w:tc>
        <w:tc>
          <w:tcPr>
            <w:tcW w:w="8520" w:type="dxa"/>
            <w:vAlign w:val="bottom"/>
          </w:tcPr>
          <w:p>
            <w:pPr>
              <w:ind w:left="140"/>
              <w:spacing w:after="0"/>
              <w:rPr>
                <w:sz w:val="20"/>
                <w:szCs w:val="20"/>
                <w:color w:val="auto"/>
              </w:rPr>
            </w:pPr>
            <w:r>
              <w:rPr>
                <w:rFonts w:ascii="Arial" w:cs="Arial" w:eastAsia="Arial" w:hAnsi="Arial"/>
                <w:sz w:val="13"/>
                <w:szCs w:val="13"/>
                <w:color w:val="auto"/>
                <w:w w:val="94"/>
              </w:rPr>
              <w:t>Consent of PricewaterhouseCoopers LLP re: Registration Statement Nos. 333-57330, 333-63660, 33-12207, 33-58500, 33-63917, 333-43171, 333-43175,</w:t>
            </w:r>
          </w:p>
        </w:tc>
      </w:tr>
      <w:tr>
        <w:trPr>
          <w:trHeight w:val="157"/>
        </w:trPr>
        <w:tc>
          <w:tcPr>
            <w:tcW w:w="740" w:type="dxa"/>
            <w:vAlign w:val="bottom"/>
          </w:tcPr>
          <w:p>
            <w:pPr>
              <w:spacing w:after="0"/>
              <w:rPr>
                <w:sz w:val="13"/>
                <w:szCs w:val="13"/>
                <w:color w:val="auto"/>
              </w:rPr>
            </w:pPr>
          </w:p>
        </w:tc>
        <w:tc>
          <w:tcPr>
            <w:tcW w:w="8520" w:type="dxa"/>
            <w:vAlign w:val="bottom"/>
          </w:tcPr>
          <w:p>
            <w:pPr>
              <w:ind w:left="140"/>
              <w:spacing w:after="0"/>
              <w:rPr>
                <w:sz w:val="20"/>
                <w:szCs w:val="20"/>
                <w:color w:val="auto"/>
              </w:rPr>
            </w:pPr>
            <w:r>
              <w:rPr>
                <w:rFonts w:ascii="Arial" w:cs="Arial" w:eastAsia="Arial" w:hAnsi="Arial"/>
                <w:sz w:val="13"/>
                <w:szCs w:val="13"/>
                <w:color w:val="auto"/>
                <w:w w:val="93"/>
              </w:rPr>
              <w:t>333-63985, 333-97031, 33-32044, 333-16077, 333-84384, 333-127406, 333-150122, 333-164015, 333-163992, 333-160769, 333-159795, 333-170740 and</w:t>
            </w:r>
          </w:p>
        </w:tc>
      </w:tr>
      <w:tr>
        <w:trPr>
          <w:trHeight w:val="157"/>
        </w:trPr>
        <w:tc>
          <w:tcPr>
            <w:tcW w:w="740" w:type="dxa"/>
            <w:vAlign w:val="bottom"/>
          </w:tcPr>
          <w:p>
            <w:pPr>
              <w:spacing w:after="0"/>
              <w:rPr>
                <w:sz w:val="13"/>
                <w:szCs w:val="13"/>
                <w:color w:val="auto"/>
              </w:rPr>
            </w:pPr>
          </w:p>
        </w:tc>
        <w:tc>
          <w:tcPr>
            <w:tcW w:w="8520" w:type="dxa"/>
            <w:vAlign w:val="bottom"/>
          </w:tcPr>
          <w:p>
            <w:pPr>
              <w:ind w:left="140"/>
              <w:spacing w:after="0"/>
              <w:rPr>
                <w:sz w:val="20"/>
                <w:szCs w:val="20"/>
                <w:color w:val="auto"/>
              </w:rPr>
            </w:pPr>
            <w:r>
              <w:rPr>
                <w:rFonts w:ascii="Arial" w:cs="Arial" w:eastAsia="Arial" w:hAnsi="Arial"/>
                <w:sz w:val="13"/>
                <w:szCs w:val="13"/>
                <w:color w:val="auto"/>
              </w:rPr>
              <w:t>333-155759.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31.1</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Executive Officer under Section 302 of the Sarbanes-Oxley Act of 2002.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31.2</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Financial Officer under Section 302 of the Sarbanes-Oxley Act of 2002.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32.1</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Executive Officer under 18 U.S.C. §1350 pursuant to Section 906 of the Sarbanes-Oxley Act of 2002.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32.2</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Financial Officer under 18 U.S.C. §1350 pursuant to Section 906 of the Sarbanes-Oxley Act of 2002.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99.1</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Executive Officer under EESA § 111(b)(4).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99.2</w:t>
            </w:r>
          </w:p>
        </w:tc>
        <w:tc>
          <w:tcPr>
            <w:tcW w:w="8520" w:type="dxa"/>
            <w:vAlign w:val="bottom"/>
          </w:tcPr>
          <w:p>
            <w:pPr>
              <w:ind w:left="140"/>
              <w:spacing w:after="0"/>
              <w:rPr>
                <w:sz w:val="20"/>
                <w:szCs w:val="20"/>
                <w:color w:val="auto"/>
              </w:rPr>
            </w:pPr>
            <w:r>
              <w:rPr>
                <w:rFonts w:ascii="Arial" w:cs="Arial" w:eastAsia="Arial" w:hAnsi="Arial"/>
                <w:sz w:val="13"/>
                <w:szCs w:val="13"/>
                <w:color w:val="auto"/>
              </w:rPr>
              <w:t>Certification of Chief Financial Officer under EESA § 111(b)(4). Filed herewith.</w:t>
            </w: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rPr>
              <w:t>99.3</w:t>
            </w:r>
          </w:p>
        </w:tc>
        <w:tc>
          <w:tcPr>
            <w:tcW w:w="8520" w:type="dxa"/>
            <w:vAlign w:val="bottom"/>
          </w:tcPr>
          <w:p>
            <w:pPr>
              <w:ind w:left="140"/>
              <w:spacing w:after="0"/>
              <w:rPr>
                <w:sz w:val="20"/>
                <w:szCs w:val="20"/>
                <w:color w:val="auto"/>
              </w:rPr>
            </w:pPr>
            <w:r>
              <w:rPr>
                <w:rFonts w:ascii="Arial" w:cs="Arial" w:eastAsia="Arial" w:hAnsi="Arial"/>
                <w:sz w:val="13"/>
                <w:szCs w:val="13"/>
                <w:color w:val="auto"/>
                <w:w w:val="91"/>
              </w:rPr>
              <w:t>Replacement Capital Covenant of M&amp;T Bank Corporation dated January 31, 2008. Incorporated by reference to Exhibit 99.1 to the Form 8-K dated January 31,</w:t>
            </w:r>
          </w:p>
        </w:tc>
      </w:tr>
      <w:tr>
        <w:trPr>
          <w:trHeight w:val="157"/>
        </w:trPr>
        <w:tc>
          <w:tcPr>
            <w:tcW w:w="740" w:type="dxa"/>
            <w:vAlign w:val="bottom"/>
          </w:tcPr>
          <w:p>
            <w:pPr>
              <w:spacing w:after="0"/>
              <w:rPr>
                <w:sz w:val="13"/>
                <w:szCs w:val="13"/>
                <w:color w:val="auto"/>
              </w:rPr>
            </w:pPr>
          </w:p>
        </w:tc>
        <w:tc>
          <w:tcPr>
            <w:tcW w:w="8520" w:type="dxa"/>
            <w:vAlign w:val="bottom"/>
          </w:tcPr>
          <w:p>
            <w:pPr>
              <w:ind w:left="140"/>
              <w:spacing w:after="0"/>
              <w:rPr>
                <w:sz w:val="20"/>
                <w:szCs w:val="20"/>
                <w:color w:val="auto"/>
              </w:rPr>
            </w:pPr>
            <w:r>
              <w:rPr>
                <w:rFonts w:ascii="Arial" w:cs="Arial" w:eastAsia="Arial" w:hAnsi="Arial"/>
                <w:sz w:val="13"/>
                <w:szCs w:val="13"/>
                <w:color w:val="auto"/>
              </w:rPr>
              <w:t>2008 (File No. 1-9861).</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101.INS**</w:t>
            </w:r>
          </w:p>
        </w:tc>
        <w:tc>
          <w:tcPr>
            <w:tcW w:w="8520" w:type="dxa"/>
            <w:vAlign w:val="bottom"/>
          </w:tcPr>
          <w:p>
            <w:pPr>
              <w:ind w:left="140"/>
              <w:spacing w:after="0"/>
              <w:rPr>
                <w:sz w:val="20"/>
                <w:szCs w:val="20"/>
                <w:color w:val="auto"/>
              </w:rPr>
            </w:pPr>
            <w:r>
              <w:rPr>
                <w:rFonts w:ascii="Arial" w:cs="Arial" w:eastAsia="Arial" w:hAnsi="Arial"/>
                <w:sz w:val="13"/>
                <w:szCs w:val="13"/>
                <w:color w:val="auto"/>
              </w:rPr>
              <w:t>XBRL Instance Document.</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101.SCH**</w:t>
            </w:r>
          </w:p>
        </w:tc>
        <w:tc>
          <w:tcPr>
            <w:tcW w:w="8520" w:type="dxa"/>
            <w:vAlign w:val="bottom"/>
          </w:tcPr>
          <w:p>
            <w:pPr>
              <w:ind w:left="140"/>
              <w:spacing w:after="0"/>
              <w:rPr>
                <w:sz w:val="20"/>
                <w:szCs w:val="20"/>
                <w:color w:val="auto"/>
              </w:rPr>
            </w:pPr>
            <w:r>
              <w:rPr>
                <w:rFonts w:ascii="Arial" w:cs="Arial" w:eastAsia="Arial" w:hAnsi="Arial"/>
                <w:sz w:val="13"/>
                <w:szCs w:val="13"/>
                <w:color w:val="auto"/>
              </w:rPr>
              <w:t>XBRL Taxonomy Extension Schema.</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101.CAL**</w:t>
            </w:r>
          </w:p>
        </w:tc>
        <w:tc>
          <w:tcPr>
            <w:tcW w:w="8520" w:type="dxa"/>
            <w:vAlign w:val="bottom"/>
          </w:tcPr>
          <w:p>
            <w:pPr>
              <w:ind w:left="140"/>
              <w:spacing w:after="0"/>
              <w:rPr>
                <w:sz w:val="20"/>
                <w:szCs w:val="20"/>
                <w:color w:val="auto"/>
              </w:rPr>
            </w:pPr>
            <w:r>
              <w:rPr>
                <w:rFonts w:ascii="Arial" w:cs="Arial" w:eastAsia="Arial" w:hAnsi="Arial"/>
                <w:sz w:val="13"/>
                <w:szCs w:val="13"/>
                <w:color w:val="auto"/>
              </w:rPr>
              <w:t>XBRL Taxonomy Extension Calculation Linkbase.</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101.LAB**</w:t>
            </w:r>
          </w:p>
        </w:tc>
        <w:tc>
          <w:tcPr>
            <w:tcW w:w="8520" w:type="dxa"/>
            <w:vAlign w:val="bottom"/>
          </w:tcPr>
          <w:p>
            <w:pPr>
              <w:ind w:left="140"/>
              <w:spacing w:after="0"/>
              <w:rPr>
                <w:sz w:val="20"/>
                <w:szCs w:val="20"/>
                <w:color w:val="auto"/>
              </w:rPr>
            </w:pPr>
            <w:r>
              <w:rPr>
                <w:rFonts w:ascii="Arial" w:cs="Arial" w:eastAsia="Arial" w:hAnsi="Arial"/>
                <w:sz w:val="13"/>
                <w:szCs w:val="13"/>
                <w:color w:val="auto"/>
              </w:rPr>
              <w:t>XBRL Taxonomy Extension Label Linkbase.</w:t>
            </w:r>
          </w:p>
        </w:tc>
      </w:tr>
      <w:tr>
        <w:trPr>
          <w:trHeight w:val="157"/>
        </w:trPr>
        <w:tc>
          <w:tcPr>
            <w:tcW w:w="740" w:type="dxa"/>
            <w:vAlign w:val="bottom"/>
          </w:tcPr>
          <w:p>
            <w:pPr>
              <w:spacing w:after="0"/>
              <w:rPr>
                <w:sz w:val="20"/>
                <w:szCs w:val="20"/>
                <w:color w:val="auto"/>
              </w:rPr>
            </w:pPr>
            <w:r>
              <w:rPr>
                <w:rFonts w:ascii="Arial" w:cs="Arial" w:eastAsia="Arial" w:hAnsi="Arial"/>
                <w:sz w:val="13"/>
                <w:szCs w:val="13"/>
                <w:color w:val="auto"/>
              </w:rPr>
              <w:t>101.PRE**</w:t>
            </w:r>
          </w:p>
        </w:tc>
        <w:tc>
          <w:tcPr>
            <w:tcW w:w="8520" w:type="dxa"/>
            <w:vAlign w:val="bottom"/>
          </w:tcPr>
          <w:p>
            <w:pPr>
              <w:ind w:left="140"/>
              <w:spacing w:after="0"/>
              <w:rPr>
                <w:sz w:val="20"/>
                <w:szCs w:val="20"/>
                <w:color w:val="auto"/>
              </w:rPr>
            </w:pPr>
            <w:r>
              <w:rPr>
                <w:rFonts w:ascii="Arial" w:cs="Arial" w:eastAsia="Arial" w:hAnsi="Arial"/>
                <w:sz w:val="13"/>
                <w:szCs w:val="13"/>
                <w:color w:val="auto"/>
              </w:rPr>
              <w:t>XBRL Taxonomy Extension Presentation Linkbase.</w:t>
            </w:r>
          </w:p>
        </w:tc>
      </w:tr>
      <w:tr>
        <w:trPr>
          <w:trHeight w:val="165"/>
        </w:trPr>
        <w:tc>
          <w:tcPr>
            <w:tcW w:w="740" w:type="dxa"/>
            <w:vAlign w:val="bottom"/>
          </w:tcPr>
          <w:p>
            <w:pPr>
              <w:spacing w:after="0"/>
              <w:rPr>
                <w:sz w:val="20"/>
                <w:szCs w:val="20"/>
                <w:color w:val="auto"/>
              </w:rPr>
            </w:pPr>
            <w:r>
              <w:rPr>
                <w:rFonts w:ascii="Arial" w:cs="Arial" w:eastAsia="Arial" w:hAnsi="Arial"/>
                <w:sz w:val="13"/>
                <w:szCs w:val="13"/>
                <w:color w:val="auto"/>
              </w:rPr>
              <w:t>101.DEF**</w:t>
            </w:r>
          </w:p>
        </w:tc>
        <w:tc>
          <w:tcPr>
            <w:tcW w:w="8520" w:type="dxa"/>
            <w:vAlign w:val="bottom"/>
          </w:tcPr>
          <w:p>
            <w:pPr>
              <w:ind w:left="140"/>
              <w:spacing w:after="0"/>
              <w:rPr>
                <w:sz w:val="20"/>
                <w:szCs w:val="20"/>
                <w:color w:val="auto"/>
              </w:rPr>
            </w:pPr>
            <w:r>
              <w:rPr>
                <w:rFonts w:ascii="Arial" w:cs="Arial" w:eastAsia="Arial" w:hAnsi="Arial"/>
                <w:sz w:val="13"/>
                <w:szCs w:val="13"/>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20" w:hanging="233"/>
        <w:spacing w:after="0"/>
        <w:tabs>
          <w:tab w:leader="none" w:pos="92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Management contract or compensatory plan or arrangement.</w:t>
      </w:r>
    </w:p>
    <w:p>
      <w:pPr>
        <w:spacing w:after="0" w:line="47" w:lineRule="exact"/>
        <w:rPr>
          <w:sz w:val="20"/>
          <w:szCs w:val="20"/>
          <w:color w:val="auto"/>
        </w:rPr>
      </w:pPr>
    </w:p>
    <w:p>
      <w:pPr>
        <w:ind w:left="920" w:right="180" w:hanging="233"/>
        <w:spacing w:after="0" w:line="276" w:lineRule="auto"/>
        <w:tabs>
          <w:tab w:leader="none" w:pos="9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As provided in Rule 406T of Regulation S-T, this information is furnished and not filed for purposes of Sections 11 and 12 of the Securities Act of 1933 and Section 18 of the Securities Exchange Act of 1934.</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660"/>
          </w:cols>
          <w:pgMar w:left="220" w:top="344" w:right="10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EXHIBIT 10.5</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3"/>
          <w:szCs w:val="13"/>
          <w:u w:val="single" w:color="auto"/>
          <w:color w:val="auto"/>
        </w:rPr>
        <w:t>AMENDMENT NO. 4 TO CREDIT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Amendment Agreement dated as of December 3, 2010 (this “</w:t>
      </w:r>
      <w:r>
        <w:rPr>
          <w:rFonts w:ascii="Arial" w:cs="Arial" w:eastAsia="Arial" w:hAnsi="Arial"/>
          <w:sz w:val="12"/>
          <w:szCs w:val="12"/>
          <w:u w:val="single" w:color="auto"/>
          <w:color w:val="auto"/>
        </w:rPr>
        <w:t>Amendment</w:t>
      </w:r>
      <w:r>
        <w:rPr>
          <w:rFonts w:ascii="Arial" w:cs="Arial" w:eastAsia="Arial" w:hAnsi="Arial"/>
          <w:sz w:val="12"/>
          <w:szCs w:val="12"/>
          <w:color w:val="auto"/>
        </w:rPr>
        <w:t>”) is made and entered into between M&amp;T BANK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and CITIBANK, N.A. (the “</w:t>
      </w:r>
      <w:r>
        <w:rPr>
          <w:rFonts w:ascii="Arial" w:cs="Arial" w:eastAsia="Arial" w:hAnsi="Arial"/>
          <w:sz w:val="12"/>
          <w:szCs w:val="12"/>
          <w:u w:val="single" w:color="auto"/>
          <w:color w:val="auto"/>
        </w:rPr>
        <w:t>Lender</w:t>
      </w:r>
      <w:r>
        <w:rPr>
          <w:rFonts w:ascii="Arial" w:cs="Arial" w:eastAsia="Arial" w:hAnsi="Arial"/>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WITNESSETH</w:t>
      </w:r>
    </w:p>
    <w:p>
      <w:pPr>
        <w:spacing w:after="0" w:line="86"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WHEREAS, the Borrower and the Lender entered into that Certain Credit Agreement dated as of December 15, 2000 (the “</w:t>
      </w:r>
      <w:r>
        <w:rPr>
          <w:rFonts w:ascii="Arial" w:cs="Arial" w:eastAsia="Arial" w:hAnsi="Arial"/>
          <w:sz w:val="13"/>
          <w:szCs w:val="13"/>
          <w:u w:val="single" w:color="auto"/>
          <w:color w:val="auto"/>
        </w:rPr>
        <w:t>Original Agreement</w:t>
      </w:r>
      <w:r>
        <w:rPr>
          <w:rFonts w:ascii="Arial" w:cs="Arial" w:eastAsia="Arial" w:hAnsi="Arial"/>
          <w:sz w:val="13"/>
          <w:szCs w:val="13"/>
          <w:color w:val="auto"/>
        </w:rPr>
        <w:t>”), as amended by (i) that certain Amendment Agreement dated as of December 9, 2003, (ii) that certain Amendment Agreement dated as of January 30, 2009 and (iii) that certain Amendment Agreement dated as of December 4, 2009 (the Original Agreement, as so amended, being hereinafter referred to as the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57" w:lineRule="exact"/>
        <w:rPr>
          <w:sz w:val="20"/>
          <w:szCs w:val="20"/>
          <w:color w:val="auto"/>
        </w:rPr>
      </w:pPr>
    </w:p>
    <w:p>
      <w:pPr>
        <w:ind w:left="160" w:right="2620"/>
        <w:spacing w:after="0" w:line="378" w:lineRule="auto"/>
        <w:rPr>
          <w:sz w:val="20"/>
          <w:szCs w:val="20"/>
          <w:color w:val="auto"/>
        </w:rPr>
      </w:pPr>
      <w:r>
        <w:rPr>
          <w:rFonts w:ascii="Arial" w:cs="Arial" w:eastAsia="Arial" w:hAnsi="Arial"/>
          <w:sz w:val="13"/>
          <w:szCs w:val="13"/>
          <w:color w:val="auto"/>
        </w:rPr>
        <w:t>WHEREAS, by prior agreement between the Lender and the Borrower, the Commitment under the Agreement has been extended to not later than December 4, 2009; WHEREAS, the Borrower and the Lender desire to amend the Agreement in certain respects;</w:t>
      </w:r>
    </w:p>
    <w:p>
      <w:pPr>
        <w:spacing w:after="0" w:line="1"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agrees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not otherwise defined herein shall have the meanings attributed thereto in the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Amendments</w:t>
      </w:r>
      <w:r>
        <w:rPr>
          <w:rFonts w:ascii="Arial" w:cs="Arial" w:eastAsia="Arial" w:hAnsi="Arial"/>
          <w:sz w:val="13"/>
          <w:szCs w:val="13"/>
          <w:color w:val="auto"/>
        </w:rPr>
        <w:t>.</w:t>
      </w:r>
    </w:p>
    <w:p>
      <w:pPr>
        <w:spacing w:after="0" w:line="86" w:lineRule="exact"/>
        <w:rPr>
          <w:sz w:val="20"/>
          <w:szCs w:val="20"/>
          <w:color w:val="auto"/>
        </w:rPr>
      </w:pPr>
    </w:p>
    <w:p>
      <w:pPr>
        <w:ind w:left="460" w:right="4560" w:hanging="298"/>
        <w:spacing w:after="0" w:line="378" w:lineRule="auto"/>
        <w:tabs>
          <w:tab w:leader="none" w:pos="341"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definition of “Applicable Facility Fee Rate” in Section 1.01 of the Agreement is amended and restated in full as follows: “‘</w:t>
      </w:r>
      <w:r>
        <w:rPr>
          <w:rFonts w:ascii="Arial" w:cs="Arial" w:eastAsia="Arial" w:hAnsi="Arial"/>
          <w:sz w:val="13"/>
          <w:szCs w:val="13"/>
          <w:u w:val="single" w:color="auto"/>
          <w:color w:val="auto"/>
        </w:rPr>
        <w:t>Applicable Facility Fee Rate</w:t>
      </w:r>
      <w:r>
        <w:rPr>
          <w:rFonts w:ascii="Arial" w:cs="Arial" w:eastAsia="Arial" w:hAnsi="Arial"/>
          <w:sz w:val="13"/>
          <w:szCs w:val="13"/>
          <w:color w:val="auto"/>
        </w:rPr>
        <w:t>’ means 0.20% per annum.”</w:t>
      </w:r>
    </w:p>
    <w:p>
      <w:pPr>
        <w:ind w:left="340" w:hanging="178"/>
        <w:spacing w:after="0"/>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definition of “Commitment Termination Date” in Section 1.01 of the Agreement is amended and restated in full as follows:</w:t>
      </w:r>
    </w:p>
    <w:p>
      <w:pPr>
        <w:spacing w:after="0" w:line="86" w:lineRule="exact"/>
        <w:rPr>
          <w:sz w:val="20"/>
          <w:szCs w:val="20"/>
          <w:color w:val="auto"/>
        </w:rPr>
      </w:pPr>
    </w:p>
    <w:p>
      <w:pPr>
        <w:ind w:left="460" w:right="80"/>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 Termination Date</w:t>
      </w:r>
      <w:r>
        <w:rPr>
          <w:rFonts w:ascii="Arial" w:cs="Arial" w:eastAsia="Arial" w:hAnsi="Arial"/>
          <w:sz w:val="13"/>
          <w:szCs w:val="13"/>
          <w:color w:val="auto"/>
        </w:rPr>
        <w:t xml:space="preserve">’ means the day 364 days after December 4, 2010 or, in the event that the Commitment is extended pursuant to Section 2.04(d), the date to which the Commitment is extended; </w:t>
      </w:r>
      <w:r>
        <w:rPr>
          <w:rFonts w:ascii="Arial" w:cs="Arial" w:eastAsia="Arial" w:hAnsi="Arial"/>
          <w:sz w:val="13"/>
          <w:szCs w:val="13"/>
          <w:u w:val="single" w:color="auto"/>
          <w:color w:val="auto"/>
        </w:rPr>
        <w:t>provided</w:t>
      </w:r>
      <w:r>
        <w:rPr>
          <w:rFonts w:ascii="Arial" w:cs="Arial" w:eastAsia="Arial" w:hAnsi="Arial"/>
          <w:sz w:val="13"/>
          <w:szCs w:val="13"/>
          <w:color w:val="auto"/>
        </w:rPr>
        <w:t>, that if such day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M&amp;T Bank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 No. 4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77" w:name="page178"/>
    <w:bookmarkEnd w:id="177"/>
    <w:p>
      <w:pPr>
        <w:jc w:val="center"/>
        <w:ind w:right="-59"/>
        <w:spacing w:after="0"/>
        <w:rPr>
          <w:sz w:val="20"/>
          <w:szCs w:val="20"/>
          <w:color w:val="auto"/>
        </w:rPr>
      </w:pPr>
      <w:r>
        <w:rPr>
          <w:rFonts w:ascii="Arial" w:cs="Arial" w:eastAsia="Arial" w:hAnsi="Arial"/>
          <w:sz w:val="13"/>
          <w:szCs w:val="13"/>
          <w:color w:val="auto"/>
        </w:rPr>
        <w:t>2</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is not a Business Day, the Commitment Termination Date shall be the immediately preceding Business Day.”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 The definition of “Applicable Margin” in Section 1.01 of the Agreement is amended and restated in full as follows: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Margin</w:t>
      </w:r>
      <w:r>
        <w:rPr>
          <w:rFonts w:ascii="Arial" w:cs="Arial" w:eastAsia="Arial" w:hAnsi="Arial"/>
          <w:sz w:val="13"/>
          <w:szCs w:val="13"/>
          <w:color w:val="auto"/>
        </w:rPr>
        <w:t>’ means (a) with respect to Base Rate Advances, 1.25% per annum and (b) with respect to LIBO Rate Advances, 1.50% per annum.”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Representations True; No Default</w:t>
      </w:r>
      <w:r>
        <w:rPr>
          <w:rFonts w:ascii="Arial" w:cs="Arial" w:eastAsia="Arial" w:hAnsi="Arial"/>
          <w:sz w:val="13"/>
          <w:szCs w:val="13"/>
          <w:color w:val="auto"/>
        </w:rPr>
        <w:t>. On and as of the date hereof and on and as of the Effective Date, the Borrower represents and warrants to the Lender that:</w:t>
      </w:r>
    </w:p>
    <w:p>
      <w:pPr>
        <w:spacing w:after="0" w:line="86" w:lineRule="exact"/>
        <w:rPr>
          <w:sz w:val="20"/>
          <w:szCs w:val="20"/>
          <w:color w:val="auto"/>
        </w:rPr>
      </w:pPr>
    </w:p>
    <w:p>
      <w:pPr>
        <w:ind w:left="340" w:hanging="178"/>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representations and warranties contained in Article IV of the Agreement are correct on and as of the date of this Amendment as though made on and as of such date;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the execution and delivery of this Amendment, which constitutes a Default.</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Legal Obligation</w:t>
      </w:r>
      <w:r>
        <w:rPr>
          <w:rFonts w:ascii="Arial" w:cs="Arial" w:eastAsia="Arial" w:hAnsi="Arial"/>
          <w:sz w:val="13"/>
          <w:szCs w:val="13"/>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Ratification</w:t>
      </w:r>
      <w:r>
        <w:rPr>
          <w:rFonts w:ascii="Arial" w:cs="Arial" w:eastAsia="Arial" w:hAnsi="Arial"/>
          <w:sz w:val="13"/>
          <w:szCs w:val="13"/>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Conditions Precedent</w:t>
      </w:r>
      <w:r>
        <w:rPr>
          <w:rFonts w:ascii="Arial" w:cs="Arial" w:eastAsia="Arial" w:hAnsi="Arial"/>
          <w:sz w:val="13"/>
          <w:szCs w:val="13"/>
          <w:color w:val="auto"/>
        </w:rPr>
        <w:t>. The amendments to the Agreement set forth in Section 2 hereof will become effective on and as of the first date on which the Lender has received the following, each in form and substance satisfactory to the Lender (the “</w:t>
      </w:r>
      <w:r>
        <w:rPr>
          <w:rFonts w:ascii="Arial" w:cs="Arial" w:eastAsia="Arial" w:hAnsi="Arial"/>
          <w:sz w:val="13"/>
          <w:szCs w:val="13"/>
          <w:u w:val="single" w:color="auto"/>
          <w:color w:val="auto"/>
        </w:rPr>
        <w:t>Effective Date</w:t>
      </w:r>
      <w:r>
        <w:rPr>
          <w:rFonts w:ascii="Arial" w:cs="Arial" w:eastAsia="Arial" w:hAnsi="Arial"/>
          <w:sz w:val="13"/>
          <w:szCs w:val="13"/>
          <w:color w:val="auto"/>
        </w:rPr>
        <w:t>”):</w:t>
      </w:r>
    </w:p>
    <w:p>
      <w:pPr>
        <w:spacing w:after="0" w:line="49" w:lineRule="exact"/>
        <w:rPr>
          <w:sz w:val="20"/>
          <w:szCs w:val="20"/>
          <w:color w:val="auto"/>
        </w:rPr>
      </w:pPr>
    </w:p>
    <w:p>
      <w:pPr>
        <w:ind w:left="340" w:hanging="178"/>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counterpart of this Agreement duly executed by the Lender and the Borrower;</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certified copies of all documents evidencing necessary corporate action and governmental and other third party approvals, if any, with respect to this Amendment;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favorable written opinion of the Deputy General Counsel of the Borrower, covering such matters relating to this Amendment as the Lender may require;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M&amp;T Bank Corporation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Amendment No. 4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3"/>
          <w:szCs w:val="13"/>
          <w:color w:val="auto"/>
        </w:rPr>
        <w:t>3</w:t>
      </w:r>
    </w:p>
    <w:p>
      <w:pPr>
        <w:spacing w:after="0" w:line="145" w:lineRule="exact"/>
        <w:rPr>
          <w:sz w:val="20"/>
          <w:szCs w:val="20"/>
          <w:color w:val="auto"/>
        </w:rPr>
      </w:pPr>
    </w:p>
    <w:p>
      <w:pPr>
        <w:ind w:left="300" w:hanging="178"/>
        <w:spacing w:after="0"/>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certificate of the Borrower’s Corporate Secretary or Assistant Secretary certifying the names and true signatures of the Borrower’s officers authorized to sign this Amendment; and</w:t>
      </w:r>
    </w:p>
    <w:p>
      <w:pPr>
        <w:spacing w:after="0" w:line="86" w:lineRule="exact"/>
        <w:rPr>
          <w:rFonts w:ascii="Arial" w:cs="Arial" w:eastAsia="Arial" w:hAnsi="Arial"/>
          <w:sz w:val="13"/>
          <w:szCs w:val="13"/>
          <w:color w:val="auto"/>
        </w:rPr>
      </w:pPr>
    </w:p>
    <w:p>
      <w:pPr>
        <w:ind w:left="-40" w:right="240" w:firstLine="162"/>
        <w:spacing w:after="0" w:line="276" w:lineRule="auto"/>
        <w:tabs>
          <w:tab w:leader="none" w:pos="302" w:val="left"/>
        </w:tabs>
        <w:numPr>
          <w:ilvl w:val="0"/>
          <w:numId w:val="76"/>
        </w:numPr>
        <w:rPr>
          <w:rFonts w:ascii="Arial" w:cs="Arial" w:eastAsia="Arial" w:hAnsi="Arial"/>
          <w:sz w:val="13"/>
          <w:szCs w:val="13"/>
          <w:color w:val="auto"/>
        </w:rPr>
      </w:pPr>
      <w:r>
        <w:rPr>
          <w:rFonts w:ascii="Arial" w:cs="Arial" w:eastAsia="Arial" w:hAnsi="Arial"/>
          <w:sz w:val="13"/>
          <w:szCs w:val="13"/>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left="300" w:hanging="178"/>
        <w:spacing w:after="0"/>
        <w:tabs>
          <w:tab w:leader="none" w:pos="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Agreement and this Amendment shall be read, taken and construed as one and the same instrument.</w:t>
      </w:r>
    </w:p>
    <w:p>
      <w:pPr>
        <w:spacing w:after="0" w:line="86" w:lineRule="exact"/>
        <w:rPr>
          <w:rFonts w:ascii="Arial" w:cs="Arial" w:eastAsia="Arial" w:hAnsi="Arial"/>
          <w:sz w:val="13"/>
          <w:szCs w:val="13"/>
          <w:color w:val="auto"/>
        </w:rPr>
      </w:pPr>
    </w:p>
    <w:p>
      <w:pPr>
        <w:ind w:left="300" w:hanging="178"/>
        <w:spacing w:after="0"/>
        <w:tabs>
          <w:tab w:leader="none" w:pos="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This Amendment shall be governed by, and construed in accordance with, the law of the State of New York.</w:t>
      </w:r>
    </w:p>
    <w:p>
      <w:pPr>
        <w:spacing w:after="0" w:line="86" w:lineRule="exact"/>
        <w:rPr>
          <w:rFonts w:ascii="Arial" w:cs="Arial" w:eastAsia="Arial" w:hAnsi="Arial"/>
          <w:sz w:val="13"/>
          <w:szCs w:val="13"/>
          <w:color w:val="auto"/>
        </w:rPr>
      </w:pPr>
    </w:p>
    <w:p>
      <w:pPr>
        <w:ind w:left="-40" w:right="240" w:firstLine="162"/>
        <w:spacing w:after="0" w:line="276" w:lineRule="auto"/>
        <w:tabs>
          <w:tab w:leader="none" w:pos="295" w:val="left"/>
        </w:tabs>
        <w:numPr>
          <w:ilvl w:val="0"/>
          <w:numId w:val="77"/>
        </w:numPr>
        <w:rPr>
          <w:rFonts w:ascii="Arial" w:cs="Arial" w:eastAsia="Arial" w:hAnsi="Arial"/>
          <w:sz w:val="13"/>
          <w:szCs w:val="13"/>
          <w:color w:val="auto"/>
        </w:rPr>
      </w:pPr>
      <w:r>
        <w:rPr>
          <w:rFonts w:ascii="Arial" w:cs="Arial" w:eastAsia="Arial" w:hAnsi="Arial"/>
          <w:sz w:val="13"/>
          <w:szCs w:val="13"/>
          <w:color w:val="auto"/>
        </w:rPr>
        <w:t>Any reference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49" w:lineRule="exact"/>
        <w:rPr>
          <w:rFonts w:ascii="Arial" w:cs="Arial" w:eastAsia="Arial" w:hAnsi="Arial"/>
          <w:sz w:val="13"/>
          <w:szCs w:val="13"/>
          <w:color w:val="auto"/>
        </w:rPr>
      </w:pPr>
    </w:p>
    <w:p>
      <w:pPr>
        <w:ind w:left="-40" w:firstLine="162"/>
        <w:spacing w:after="0" w:line="276" w:lineRule="auto"/>
        <w:tabs>
          <w:tab w:leader="none" w:pos="307"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This Amendment may be executed in any number of counterparts and by different parties hereto in separate counterparts, each of which when so executed shall be deemed an original and all of which when taken together shall constitute one and the same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page intentionally left blank.]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M&amp;T Bank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 No. 4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102235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1" w:right="259" w:bottom="1440" w:gutter="0" w:footer="0" w:header="0"/>
        </w:sectPr>
      </w:pPr>
    </w:p>
    <w:bookmarkStart w:id="179" w:name="page180"/>
    <w:bookmarkEnd w:id="179"/>
    <w:p>
      <w:pPr>
        <w:spacing w:after="0"/>
        <w:rPr>
          <w:sz w:val="20"/>
          <w:szCs w:val="20"/>
          <w:color w:val="auto"/>
        </w:rPr>
      </w:pPr>
      <w:r>
        <w:rPr>
          <w:rFonts w:ascii="Arial" w:cs="Arial" w:eastAsia="Arial" w:hAnsi="Arial"/>
          <w:sz w:val="11"/>
          <w:szCs w:val="11"/>
          <w:color w:val="auto"/>
        </w:rPr>
        <w:t>IN WITNESS WHEREOF, the parties hereto have caused this Amendment to be executed by their respective officers thereunto duly authorized, as of the date first written above.</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M&amp;T BANK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Darlene A.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Darlene A. Spychala</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Administrative Vice President</w:t>
      </w:r>
    </w:p>
    <w:p>
      <w:pPr>
        <w:spacing w:after="0" w:line="315"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M&amp;T Bank Corporation</w:t>
      </w:r>
    </w:p>
    <w:p>
      <w:pPr>
        <w:spacing w:after="0" w:line="15" w:lineRule="exact"/>
        <w:rPr>
          <w:sz w:val="20"/>
          <w:szCs w:val="20"/>
          <w:color w:val="auto"/>
        </w:rPr>
      </w:pPr>
    </w:p>
    <w:p>
      <w:pPr>
        <w:jc w:val="center"/>
        <w:ind w:right="-1060"/>
        <w:spacing w:after="0"/>
        <w:rPr>
          <w:sz w:val="20"/>
          <w:szCs w:val="20"/>
          <w:color w:val="auto"/>
        </w:rPr>
      </w:pPr>
      <w:r>
        <w:rPr>
          <w:rFonts w:ascii="Arial" w:cs="Arial" w:eastAsia="Arial" w:hAnsi="Arial"/>
          <w:sz w:val="13"/>
          <w:szCs w:val="13"/>
          <w:color w:val="auto"/>
        </w:rPr>
        <w:t>Amendment No. 4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180" w:name="page181"/>
    <w:bookmarkEnd w:id="180"/>
    <w:p>
      <w:pPr>
        <w:ind w:left="4040"/>
        <w:spacing w:after="0"/>
        <w:rPr>
          <w:sz w:val="20"/>
          <w:szCs w:val="20"/>
          <w:color w:val="auto"/>
        </w:rPr>
      </w:pPr>
      <w:r>
        <w:rPr>
          <w:rFonts w:ascii="Arial" w:cs="Arial" w:eastAsia="Arial" w:hAnsi="Arial"/>
          <w:sz w:val="13"/>
          <w:szCs w:val="13"/>
          <w:color w:val="auto"/>
        </w:rPr>
        <w:t>CITIBANK, N.A.</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Robert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2"/>
          <w:szCs w:val="12"/>
          <w:color w:val="auto"/>
        </w:rPr>
        <w:t>Name: Robert B. Goldstein</w:t>
      </w:r>
    </w:p>
    <w:p>
      <w:pPr>
        <w:spacing w:after="0" w:line="27"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Title:</w:t>
        <w:tab/>
        <w:t>Managing Director</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M&amp;T Bank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Amendment No. 4 to Credit Agreement</w:t>
      </w:r>
    </w:p>
    <w:p>
      <w:pPr>
        <w:sectPr>
          <w:pgSz w:w="11900" w:h="16838" w:orient="portrait"/>
          <w:cols w:equalWidth="0" w:num="1">
            <w:col w:w="9019"/>
          </w:cols>
          <w:pgMar w:left="1440" w:top="878" w:right="1440" w:bottom="1440" w:gutter="0" w:footer="0" w:header="0"/>
        </w:sectPr>
      </w:pPr>
    </w:p>
    <w:bookmarkStart w:id="181" w:name="page182"/>
    <w:bookmarkEnd w:id="181"/>
    <w:tbl>
      <w:tblPr>
        <w:tblLayout w:type="fixed"/>
        <w:tblInd w:w="1"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EXHIBIT 12.1</w:t>
            </w:r>
          </w:p>
        </w:tc>
        <w:tc>
          <w:tcPr>
            <w:tcW w:w="0" w:type="dxa"/>
            <w:vAlign w:val="bottom"/>
          </w:tcPr>
          <w:p>
            <w:pPr>
              <w:spacing w:after="0"/>
              <w:rPr>
                <w:sz w:val="1"/>
                <w:szCs w:val="1"/>
                <w:color w:val="auto"/>
              </w:rPr>
            </w:pPr>
          </w:p>
        </w:tc>
      </w:tr>
      <w:tr>
        <w:trPr>
          <w:trHeight w:val="315"/>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M&amp;T BANK CORPORATION AND SUBSIDIARIES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w w:val="99"/>
              </w:rPr>
              <w:t>Computations of Consolidated Ratios of Earnings to Fixed Charges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Year Ended December 31</w:t>
            </w:r>
          </w:p>
        </w:tc>
        <w:tc>
          <w:tcPr>
            <w:tcW w:w="1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jc w:val="right"/>
              <w:ind w:right="376"/>
              <w:spacing w:after="0" w:line="98" w:lineRule="exact"/>
              <w:rPr>
                <w:sz w:val="20"/>
                <w:szCs w:val="20"/>
                <w:color w:val="auto"/>
              </w:rPr>
            </w:pPr>
            <w:r>
              <w:rPr>
                <w:rFonts w:ascii="Arial" w:cs="Arial" w:eastAsia="Arial" w:hAnsi="Arial"/>
                <w:sz w:val="10"/>
                <w:szCs w:val="10"/>
                <w:b w:val="1"/>
                <w:bCs w:val="1"/>
                <w:color w:val="auto"/>
              </w:rPr>
              <w:t>2010</w:t>
            </w:r>
          </w:p>
        </w:tc>
        <w:tc>
          <w:tcPr>
            <w:tcW w:w="1540" w:type="dxa"/>
            <w:vAlign w:val="bottom"/>
            <w:gridSpan w:val="2"/>
          </w:tcPr>
          <w:p>
            <w:pPr>
              <w:jc w:val="right"/>
              <w:ind w:right="440"/>
              <w:spacing w:after="0" w:line="98" w:lineRule="exact"/>
              <w:rPr>
                <w:sz w:val="20"/>
                <w:szCs w:val="20"/>
                <w:color w:val="auto"/>
              </w:rPr>
            </w:pPr>
            <w:r>
              <w:rPr>
                <w:rFonts w:ascii="Arial" w:cs="Arial" w:eastAsia="Arial" w:hAnsi="Arial"/>
                <w:sz w:val="10"/>
                <w:szCs w:val="10"/>
                <w:b w:val="1"/>
                <w:bCs w:val="1"/>
                <w:color w:val="auto"/>
              </w:rPr>
              <w:t>2009</w:t>
            </w:r>
          </w:p>
        </w:tc>
        <w:tc>
          <w:tcPr>
            <w:tcW w:w="1540" w:type="dxa"/>
            <w:vAlign w:val="bottom"/>
            <w:gridSpan w:val="2"/>
          </w:tcPr>
          <w:p>
            <w:pPr>
              <w:jc w:val="right"/>
              <w:ind w:right="388"/>
              <w:spacing w:after="0" w:line="98" w:lineRule="exact"/>
              <w:rPr>
                <w:sz w:val="20"/>
                <w:szCs w:val="20"/>
                <w:color w:val="auto"/>
              </w:rPr>
            </w:pPr>
            <w:r>
              <w:rPr>
                <w:rFonts w:ascii="Arial" w:cs="Arial" w:eastAsia="Arial" w:hAnsi="Arial"/>
                <w:sz w:val="10"/>
                <w:szCs w:val="10"/>
                <w:b w:val="1"/>
                <w:bCs w:val="1"/>
                <w:color w:val="auto"/>
              </w:rPr>
              <w:t>2008</w:t>
            </w:r>
          </w:p>
        </w:tc>
        <w:tc>
          <w:tcPr>
            <w:tcW w:w="440" w:type="dxa"/>
            <w:vAlign w:val="bottom"/>
          </w:tcPr>
          <w:p>
            <w:pPr>
              <w:spacing w:after="0"/>
              <w:rPr>
                <w:sz w:val="8"/>
                <w:szCs w:val="8"/>
                <w:color w:val="auto"/>
              </w:rPr>
            </w:pPr>
          </w:p>
        </w:tc>
        <w:tc>
          <w:tcPr>
            <w:tcW w:w="1100" w:type="dxa"/>
            <w:vAlign w:val="bottom"/>
          </w:tcPr>
          <w:p>
            <w:pPr>
              <w:jc w:val="right"/>
              <w:ind w:right="375"/>
              <w:spacing w:after="0" w:line="98" w:lineRule="exact"/>
              <w:rPr>
                <w:sz w:val="20"/>
                <w:szCs w:val="20"/>
                <w:color w:val="auto"/>
              </w:rPr>
            </w:pPr>
            <w:r>
              <w:rPr>
                <w:rFonts w:ascii="Arial" w:cs="Arial" w:eastAsia="Arial" w:hAnsi="Arial"/>
                <w:sz w:val="10"/>
                <w:szCs w:val="10"/>
                <w:b w:val="1"/>
                <w:bCs w:val="1"/>
                <w:color w:val="auto"/>
              </w:rPr>
              <w:t>2007</w:t>
            </w:r>
          </w:p>
        </w:tc>
        <w:tc>
          <w:tcPr>
            <w:tcW w:w="1560" w:type="dxa"/>
            <w:vAlign w:val="bottom"/>
            <w:gridSpan w:val="2"/>
          </w:tcPr>
          <w:p>
            <w:pPr>
              <w:jc w:val="right"/>
              <w:ind w:right="374"/>
              <w:spacing w:after="0" w:line="98" w:lineRule="exact"/>
              <w:rPr>
                <w:sz w:val="20"/>
                <w:szCs w:val="20"/>
                <w:color w:val="auto"/>
              </w:rPr>
            </w:pPr>
            <w:r>
              <w:rPr>
                <w:rFonts w:ascii="Arial" w:cs="Arial" w:eastAsia="Arial" w:hAnsi="Arial"/>
                <w:sz w:val="10"/>
                <w:szCs w:val="10"/>
                <w:b w:val="1"/>
                <w:bCs w:val="1"/>
                <w:color w:val="auto"/>
              </w:rPr>
              <w:t>2006</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(Dollars in thousands)</w:t>
            </w:r>
          </w:p>
        </w:tc>
        <w:tc>
          <w:tcPr>
            <w:tcW w:w="44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Excluding interest on deposits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4180" w:type="dxa"/>
            <w:vAlign w:val="bottom"/>
            <w:gridSpan w:val="2"/>
          </w:tcPr>
          <w:p>
            <w:pPr>
              <w:spacing w:after="0"/>
              <w:rPr>
                <w:sz w:val="20"/>
                <w:szCs w:val="20"/>
                <w:color w:val="auto"/>
              </w:rPr>
            </w:pPr>
            <w:r>
              <w:rPr>
                <w:rFonts w:ascii="Arial" w:cs="Arial" w:eastAsia="Arial" w:hAnsi="Arial"/>
                <w:sz w:val="13"/>
                <w:szCs w:val="13"/>
                <w:color w:val="auto"/>
              </w:rPr>
              <w:t>Fixed charges: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 (excluding interest on deposits)</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7"/>
              </w:rPr>
              <w:t>274,584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347,166</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671,946</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735,257</w:t>
            </w:r>
          </w:p>
        </w:tc>
        <w:tc>
          <w:tcPr>
            <w:tcW w:w="15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561,686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Interest factor within rent expense (a)</w:t>
            </w:r>
          </w:p>
        </w:tc>
        <w:tc>
          <w:tcPr>
            <w:tcW w:w="3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Arial" w:cs="Arial" w:eastAsia="Arial" w:hAnsi="Arial"/>
                <w:sz w:val="13"/>
                <w:szCs w:val="13"/>
                <w:color w:val="auto"/>
              </w:rPr>
              <w:t>31,565</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29,670</w:t>
            </w:r>
          </w:p>
        </w:tc>
        <w:tc>
          <w:tcPr>
            <w:tcW w:w="1540" w:type="dxa"/>
            <w:vAlign w:val="bottom"/>
            <w:gridSpan w:val="2"/>
          </w:tcPr>
          <w:p>
            <w:pPr>
              <w:jc w:val="right"/>
              <w:ind w:right="248"/>
              <w:spacing w:after="0"/>
              <w:rPr>
                <w:sz w:val="20"/>
                <w:szCs w:val="20"/>
                <w:color w:val="auto"/>
              </w:rPr>
            </w:pPr>
            <w:r>
              <w:rPr>
                <w:rFonts w:ascii="Arial" w:cs="Arial" w:eastAsia="Arial" w:hAnsi="Arial"/>
                <w:sz w:val="13"/>
                <w:szCs w:val="13"/>
                <w:color w:val="auto"/>
              </w:rPr>
              <w:t>24,618</w:t>
            </w:r>
          </w:p>
        </w:tc>
        <w:tc>
          <w:tcPr>
            <w:tcW w:w="44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21,608</w:t>
            </w:r>
          </w:p>
        </w:tc>
        <w:tc>
          <w:tcPr>
            <w:tcW w:w="1560" w:type="dxa"/>
            <w:vAlign w:val="bottom"/>
            <w:gridSpan w:val="2"/>
          </w:tcPr>
          <w:p>
            <w:pPr>
              <w:jc w:val="right"/>
              <w:ind w:right="214"/>
              <w:spacing w:after="0"/>
              <w:rPr>
                <w:sz w:val="20"/>
                <w:szCs w:val="20"/>
                <w:color w:val="auto"/>
              </w:rPr>
            </w:pPr>
            <w:r>
              <w:rPr>
                <w:rFonts w:ascii="Arial" w:cs="Arial" w:eastAsia="Arial" w:hAnsi="Arial"/>
                <w:sz w:val="13"/>
                <w:szCs w:val="13"/>
                <w:color w:val="auto"/>
              </w:rPr>
              <w:t>20,135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97"/>
              </w:rPr>
              <w:t>306,149</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376,836</w:t>
            </w:r>
          </w:p>
        </w:tc>
        <w:tc>
          <w:tcPr>
            <w:tcW w:w="154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696,564</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rPr>
              <w:t>756,865</w:t>
            </w:r>
          </w:p>
        </w:tc>
        <w:tc>
          <w:tcPr>
            <w:tcW w:w="1560" w:type="dxa"/>
            <w:vAlign w:val="bottom"/>
            <w:tcBorders>
              <w:bottom w:val="single" w:sz="8" w:color="auto"/>
            </w:tcBorders>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581,821</w:t>
            </w:r>
          </w:p>
        </w:tc>
        <w:tc>
          <w:tcPr>
            <w:tcW w:w="0" w:type="dxa"/>
            <w:vAlign w:val="bottom"/>
          </w:tcPr>
          <w:p>
            <w:pPr>
              <w:spacing w:after="0"/>
              <w:rPr>
                <w:sz w:val="1"/>
                <w:szCs w:val="1"/>
                <w:color w:val="auto"/>
              </w:rPr>
            </w:pPr>
          </w:p>
        </w:tc>
      </w:tr>
      <w:tr>
        <w:trPr>
          <w:trHeight w:val="324"/>
        </w:trPr>
        <w:tc>
          <w:tcPr>
            <w:tcW w:w="4180" w:type="dxa"/>
            <w:vAlign w:val="bottom"/>
            <w:gridSpan w:val="2"/>
          </w:tcPr>
          <w:p>
            <w:pPr>
              <w:spacing w:after="0"/>
              <w:rPr>
                <w:sz w:val="20"/>
                <w:szCs w:val="20"/>
                <w:color w:val="auto"/>
              </w:rPr>
            </w:pPr>
            <w:r>
              <w:rPr>
                <w:rFonts w:ascii="Arial" w:cs="Arial" w:eastAsia="Arial" w:hAnsi="Arial"/>
                <w:sz w:val="13"/>
                <w:szCs w:val="13"/>
                <w:color w:val="auto"/>
              </w:rPr>
              <w:t>Earnings: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before income taxes</w:t>
            </w:r>
          </w:p>
        </w:tc>
        <w:tc>
          <w:tcPr>
            <w:tcW w:w="110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$1,092,789</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519,291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739,779</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963,537</w:t>
            </w:r>
          </w:p>
        </w:tc>
        <w:tc>
          <w:tcPr>
            <w:tcW w:w="15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1,231,642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Fixed charges</w:t>
            </w:r>
          </w:p>
        </w:tc>
        <w:tc>
          <w:tcPr>
            <w:tcW w:w="3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Arial" w:cs="Arial" w:eastAsia="Arial" w:hAnsi="Arial"/>
                <w:sz w:val="13"/>
                <w:szCs w:val="13"/>
                <w:color w:val="auto"/>
                <w:w w:val="97"/>
              </w:rPr>
              <w:t>306,149</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376,836</w:t>
            </w:r>
          </w:p>
        </w:tc>
        <w:tc>
          <w:tcPr>
            <w:tcW w:w="1540" w:type="dxa"/>
            <w:vAlign w:val="bottom"/>
            <w:gridSpan w:val="2"/>
          </w:tcPr>
          <w:p>
            <w:pPr>
              <w:jc w:val="right"/>
              <w:ind w:right="248"/>
              <w:spacing w:after="0"/>
              <w:rPr>
                <w:sz w:val="20"/>
                <w:szCs w:val="20"/>
                <w:color w:val="auto"/>
              </w:rPr>
            </w:pPr>
            <w:r>
              <w:rPr>
                <w:rFonts w:ascii="Arial" w:cs="Arial" w:eastAsia="Arial" w:hAnsi="Arial"/>
                <w:sz w:val="13"/>
                <w:szCs w:val="13"/>
                <w:color w:val="auto"/>
              </w:rPr>
              <w:t>696,564</w:t>
            </w:r>
          </w:p>
        </w:tc>
        <w:tc>
          <w:tcPr>
            <w:tcW w:w="44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756,865</w:t>
            </w:r>
          </w:p>
        </w:tc>
        <w:tc>
          <w:tcPr>
            <w:tcW w:w="1560" w:type="dxa"/>
            <w:vAlign w:val="bottom"/>
            <w:gridSpan w:val="2"/>
          </w:tcPr>
          <w:p>
            <w:pPr>
              <w:jc w:val="right"/>
              <w:ind w:right="214"/>
              <w:spacing w:after="0"/>
              <w:rPr>
                <w:sz w:val="20"/>
                <w:szCs w:val="20"/>
                <w:color w:val="auto"/>
              </w:rPr>
            </w:pPr>
            <w:r>
              <w:rPr>
                <w:rFonts w:ascii="Arial" w:cs="Arial" w:eastAsia="Arial" w:hAnsi="Arial"/>
                <w:sz w:val="13"/>
                <w:szCs w:val="13"/>
                <w:color w:val="auto"/>
              </w:rPr>
              <w:t>581,821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0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110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$1,398,938</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896,127</w:t>
            </w:r>
          </w:p>
        </w:tc>
        <w:tc>
          <w:tcPr>
            <w:tcW w:w="154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1,436,343</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rPr>
              <w:t>1,720,402</w:t>
            </w:r>
          </w:p>
        </w:tc>
        <w:tc>
          <w:tcPr>
            <w:tcW w:w="1560" w:type="dxa"/>
            <w:vAlign w:val="bottom"/>
            <w:tcBorders>
              <w:bottom w:val="single" w:sz="8" w:color="auto"/>
            </w:tcBorders>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1,813,463</w:t>
            </w:r>
          </w:p>
        </w:tc>
        <w:tc>
          <w:tcPr>
            <w:tcW w:w="0" w:type="dxa"/>
            <w:vAlign w:val="bottom"/>
          </w:tcPr>
          <w:p>
            <w:pPr>
              <w:spacing w:after="0"/>
              <w:rPr>
                <w:sz w:val="1"/>
                <w:szCs w:val="1"/>
                <w:color w:val="auto"/>
              </w:rPr>
            </w:pPr>
          </w:p>
        </w:tc>
      </w:tr>
      <w:tr>
        <w:trPr>
          <w:trHeight w:val="334"/>
        </w:trPr>
        <w:tc>
          <w:tcPr>
            <w:tcW w:w="4180" w:type="dxa"/>
            <w:vAlign w:val="bottom"/>
            <w:gridSpan w:val="2"/>
          </w:tcPr>
          <w:p>
            <w:pPr>
              <w:spacing w:after="0"/>
              <w:rPr>
                <w:sz w:val="20"/>
                <w:szCs w:val="20"/>
                <w:color w:val="auto"/>
              </w:rPr>
            </w:pPr>
            <w:r>
              <w:rPr>
                <w:rFonts w:ascii="Arial" w:cs="Arial" w:eastAsia="Arial" w:hAnsi="Arial"/>
                <w:sz w:val="13"/>
                <w:szCs w:val="13"/>
                <w:color w:val="auto"/>
              </w:rPr>
              <w:t>Ratio of earnings to fixed charges, excluding interest on deposits</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x</w:t>
            </w: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4.57</w:t>
            </w:r>
          </w:p>
        </w:tc>
        <w:tc>
          <w:tcPr>
            <w:tcW w:w="1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2.38</w:t>
            </w:r>
          </w:p>
        </w:tc>
        <w:tc>
          <w:tcPr>
            <w:tcW w:w="15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3"/>
                <w:szCs w:val="13"/>
                <w:color w:val="auto"/>
              </w:rPr>
              <w:t>2.06</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2.27</w:t>
            </w:r>
          </w:p>
        </w:tc>
        <w:tc>
          <w:tcPr>
            <w:tcW w:w="156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Including interest on deposits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4180" w:type="dxa"/>
            <w:vAlign w:val="bottom"/>
            <w:gridSpan w:val="2"/>
          </w:tcPr>
          <w:p>
            <w:pPr>
              <w:spacing w:after="0"/>
              <w:rPr>
                <w:sz w:val="20"/>
                <w:szCs w:val="20"/>
                <w:color w:val="auto"/>
              </w:rPr>
            </w:pPr>
            <w:r>
              <w:rPr>
                <w:rFonts w:ascii="Arial" w:cs="Arial" w:eastAsia="Arial" w:hAnsi="Arial"/>
                <w:sz w:val="13"/>
                <w:szCs w:val="13"/>
                <w:color w:val="auto"/>
              </w:rPr>
              <w:t>Fixed charges: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97"/>
              </w:rPr>
              <w:t>462,269</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669,449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1,337,795</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1,694,576</w:t>
            </w:r>
          </w:p>
        </w:tc>
        <w:tc>
          <w:tcPr>
            <w:tcW w:w="15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1,496,552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Interest factor within rent expense (a)</w:t>
            </w:r>
          </w:p>
        </w:tc>
        <w:tc>
          <w:tcPr>
            <w:tcW w:w="3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Arial" w:cs="Arial" w:eastAsia="Arial" w:hAnsi="Arial"/>
                <w:sz w:val="13"/>
                <w:szCs w:val="13"/>
                <w:color w:val="auto"/>
              </w:rPr>
              <w:t>31,565</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29,670</w:t>
            </w:r>
          </w:p>
        </w:tc>
        <w:tc>
          <w:tcPr>
            <w:tcW w:w="1540" w:type="dxa"/>
            <w:vAlign w:val="bottom"/>
            <w:gridSpan w:val="2"/>
          </w:tcPr>
          <w:p>
            <w:pPr>
              <w:jc w:val="right"/>
              <w:ind w:right="248"/>
              <w:spacing w:after="0"/>
              <w:rPr>
                <w:sz w:val="20"/>
                <w:szCs w:val="20"/>
                <w:color w:val="auto"/>
              </w:rPr>
            </w:pPr>
            <w:r>
              <w:rPr>
                <w:rFonts w:ascii="Arial" w:cs="Arial" w:eastAsia="Arial" w:hAnsi="Arial"/>
                <w:sz w:val="13"/>
                <w:szCs w:val="13"/>
                <w:color w:val="auto"/>
              </w:rPr>
              <w:t>24,618</w:t>
            </w:r>
          </w:p>
        </w:tc>
        <w:tc>
          <w:tcPr>
            <w:tcW w:w="44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21,608</w:t>
            </w:r>
          </w:p>
        </w:tc>
        <w:tc>
          <w:tcPr>
            <w:tcW w:w="1560" w:type="dxa"/>
            <w:vAlign w:val="bottom"/>
            <w:gridSpan w:val="2"/>
          </w:tcPr>
          <w:p>
            <w:pPr>
              <w:jc w:val="right"/>
              <w:ind w:right="214"/>
              <w:spacing w:after="0"/>
              <w:rPr>
                <w:sz w:val="20"/>
                <w:szCs w:val="20"/>
                <w:color w:val="auto"/>
              </w:rPr>
            </w:pPr>
            <w:r>
              <w:rPr>
                <w:rFonts w:ascii="Arial" w:cs="Arial" w:eastAsia="Arial" w:hAnsi="Arial"/>
                <w:sz w:val="13"/>
                <w:szCs w:val="13"/>
                <w:color w:val="auto"/>
              </w:rPr>
              <w:t>20,135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97"/>
              </w:rPr>
              <w:t>493,834</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699,119</w:t>
            </w:r>
          </w:p>
        </w:tc>
        <w:tc>
          <w:tcPr>
            <w:tcW w:w="154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1,362,413</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rPr>
              <w:t>1,716,184</w:t>
            </w:r>
          </w:p>
        </w:tc>
        <w:tc>
          <w:tcPr>
            <w:tcW w:w="1560" w:type="dxa"/>
            <w:vAlign w:val="bottom"/>
            <w:tcBorders>
              <w:bottom w:val="single" w:sz="8" w:color="auto"/>
            </w:tcBorders>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1,516,687</w:t>
            </w:r>
          </w:p>
        </w:tc>
        <w:tc>
          <w:tcPr>
            <w:tcW w:w="0" w:type="dxa"/>
            <w:vAlign w:val="bottom"/>
          </w:tcPr>
          <w:p>
            <w:pPr>
              <w:spacing w:after="0"/>
              <w:rPr>
                <w:sz w:val="1"/>
                <w:szCs w:val="1"/>
                <w:color w:val="auto"/>
              </w:rPr>
            </w:pPr>
          </w:p>
        </w:tc>
      </w:tr>
      <w:tr>
        <w:trPr>
          <w:trHeight w:val="324"/>
        </w:trPr>
        <w:tc>
          <w:tcPr>
            <w:tcW w:w="4180" w:type="dxa"/>
            <w:vAlign w:val="bottom"/>
            <w:gridSpan w:val="2"/>
          </w:tcPr>
          <w:p>
            <w:pPr>
              <w:spacing w:after="0"/>
              <w:rPr>
                <w:sz w:val="20"/>
                <w:szCs w:val="20"/>
                <w:color w:val="auto"/>
              </w:rPr>
            </w:pPr>
            <w:r>
              <w:rPr>
                <w:rFonts w:ascii="Arial" w:cs="Arial" w:eastAsia="Arial" w:hAnsi="Arial"/>
                <w:sz w:val="13"/>
                <w:szCs w:val="13"/>
                <w:color w:val="auto"/>
              </w:rPr>
              <w:t>Earnings: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before income taxes</w:t>
            </w:r>
          </w:p>
        </w:tc>
        <w:tc>
          <w:tcPr>
            <w:tcW w:w="110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$1,092,789</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519,291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739,779</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963,537</w:t>
            </w:r>
          </w:p>
        </w:tc>
        <w:tc>
          <w:tcPr>
            <w:tcW w:w="1560" w:type="dxa"/>
            <w:vAlign w:val="bottom"/>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1,231,642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ind w:left="120"/>
              <w:spacing w:after="0"/>
              <w:rPr>
                <w:sz w:val="20"/>
                <w:szCs w:val="20"/>
                <w:color w:val="auto"/>
              </w:rPr>
            </w:pPr>
            <w:r>
              <w:rPr>
                <w:rFonts w:ascii="Arial" w:cs="Arial" w:eastAsia="Arial" w:hAnsi="Arial"/>
                <w:sz w:val="13"/>
                <w:szCs w:val="13"/>
                <w:color w:val="auto"/>
              </w:rPr>
              <w:t>Fixed charges</w:t>
            </w:r>
          </w:p>
        </w:tc>
        <w:tc>
          <w:tcPr>
            <w:tcW w:w="3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Arial" w:cs="Arial" w:eastAsia="Arial" w:hAnsi="Arial"/>
                <w:sz w:val="13"/>
                <w:szCs w:val="13"/>
                <w:color w:val="auto"/>
                <w:w w:val="97"/>
              </w:rPr>
              <w:t>493,834</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699,119</w:t>
            </w:r>
          </w:p>
        </w:tc>
        <w:tc>
          <w:tcPr>
            <w:tcW w:w="1540" w:type="dxa"/>
            <w:vAlign w:val="bottom"/>
            <w:gridSpan w:val="2"/>
          </w:tcPr>
          <w:p>
            <w:pPr>
              <w:jc w:val="right"/>
              <w:ind w:right="248"/>
              <w:spacing w:after="0"/>
              <w:rPr>
                <w:sz w:val="20"/>
                <w:szCs w:val="20"/>
                <w:color w:val="auto"/>
              </w:rPr>
            </w:pPr>
            <w:r>
              <w:rPr>
                <w:rFonts w:ascii="Arial" w:cs="Arial" w:eastAsia="Arial" w:hAnsi="Arial"/>
                <w:sz w:val="13"/>
                <w:szCs w:val="13"/>
                <w:color w:val="auto"/>
              </w:rPr>
              <w:t>1,362,413</w:t>
            </w:r>
          </w:p>
        </w:tc>
        <w:tc>
          <w:tcPr>
            <w:tcW w:w="44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3"/>
                <w:szCs w:val="13"/>
                <w:color w:val="auto"/>
              </w:rPr>
              <w:t>1,716,184</w:t>
            </w:r>
          </w:p>
        </w:tc>
        <w:tc>
          <w:tcPr>
            <w:tcW w:w="1560" w:type="dxa"/>
            <w:vAlign w:val="bottom"/>
            <w:gridSpan w:val="2"/>
          </w:tcPr>
          <w:p>
            <w:pPr>
              <w:jc w:val="right"/>
              <w:ind w:right="214"/>
              <w:spacing w:after="0"/>
              <w:rPr>
                <w:sz w:val="20"/>
                <w:szCs w:val="20"/>
                <w:color w:val="auto"/>
              </w:rPr>
            </w:pPr>
            <w:r>
              <w:rPr>
                <w:rFonts w:ascii="Arial" w:cs="Arial" w:eastAsia="Arial" w:hAnsi="Arial"/>
                <w:sz w:val="13"/>
                <w:szCs w:val="13"/>
                <w:color w:val="auto"/>
              </w:rPr>
              <w:t>1,516,687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0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110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$1,586,623</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1,218,410</w:t>
            </w:r>
          </w:p>
        </w:tc>
        <w:tc>
          <w:tcPr>
            <w:tcW w:w="154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2,102,192</w:t>
            </w: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rPr>
              <w:t>2,679,721</w:t>
            </w:r>
          </w:p>
        </w:tc>
        <w:tc>
          <w:tcPr>
            <w:tcW w:w="1560" w:type="dxa"/>
            <w:vAlign w:val="bottom"/>
            <w:tcBorders>
              <w:bottom w:val="single" w:sz="8" w:color="auto"/>
            </w:tcBorders>
            <w:gridSpan w:val="2"/>
            <w:shd w:val="clear" w:color="auto" w:fill="CCEEFF"/>
          </w:tcPr>
          <w:p>
            <w:pPr>
              <w:jc w:val="right"/>
              <w:ind w:right="214"/>
              <w:spacing w:after="0"/>
              <w:rPr>
                <w:sz w:val="20"/>
                <w:szCs w:val="20"/>
                <w:color w:val="auto"/>
              </w:rPr>
            </w:pPr>
            <w:r>
              <w:rPr>
                <w:rFonts w:ascii="Arial" w:cs="Arial" w:eastAsia="Arial" w:hAnsi="Arial"/>
                <w:sz w:val="13"/>
                <w:szCs w:val="13"/>
                <w:color w:val="auto"/>
              </w:rPr>
              <w:t>2,748,329</w:t>
            </w:r>
          </w:p>
        </w:tc>
        <w:tc>
          <w:tcPr>
            <w:tcW w:w="0" w:type="dxa"/>
            <w:vAlign w:val="bottom"/>
          </w:tcPr>
          <w:p>
            <w:pPr>
              <w:spacing w:after="0"/>
              <w:rPr>
                <w:sz w:val="1"/>
                <w:szCs w:val="1"/>
                <w:color w:val="auto"/>
              </w:rPr>
            </w:pPr>
          </w:p>
        </w:tc>
      </w:tr>
      <w:tr>
        <w:trPr>
          <w:trHeight w:val="334"/>
        </w:trPr>
        <w:tc>
          <w:tcPr>
            <w:tcW w:w="4180" w:type="dxa"/>
            <w:vAlign w:val="bottom"/>
            <w:gridSpan w:val="2"/>
          </w:tcPr>
          <w:p>
            <w:pPr>
              <w:spacing w:after="0"/>
              <w:rPr>
                <w:sz w:val="20"/>
                <w:szCs w:val="20"/>
                <w:color w:val="auto"/>
              </w:rPr>
            </w:pPr>
            <w:r>
              <w:rPr>
                <w:rFonts w:ascii="Arial" w:cs="Arial" w:eastAsia="Arial" w:hAnsi="Arial"/>
                <w:sz w:val="13"/>
                <w:szCs w:val="13"/>
                <w:color w:val="auto"/>
              </w:rPr>
              <w:t>Ratio of earnings to fixed charges, including interest on deposits</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x</w:t>
            </w: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3.21</w:t>
            </w:r>
          </w:p>
        </w:tc>
        <w:tc>
          <w:tcPr>
            <w:tcW w:w="1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1.74</w:t>
            </w:r>
          </w:p>
        </w:tc>
        <w:tc>
          <w:tcPr>
            <w:tcW w:w="15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3"/>
                <w:szCs w:val="13"/>
                <w:color w:val="auto"/>
              </w:rPr>
              <w:t>1.54</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1.56</w:t>
            </w:r>
          </w:p>
        </w:tc>
        <w:tc>
          <w:tcPr>
            <w:tcW w:w="156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hanging="461"/>
        <w:spacing w:after="0"/>
        <w:tabs>
          <w:tab w:leader="none" w:pos="461"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portion of rents shown as representative of the interest factor is one-third of total net operating lease expenses.</w:t>
      </w:r>
    </w:p>
    <w:p>
      <w:pPr>
        <w:sectPr>
          <w:pgSz w:w="11900" w:h="16838" w:orient="portrait"/>
          <w:cols w:equalWidth="0" w:num="1">
            <w:col w:w="11461"/>
          </w:cols>
          <w:pgMar w:left="219" w:top="127" w:right="2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333-57330, 333-63660, 33-12207, 33-58500, 33-63917, 333-43171, 333-43175, 333-63985, 333-97031, 33-32044, 333-16077, 333-84384, 333-127406, 333-150122, 333-164015, 333-163992, 333-160769 and 333-159795), Form S-4 (No. 333-170740) and Form S-3 (No. 333-155759) of M&amp;T Bank Corporation of our report dated February 18, 2011, relating to the financial statements and the effectiveness of internal control over financial reporting, which appears in this Form 10-K.</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18, 2011</w:t>
      </w:r>
    </w:p>
    <w:p>
      <w:pPr>
        <w:sectPr>
          <w:pgSz w:w="11900" w:h="16838" w:orient="portrait"/>
          <w:cols w:equalWidth="0" w:num="1">
            <w:col w:w="11460"/>
          </w:cols>
          <w:pgMar w:left="220" w:top="127"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EXHIBIT 31.1</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Robert G. Wilmers certify that:</w:t>
      </w:r>
    </w:p>
    <w:p>
      <w:pPr>
        <w:spacing w:after="0" w:line="86" w:lineRule="exact"/>
        <w:rPr>
          <w:sz w:val="20"/>
          <w:szCs w:val="20"/>
          <w:color w:val="auto"/>
        </w:rPr>
      </w:pPr>
    </w:p>
    <w:p>
      <w:pPr>
        <w:ind w:left="221" w:hanging="221"/>
        <w:spacing w:after="0"/>
        <w:tabs>
          <w:tab w:leader="none" w:pos="221" w:val="left"/>
        </w:tabs>
        <w:numPr>
          <w:ilvl w:val="0"/>
          <w:numId w:val="7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M&amp;T Bank Corporation;</w:t>
      </w:r>
    </w:p>
    <w:p>
      <w:pPr>
        <w:spacing w:after="0" w:line="8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221" w:right="200" w:hanging="221"/>
        <w:spacing w:after="0" w:line="276" w:lineRule="auto"/>
        <w:tabs>
          <w:tab w:leader="none" w:pos="221"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221" w:right="120" w:hanging="221"/>
        <w:spacing w:after="0" w:line="276" w:lineRule="auto"/>
        <w:tabs>
          <w:tab w:leader="none" w:pos="221"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1" w:right="340" w:hanging="221"/>
        <w:spacing w:after="0" w:line="276" w:lineRule="auto"/>
        <w:tabs>
          <w:tab w:leader="none" w:pos="221"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1" w:right="240" w:hanging="221"/>
        <w:spacing w:after="0" w:line="276" w:lineRule="auto"/>
        <w:tabs>
          <w:tab w:leader="none" w:pos="221" w:val="left"/>
        </w:tabs>
        <w:numPr>
          <w:ilvl w:val="0"/>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9" w:lineRule="exact"/>
        <w:rPr>
          <w:sz w:val="20"/>
          <w:szCs w:val="20"/>
          <w:color w:val="auto"/>
        </w:rPr>
      </w:pPr>
    </w:p>
    <w:p>
      <w:pPr>
        <w:ind w:left="221" w:right="100" w:hanging="221"/>
        <w:spacing w:after="0" w:line="276" w:lineRule="auto"/>
        <w:tabs>
          <w:tab w:leader="none" w:pos="22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left="221" w:right="380" w:hanging="221"/>
        <w:spacing w:after="0" w:line="276" w:lineRule="auto"/>
        <w:tabs>
          <w:tab w:leader="none" w:pos="221" w:val="left"/>
        </w:tabs>
        <w:numPr>
          <w:ilvl w:val="0"/>
          <w:numId w:val="8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221" w:hanging="221"/>
        <w:spacing w:after="0"/>
        <w:tabs>
          <w:tab w:leader="none" w:pos="221" w:val="left"/>
        </w:tabs>
        <w:numPr>
          <w:ilvl w:val="0"/>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5441" w:type="dxa"/>
        <w:tblCellMar>
          <w:top w:w="0" w:type="dxa"/>
          <w:left w:w="0" w:type="dxa"/>
          <w:bottom w:w="0" w:type="dxa"/>
          <w:right w:w="0" w:type="dxa"/>
        </w:tblCellMar>
      </w:tblPr>
      <w:tr>
        <w:trPr>
          <w:trHeight w:val="165"/>
        </w:trPr>
        <w:tc>
          <w:tcPr>
            <w:tcW w:w="240" w:type="dxa"/>
            <w:vAlign w:val="bottom"/>
          </w:tcPr>
          <w:p>
            <w:pPr>
              <w:spacing w:after="0"/>
              <w:rPr>
                <w:sz w:val="20"/>
                <w:szCs w:val="20"/>
                <w:color w:val="auto"/>
              </w:rPr>
            </w:pPr>
            <w:r>
              <w:rPr>
                <w:rFonts w:ascii="Arial" w:cs="Arial" w:eastAsia="Arial" w:hAnsi="Arial"/>
                <w:sz w:val="13"/>
                <w:szCs w:val="13"/>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R</w:t>
            </w:r>
            <w:r>
              <w:rPr>
                <w:rFonts w:ascii="Arial" w:cs="Arial" w:eastAsia="Arial" w:hAnsi="Arial"/>
                <w:sz w:val="8"/>
                <w:szCs w:val="8"/>
                <w:color w:val="auto"/>
                <w:w w:val="98"/>
              </w:rPr>
              <w:t>OBERT</w:t>
            </w:r>
            <w:r>
              <w:rPr>
                <w:rFonts w:ascii="Arial" w:cs="Arial" w:eastAsia="Arial" w:hAnsi="Arial"/>
                <w:sz w:val="13"/>
                <w:szCs w:val="13"/>
                <w:color w:val="auto"/>
                <w:w w:val="98"/>
              </w:rPr>
              <w:t xml:space="preserve"> G. W</w:t>
            </w:r>
            <w:r>
              <w:rPr>
                <w:rFonts w:ascii="Arial" w:cs="Arial" w:eastAsia="Arial" w:hAnsi="Arial"/>
                <w:sz w:val="8"/>
                <w:szCs w:val="8"/>
                <w:color w:val="auto"/>
                <w:w w:val="98"/>
              </w:rPr>
              <w:t>ILMERS</w:t>
            </w:r>
          </w:p>
        </w:tc>
      </w:tr>
      <w:tr>
        <w:trPr>
          <w:trHeight w:val="139"/>
        </w:trPr>
        <w:tc>
          <w:tcPr>
            <w:tcW w:w="240" w:type="dxa"/>
            <w:vAlign w:val="bottom"/>
          </w:tcPr>
          <w:p>
            <w:pPr>
              <w:spacing w:after="0"/>
              <w:rPr>
                <w:sz w:val="12"/>
                <w:szCs w:val="12"/>
                <w:color w:val="auto"/>
              </w:rPr>
            </w:pPr>
          </w:p>
        </w:tc>
        <w:tc>
          <w:tcPr>
            <w:tcW w:w="4080" w:type="dxa"/>
            <w:vAlign w:val="bottom"/>
          </w:tcPr>
          <w:p>
            <w:pPr>
              <w:jc w:val="center"/>
              <w:spacing w:after="0" w:line="139" w:lineRule="exact"/>
              <w:rPr>
                <w:sz w:val="20"/>
                <w:szCs w:val="20"/>
                <w:color w:val="auto"/>
              </w:rPr>
            </w:pPr>
            <w:r>
              <w:rPr>
                <w:rFonts w:ascii="Arial" w:cs="Arial" w:eastAsia="Arial" w:hAnsi="Arial"/>
                <w:sz w:val="13"/>
                <w:szCs w:val="13"/>
                <w:color w:val="auto"/>
                <w:w w:val="93"/>
              </w:rPr>
              <w:t>Robert G. Wilmers</w:t>
            </w:r>
          </w:p>
        </w:tc>
      </w:tr>
      <w:tr>
        <w:trPr>
          <w:trHeight w:val="157"/>
        </w:trPr>
        <w:tc>
          <w:tcPr>
            <w:tcW w:w="240" w:type="dxa"/>
            <w:vAlign w:val="bottom"/>
          </w:tcPr>
          <w:p>
            <w:pPr>
              <w:spacing w:after="0"/>
              <w:rPr>
                <w:sz w:val="13"/>
                <w:szCs w:val="13"/>
                <w:color w:val="auto"/>
              </w:rPr>
            </w:pPr>
          </w:p>
        </w:tc>
        <w:tc>
          <w:tcPr>
            <w:tcW w:w="4080" w:type="dxa"/>
            <w:vAlign w:val="bottom"/>
          </w:tcPr>
          <w:p>
            <w:pPr>
              <w:ind w:left="1440"/>
              <w:spacing w:after="0"/>
              <w:rPr>
                <w:sz w:val="20"/>
                <w:szCs w:val="20"/>
                <w:color w:val="auto"/>
              </w:rPr>
            </w:pPr>
            <w:r>
              <w:rPr>
                <w:rFonts w:ascii="Arial" w:cs="Arial" w:eastAsia="Arial" w:hAnsi="Arial"/>
                <w:sz w:val="13"/>
                <w:szCs w:val="13"/>
                <w:i w:val="1"/>
                <w:iCs w:val="1"/>
                <w:color w:val="auto"/>
              </w:rPr>
              <w:t>Chairman of the Board</w:t>
            </w:r>
          </w:p>
        </w:tc>
      </w:tr>
      <w:tr>
        <w:trPr>
          <w:trHeight w:val="165"/>
        </w:trPr>
        <w:tc>
          <w:tcPr>
            <w:tcW w:w="240" w:type="dxa"/>
            <w:vAlign w:val="bottom"/>
          </w:tcPr>
          <w:p>
            <w:pPr>
              <w:spacing w:after="0"/>
              <w:rPr>
                <w:sz w:val="14"/>
                <w:szCs w:val="14"/>
                <w:color w:val="auto"/>
              </w:rPr>
            </w:pPr>
          </w:p>
        </w:tc>
        <w:tc>
          <w:tcPr>
            <w:tcW w:w="4080" w:type="dxa"/>
            <w:vAlign w:val="bottom"/>
          </w:tcPr>
          <w:p>
            <w:pPr>
              <w:jc w:val="center"/>
              <w:spacing w:after="0"/>
              <w:rPr>
                <w:sz w:val="20"/>
                <w:szCs w:val="20"/>
                <w:color w:val="auto"/>
              </w:rPr>
            </w:pPr>
            <w:r>
              <w:rPr>
                <w:rFonts w:ascii="Arial" w:cs="Arial" w:eastAsia="Arial" w:hAnsi="Arial"/>
                <w:sz w:val="13"/>
                <w:szCs w:val="13"/>
                <w:i w:val="1"/>
                <w:iCs w:val="1"/>
                <w:color w:val="auto"/>
                <w:w w:val="92"/>
              </w:rPr>
              <w:t>and Chief Executive Officer</w:t>
            </w:r>
          </w:p>
        </w:tc>
      </w:tr>
    </w:tbl>
    <w:p>
      <w:pPr>
        <w:spacing w:after="0" w:line="22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18, 2011</w:t>
      </w:r>
    </w:p>
    <w:p>
      <w:pPr>
        <w:sectPr>
          <w:pgSz w:w="11900" w:h="16838" w:orient="portrait"/>
          <w:cols w:equalWidth="0" w:num="1">
            <w:col w:w="11461"/>
          </w:cols>
          <w:pgMar w:left="219" w:top="127" w:right="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3"/>
          <w:szCs w:val="13"/>
          <w:b w:val="1"/>
          <w:bCs w:val="1"/>
          <w:color w:val="auto"/>
        </w:rPr>
        <w:t>EXHIBIT 31.2</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René F. Jones, certify that:</w:t>
      </w:r>
    </w:p>
    <w:p>
      <w:pPr>
        <w:spacing w:after="0" w:line="86" w:lineRule="exact"/>
        <w:rPr>
          <w:sz w:val="20"/>
          <w:szCs w:val="20"/>
          <w:color w:val="auto"/>
        </w:rPr>
      </w:pPr>
    </w:p>
    <w:p>
      <w:pPr>
        <w:ind w:left="221" w:hanging="221"/>
        <w:spacing w:after="0"/>
        <w:tabs>
          <w:tab w:leader="none" w:pos="2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M&amp;T Bank Corporation;</w:t>
      </w:r>
    </w:p>
    <w:p>
      <w:pPr>
        <w:spacing w:after="0" w:line="86" w:lineRule="exact"/>
        <w:rPr>
          <w:rFonts w:ascii="Arial" w:cs="Arial" w:eastAsia="Arial" w:hAnsi="Arial"/>
          <w:sz w:val="13"/>
          <w:szCs w:val="13"/>
          <w:color w:val="auto"/>
        </w:rPr>
      </w:pPr>
    </w:p>
    <w:p>
      <w:pPr>
        <w:ind w:left="221" w:right="220" w:hanging="221"/>
        <w:spacing w:after="0" w:line="276" w:lineRule="auto"/>
        <w:tabs>
          <w:tab w:leader="none" w:pos="2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221" w:right="200" w:hanging="221"/>
        <w:spacing w:after="0" w:line="276" w:lineRule="auto"/>
        <w:tabs>
          <w:tab w:leader="none" w:pos="2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ind w:left="221" w:right="120" w:hanging="221"/>
        <w:spacing w:after="0" w:line="276" w:lineRule="auto"/>
        <w:tabs>
          <w:tab w:leader="none" w:pos="221"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1" w:right="340" w:hanging="221"/>
        <w:spacing w:after="0" w:line="276" w:lineRule="auto"/>
        <w:tabs>
          <w:tab w:leader="none" w:pos="221" w:val="left"/>
        </w:tabs>
        <w:numPr>
          <w:ilvl w:val="0"/>
          <w:numId w:val="8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1" w:right="240" w:hanging="221"/>
        <w:spacing w:after="0" w:line="276" w:lineRule="auto"/>
        <w:tabs>
          <w:tab w:leader="none" w:pos="221" w:val="left"/>
        </w:tabs>
        <w:numPr>
          <w:ilvl w:val="0"/>
          <w:numId w:val="8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1" w:right="300" w:hanging="221"/>
        <w:spacing w:after="0" w:line="276" w:lineRule="auto"/>
        <w:tabs>
          <w:tab w:leader="none" w:pos="221" w:val="left"/>
        </w:tabs>
        <w:numPr>
          <w:ilvl w:val="0"/>
          <w:numId w:val="8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9" w:lineRule="exact"/>
        <w:rPr>
          <w:sz w:val="20"/>
          <w:szCs w:val="20"/>
          <w:color w:val="auto"/>
        </w:rPr>
      </w:pPr>
    </w:p>
    <w:p>
      <w:pPr>
        <w:ind w:left="221" w:right="100" w:hanging="221"/>
        <w:spacing w:after="0" w:line="276" w:lineRule="auto"/>
        <w:tabs>
          <w:tab w:leader="none" w:pos="22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left="221" w:right="380" w:hanging="221"/>
        <w:spacing w:after="0" w:line="276" w:lineRule="auto"/>
        <w:tabs>
          <w:tab w:leader="none" w:pos="221" w:val="left"/>
        </w:tabs>
        <w:numPr>
          <w:ilvl w:val="0"/>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221" w:hanging="221"/>
        <w:spacing w:after="0"/>
        <w:tabs>
          <w:tab w:leader="none" w:pos="221"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5441" w:type="dxa"/>
        <w:tblCellMar>
          <w:top w:w="0" w:type="dxa"/>
          <w:left w:w="0" w:type="dxa"/>
          <w:bottom w:w="0" w:type="dxa"/>
          <w:right w:w="0" w:type="dxa"/>
        </w:tblCellMar>
      </w:tblPr>
      <w:tr>
        <w:trPr>
          <w:trHeight w:val="165"/>
        </w:trPr>
        <w:tc>
          <w:tcPr>
            <w:tcW w:w="240" w:type="dxa"/>
            <w:vAlign w:val="bottom"/>
          </w:tcPr>
          <w:p>
            <w:pPr>
              <w:spacing w:after="0"/>
              <w:rPr>
                <w:sz w:val="20"/>
                <w:szCs w:val="20"/>
                <w:color w:val="auto"/>
              </w:rPr>
            </w:pPr>
            <w:r>
              <w:rPr>
                <w:rFonts w:ascii="Arial" w:cs="Arial" w:eastAsia="Arial" w:hAnsi="Arial"/>
                <w:sz w:val="13"/>
                <w:szCs w:val="13"/>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R</w:t>
            </w:r>
            <w:r>
              <w:rPr>
                <w:rFonts w:ascii="Arial" w:cs="Arial" w:eastAsia="Arial" w:hAnsi="Arial"/>
                <w:sz w:val="8"/>
                <w:szCs w:val="8"/>
                <w:color w:val="auto"/>
                <w:w w:val="94"/>
              </w:rPr>
              <w:t>ENÉ</w:t>
            </w:r>
            <w:r>
              <w:rPr>
                <w:rFonts w:ascii="Arial" w:cs="Arial" w:eastAsia="Arial" w:hAnsi="Arial"/>
                <w:sz w:val="13"/>
                <w:szCs w:val="13"/>
                <w:color w:val="auto"/>
                <w:w w:val="94"/>
              </w:rPr>
              <w:t xml:space="preserve"> F. J</w:t>
            </w:r>
            <w:r>
              <w:rPr>
                <w:rFonts w:ascii="Arial" w:cs="Arial" w:eastAsia="Arial" w:hAnsi="Arial"/>
                <w:sz w:val="8"/>
                <w:szCs w:val="8"/>
                <w:color w:val="auto"/>
                <w:w w:val="94"/>
              </w:rPr>
              <w:t>ONES</w:t>
            </w:r>
          </w:p>
        </w:tc>
      </w:tr>
      <w:tr>
        <w:trPr>
          <w:trHeight w:val="139"/>
        </w:trPr>
        <w:tc>
          <w:tcPr>
            <w:tcW w:w="240" w:type="dxa"/>
            <w:vAlign w:val="bottom"/>
          </w:tcPr>
          <w:p>
            <w:pPr>
              <w:spacing w:after="0"/>
              <w:rPr>
                <w:sz w:val="12"/>
                <w:szCs w:val="12"/>
                <w:color w:val="auto"/>
              </w:rPr>
            </w:pPr>
          </w:p>
        </w:tc>
        <w:tc>
          <w:tcPr>
            <w:tcW w:w="4080" w:type="dxa"/>
            <w:vAlign w:val="bottom"/>
          </w:tcPr>
          <w:p>
            <w:pPr>
              <w:jc w:val="center"/>
              <w:spacing w:after="0" w:line="139" w:lineRule="exact"/>
              <w:rPr>
                <w:sz w:val="20"/>
                <w:szCs w:val="20"/>
                <w:color w:val="auto"/>
              </w:rPr>
            </w:pPr>
            <w:r>
              <w:rPr>
                <w:rFonts w:ascii="Arial" w:cs="Arial" w:eastAsia="Arial" w:hAnsi="Arial"/>
                <w:sz w:val="13"/>
                <w:szCs w:val="13"/>
                <w:color w:val="auto"/>
                <w:w w:val="85"/>
              </w:rPr>
              <w:t>René F. Jones</w:t>
            </w:r>
          </w:p>
        </w:tc>
      </w:tr>
      <w:tr>
        <w:trPr>
          <w:trHeight w:val="157"/>
        </w:trPr>
        <w:tc>
          <w:tcPr>
            <w:tcW w:w="240" w:type="dxa"/>
            <w:vAlign w:val="bottom"/>
          </w:tcPr>
          <w:p>
            <w:pPr>
              <w:spacing w:after="0"/>
              <w:rPr>
                <w:sz w:val="13"/>
                <w:szCs w:val="13"/>
                <w:color w:val="auto"/>
              </w:rPr>
            </w:pPr>
          </w:p>
        </w:tc>
        <w:tc>
          <w:tcPr>
            <w:tcW w:w="4080" w:type="dxa"/>
            <w:vAlign w:val="bottom"/>
          </w:tcPr>
          <w:p>
            <w:pPr>
              <w:ind w:left="1400"/>
              <w:spacing w:after="0"/>
              <w:rPr>
                <w:sz w:val="20"/>
                <w:szCs w:val="20"/>
                <w:color w:val="auto"/>
              </w:rPr>
            </w:pPr>
            <w:r>
              <w:rPr>
                <w:rFonts w:ascii="Arial" w:cs="Arial" w:eastAsia="Arial" w:hAnsi="Arial"/>
                <w:sz w:val="13"/>
                <w:szCs w:val="13"/>
                <w:i w:val="1"/>
                <w:iCs w:val="1"/>
                <w:color w:val="auto"/>
              </w:rPr>
              <w:t>Executive Vice President</w:t>
            </w:r>
          </w:p>
        </w:tc>
      </w:tr>
      <w:tr>
        <w:trPr>
          <w:trHeight w:val="165"/>
        </w:trPr>
        <w:tc>
          <w:tcPr>
            <w:tcW w:w="240" w:type="dxa"/>
            <w:vAlign w:val="bottom"/>
          </w:tcPr>
          <w:p>
            <w:pPr>
              <w:spacing w:after="0"/>
              <w:rPr>
                <w:sz w:val="14"/>
                <w:szCs w:val="14"/>
                <w:color w:val="auto"/>
              </w:rPr>
            </w:pPr>
          </w:p>
        </w:tc>
        <w:tc>
          <w:tcPr>
            <w:tcW w:w="4080" w:type="dxa"/>
            <w:vAlign w:val="bottom"/>
          </w:tcPr>
          <w:p>
            <w:pPr>
              <w:jc w:val="center"/>
              <w:spacing w:after="0"/>
              <w:rPr>
                <w:sz w:val="20"/>
                <w:szCs w:val="20"/>
                <w:color w:val="auto"/>
              </w:rPr>
            </w:pPr>
            <w:r>
              <w:rPr>
                <w:rFonts w:ascii="Arial" w:cs="Arial" w:eastAsia="Arial" w:hAnsi="Arial"/>
                <w:sz w:val="13"/>
                <w:szCs w:val="13"/>
                <w:i w:val="1"/>
                <w:iCs w:val="1"/>
                <w:color w:val="auto"/>
                <w:w w:val="95"/>
              </w:rPr>
              <w:t>and Chief Financial Officer</w:t>
            </w:r>
          </w:p>
        </w:tc>
      </w:tr>
    </w:tbl>
    <w:p>
      <w:pPr>
        <w:spacing w:after="0" w:line="22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18, 2011</w:t>
      </w:r>
    </w:p>
    <w:p>
      <w:pPr>
        <w:sectPr>
          <w:pgSz w:w="11900" w:h="16838" w:orient="portrait"/>
          <w:cols w:equalWidth="0" w:num="1">
            <w:col w:w="11461"/>
          </w:cols>
          <w:pgMar w:left="219" w:top="127"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b w:val="1"/>
          <w:bCs w:val="1"/>
          <w:color w:val="auto"/>
        </w:rPr>
        <w:t>EXHIBIT 32.1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OF CHIEF EXECUTIVE OFFICER UNDER 18 U.S.C. §1350</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Wilmers, Chairman of the Board and Chief Executive Officer of M&amp;T Bank Corporation, certify, pursuant to Section 906 of the Sarbanes-Oxley Act of 2002, 18 U.S.C. Section 1350, that:</w:t>
      </w:r>
    </w:p>
    <w:p>
      <w:pPr>
        <w:spacing w:after="0" w:line="86" w:lineRule="exact"/>
        <w:rPr>
          <w:sz w:val="20"/>
          <w:szCs w:val="20"/>
          <w:color w:val="auto"/>
        </w:rPr>
      </w:pPr>
    </w:p>
    <w:p>
      <w:pPr>
        <w:ind w:right="420" w:firstLine="162"/>
        <w:spacing w:after="0" w:line="276" w:lineRule="auto"/>
        <w:tabs>
          <w:tab w:leader="none" w:pos="349"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Annual Report on Form 10-K of M&amp;T Bank Corporation for the annual period ended December 31, 2010 (the “Report”) fully complies with the requirements of Section 13(a) or 15(d) of the Securities Exchange Act of 1934 (15 U.S.C. 78m or 78o(d)); and</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2" w:lineRule="exact"/>
        <w:rPr>
          <w:sz w:val="20"/>
          <w:szCs w:val="20"/>
          <w:color w:val="auto"/>
        </w:rPr>
      </w:pPr>
    </w:p>
    <w:p>
      <w:pPr>
        <w:ind w:left="702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OBERT</w:t>
      </w:r>
      <w:r>
        <w:rPr>
          <w:rFonts w:ascii="Arial" w:cs="Arial" w:eastAsia="Arial" w:hAnsi="Arial"/>
          <w:sz w:val="13"/>
          <w:szCs w:val="13"/>
          <w:color w:val="auto"/>
        </w:rPr>
        <w:t xml:space="preserve"> G. W</w:t>
      </w:r>
      <w:r>
        <w:rPr>
          <w:rFonts w:ascii="Arial" w:cs="Arial" w:eastAsia="Arial" w:hAnsi="Arial"/>
          <w:sz w:val="8"/>
          <w:szCs w:val="8"/>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3"/>
          <w:szCs w:val="13"/>
          <w:color w:val="auto"/>
        </w:rPr>
        <w:t>Robert G. Wilmers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February 18, 2011</w:t>
      </w:r>
    </w:p>
    <w:p>
      <w:pPr>
        <w:spacing w:after="0" w:line="86" w:lineRule="exact"/>
        <w:rPr>
          <w:sz w:val="20"/>
          <w:szCs w:val="20"/>
          <w:color w:val="auto"/>
        </w:rPr>
      </w:pPr>
    </w:p>
    <w:p>
      <w:pPr>
        <w:jc w:val="both"/>
        <w:ind w:right="100" w:firstLine="157"/>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3"/>
          <w:szCs w:val="13"/>
          <w:b w:val="1"/>
          <w:bCs w:val="1"/>
          <w:color w:val="auto"/>
        </w:rPr>
        <w:t>EXHIBIT 32.2</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 OF CHIEF FINANCIAL OFFICER UNDER 18 U.S.C. §1350</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René F. Jones, Executive Vice President and Chief Financial Officer of M&amp;T Bank Corporation, certify, pursuant to Section 906 of the Sarbanes-Oxley Act of 2002, 18 U.S.C. Section 1350, that:</w:t>
      </w:r>
    </w:p>
    <w:p>
      <w:pPr>
        <w:spacing w:after="0" w:line="86" w:lineRule="exact"/>
        <w:rPr>
          <w:sz w:val="20"/>
          <w:szCs w:val="20"/>
          <w:color w:val="auto"/>
        </w:rPr>
      </w:pPr>
    </w:p>
    <w:p>
      <w:pPr>
        <w:ind w:right="420" w:firstLine="162"/>
        <w:spacing w:after="0" w:line="276" w:lineRule="auto"/>
        <w:tabs>
          <w:tab w:leader="none" w:pos="349"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Annual Report on Form 10-K of M&amp;T Bank Corporation for the annual period ended December 31, 2010 (the “Report”) fully complies with the requirements of Section 13(a) or 15(d) of the Securities Exchange Act of 1934 (15 U.S.C. 78m or 78o(d)); and</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2" w:lineRule="exact"/>
        <w:rPr>
          <w:sz w:val="20"/>
          <w:szCs w:val="20"/>
          <w:color w:val="auto"/>
        </w:rPr>
      </w:pPr>
    </w:p>
    <w:p>
      <w:pPr>
        <w:ind w:left="716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ENÉ</w:t>
      </w:r>
      <w:r>
        <w:rPr>
          <w:rFonts w:ascii="Arial" w:cs="Arial" w:eastAsia="Arial" w:hAnsi="Arial"/>
          <w:sz w:val="13"/>
          <w:szCs w:val="13"/>
          <w:color w:val="auto"/>
        </w:rPr>
        <w:t xml:space="preserve"> F. J</w:t>
      </w:r>
      <w:r>
        <w:rPr>
          <w:rFonts w:ascii="Arial" w:cs="Arial" w:eastAsia="Arial" w:hAnsi="Arial"/>
          <w:sz w:val="8"/>
          <w:szCs w:val="8"/>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3"/>
          <w:szCs w:val="13"/>
          <w:color w:val="auto"/>
        </w:rPr>
        <w:t>René F. Jones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February 18, 2011</w:t>
      </w:r>
    </w:p>
    <w:p>
      <w:pPr>
        <w:spacing w:after="0" w:line="86" w:lineRule="exact"/>
        <w:rPr>
          <w:sz w:val="20"/>
          <w:szCs w:val="20"/>
          <w:color w:val="auto"/>
        </w:rPr>
      </w:pPr>
    </w:p>
    <w:p>
      <w:pPr>
        <w:jc w:val="both"/>
        <w:ind w:right="100" w:firstLine="157"/>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3"/>
          <w:szCs w:val="13"/>
          <w:b w:val="1"/>
          <w:bCs w:val="1"/>
          <w:color w:val="auto"/>
        </w:rPr>
        <w:t>EXHIBIT 99.1</w:t>
      </w:r>
    </w:p>
    <w:p>
      <w:pPr>
        <w:spacing w:after="0" w:line="244"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CERTIFICATION OF CHIEF EXECUTIVE OFFICER UNDER EESA §111(b)(4)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Robert G. Wilmers, Chairman of the Board and Chief Executive Officer of M&amp;T Bank Corporation, certify, based on my knowledge, that:</w:t>
      </w:r>
    </w:p>
    <w:p>
      <w:pPr>
        <w:spacing w:after="0" w:line="86" w:lineRule="exact"/>
        <w:rPr>
          <w:sz w:val="20"/>
          <w:szCs w:val="20"/>
          <w:color w:val="auto"/>
        </w:rPr>
      </w:pPr>
    </w:p>
    <w:p>
      <w:pPr>
        <w:ind w:right="140" w:firstLine="162"/>
        <w:spacing w:after="0" w:line="320" w:lineRule="auto"/>
        <w:tabs>
          <w:tab w:leader="none" w:pos="318"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has discussed, reviewed, and evaluated with senior risk officers at least every six months during the period beginning on January 1, 2010, and ending on December 31, 2010 (the “applicable period”), senior executive officer (SEO) compensation plans and employee compensation plans and the risk these plans pose to M&amp;T Bank Corporation;</w:t>
      </w:r>
    </w:p>
    <w:p>
      <w:pPr>
        <w:spacing w:after="0" w:line="25" w:lineRule="exact"/>
        <w:rPr>
          <w:rFonts w:ascii="Arial" w:cs="Arial" w:eastAsia="Arial" w:hAnsi="Arial"/>
          <w:sz w:val="12"/>
          <w:szCs w:val="12"/>
          <w:color w:val="auto"/>
        </w:rPr>
      </w:pPr>
    </w:p>
    <w:p>
      <w:pPr>
        <w:ind w:right="40" w:firstLine="162"/>
        <w:spacing w:after="0" w:line="264" w:lineRule="auto"/>
        <w:tabs>
          <w:tab w:leader="none" w:pos="35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57" w:lineRule="exact"/>
        <w:rPr>
          <w:rFonts w:ascii="Arial" w:cs="Arial" w:eastAsia="Arial" w:hAnsi="Arial"/>
          <w:sz w:val="13"/>
          <w:szCs w:val="13"/>
          <w:color w:val="auto"/>
        </w:rPr>
      </w:pPr>
    </w:p>
    <w:p>
      <w:pPr>
        <w:ind w:right="200" w:firstLine="162"/>
        <w:spacing w:after="0" w:line="276" w:lineRule="auto"/>
        <w:tabs>
          <w:tab w:leader="none" w:pos="391"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49" w:lineRule="exact"/>
        <w:rPr>
          <w:rFonts w:ascii="Arial" w:cs="Arial" w:eastAsia="Arial" w:hAnsi="Arial"/>
          <w:sz w:val="13"/>
          <w:szCs w:val="13"/>
          <w:color w:val="auto"/>
        </w:rPr>
      </w:pPr>
    </w:p>
    <w:p>
      <w:pPr>
        <w:ind w:left="380" w:hanging="218"/>
        <w:spacing w:after="0"/>
        <w:tabs>
          <w:tab w:leader="none" w:pos="3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certify to the reviews of the SEO compensation plans and employee compensation plans required under (i) and (iii) above;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provide a narrative description of how it limited, during the applicable period, the features in</w:t>
      </w:r>
    </w:p>
    <w:p>
      <w:pPr>
        <w:spacing w:after="0" w:line="86" w:lineRule="exact"/>
        <w:rPr>
          <w:sz w:val="20"/>
          <w:szCs w:val="20"/>
          <w:color w:val="auto"/>
        </w:rPr>
      </w:pPr>
    </w:p>
    <w:p>
      <w:pPr>
        <w:ind w:left="380" w:hanging="218"/>
        <w:spacing w:after="0"/>
        <w:tabs>
          <w:tab w:leader="none" w:pos="3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SEO compensation plans that could lead SEOs to take unnecessary and excessive risks that could threaten the value of M&amp;T Bank Corporation;</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Employee compensation plans that unnecessarily expose M&amp;T Bank Corporation to risks; and</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Employee compensation plans that could encourage the manipulation of reported earnings of M&amp;T Bank Corporation to enhance the compensation of an employee;</w:t>
      </w:r>
    </w:p>
    <w:p>
      <w:pPr>
        <w:spacing w:after="0" w:line="86" w:lineRule="exact"/>
        <w:rPr>
          <w:sz w:val="20"/>
          <w:szCs w:val="20"/>
          <w:color w:val="auto"/>
        </w:rPr>
      </w:pPr>
    </w:p>
    <w:p>
      <w:pPr>
        <w:ind w:left="380" w:hanging="218"/>
        <w:spacing w:after="0"/>
        <w:tabs>
          <w:tab w:leader="none" w:pos="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M&amp;T Bank Corporation has required that bonus payments, as defined in the regulations and guidance established under section 111 of EESA (bonus payments), of the SEOs and twenty next most highly</w:t>
      </w:r>
    </w:p>
    <w:p>
      <w:pPr>
        <w:spacing w:after="0" w:line="26" w:lineRule="exact"/>
        <w:rPr>
          <w:rFonts w:ascii="Arial" w:cs="Arial" w:eastAsia="Arial" w:hAnsi="Arial"/>
          <w:sz w:val="12"/>
          <w:szCs w:val="12"/>
          <w:color w:val="auto"/>
        </w:rPr>
      </w:pPr>
    </w:p>
    <w:p>
      <w:pPr>
        <w:ind w:right="100"/>
        <w:spacing w:after="0" w:line="264" w:lineRule="auto"/>
        <w:rPr>
          <w:rFonts w:ascii="Arial" w:cs="Arial" w:eastAsia="Arial" w:hAnsi="Arial"/>
          <w:sz w:val="12"/>
          <w:szCs w:val="12"/>
          <w:color w:val="auto"/>
        </w:rPr>
      </w:pPr>
      <w:r>
        <w:rPr>
          <w:rFonts w:ascii="Arial" w:cs="Arial" w:eastAsia="Arial" w:hAnsi="Arial"/>
          <w:sz w:val="13"/>
          <w:szCs w:val="13"/>
          <w:color w:val="auto"/>
        </w:rPr>
        <w:t>compensated employees be subject to a recovery or “clawback” provision during the applicable period if the bonus payments were based on materially inaccurate financial statements or any other materially inaccurate performance metric criteria;</w:t>
      </w:r>
    </w:p>
    <w:p>
      <w:pPr>
        <w:spacing w:after="0" w:line="56" w:lineRule="exact"/>
        <w:rPr>
          <w:rFonts w:ascii="Arial" w:cs="Arial" w:eastAsia="Arial" w:hAnsi="Arial"/>
          <w:sz w:val="12"/>
          <w:szCs w:val="12"/>
          <w:color w:val="auto"/>
        </w:rPr>
      </w:pPr>
    </w:p>
    <w:p>
      <w:pPr>
        <w:ind w:right="560" w:firstLine="162"/>
        <w:spacing w:after="0" w:line="276" w:lineRule="auto"/>
        <w:tabs>
          <w:tab w:leader="none" w:pos="422"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M&amp;T Bank Corporation has prohibited any golden parachute payment, as defined in the regulations and guidance established under section 111 of EESA, to an SEO or any of the next five most highly compensated employees during the applicable period;</w:t>
      </w:r>
    </w:p>
    <w:p>
      <w:pPr>
        <w:spacing w:after="0" w:line="49" w:lineRule="exact"/>
        <w:rPr>
          <w:rFonts w:ascii="Arial" w:cs="Arial" w:eastAsia="Arial" w:hAnsi="Arial"/>
          <w:sz w:val="13"/>
          <w:szCs w:val="13"/>
          <w:color w:val="auto"/>
        </w:rPr>
      </w:pPr>
    </w:p>
    <w:p>
      <w:pPr>
        <w:ind w:left="460" w:hanging="298"/>
        <w:spacing w:after="0"/>
        <w:tabs>
          <w:tab w:leader="none" w:pos="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M&amp;T Bank Corporation has limited bonus payments to its applicable employees in accordance with section 111 of EESA and the regulations and guidance established thereunder during the applicable period;</w:t>
      </w:r>
    </w:p>
    <w:p>
      <w:pPr>
        <w:spacing w:after="0" w:line="97" w:lineRule="exact"/>
        <w:rPr>
          <w:rFonts w:ascii="Arial" w:cs="Arial" w:eastAsia="Arial" w:hAnsi="Arial"/>
          <w:sz w:val="12"/>
          <w:szCs w:val="12"/>
          <w:color w:val="auto"/>
        </w:rPr>
      </w:pPr>
    </w:p>
    <w:p>
      <w:pPr>
        <w:ind w:right="520" w:firstLine="162"/>
        <w:spacing w:after="0" w:line="276" w:lineRule="auto"/>
        <w:tabs>
          <w:tab w:leader="none" w:pos="386"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M&amp;T Bank Corporation and its employees have complied with the excessive or luxury expenditures policy, as defined in the regulations and guidance established under section 111 of EESA, during the applicable period; and any expenses that, pursuant to this policy, required approval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color w:val="auto"/>
        </w:rPr>
        <w:t>board of directors, a committee of the board of directors, an SEO, or an executive officer with a similar level of responsibility were properly approved;</w:t>
      </w:r>
    </w:p>
    <w:p>
      <w:pPr>
        <w:spacing w:after="0" w:line="86" w:lineRule="exact"/>
        <w:rPr>
          <w:sz w:val="20"/>
          <w:szCs w:val="20"/>
          <w:color w:val="auto"/>
        </w:rPr>
      </w:pPr>
    </w:p>
    <w:p>
      <w:pPr>
        <w:ind w:firstLine="162"/>
        <w:spacing w:after="0" w:line="276"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applicable period;</w:t>
      </w:r>
    </w:p>
    <w:p>
      <w:pPr>
        <w:spacing w:after="0" w:line="49" w:lineRule="exact"/>
        <w:rPr>
          <w:rFonts w:ascii="Arial" w:cs="Arial" w:eastAsia="Arial" w:hAnsi="Arial"/>
          <w:sz w:val="13"/>
          <w:szCs w:val="13"/>
          <w:color w:val="auto"/>
        </w:rPr>
      </w:pPr>
    </w:p>
    <w:p>
      <w:pPr>
        <w:ind w:right="40" w:firstLine="162"/>
        <w:spacing w:after="0" w:line="276" w:lineRule="auto"/>
        <w:tabs>
          <w:tab w:leader="none" w:pos="386"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49" w:lineRule="exact"/>
        <w:rPr>
          <w:rFonts w:ascii="Arial" w:cs="Arial" w:eastAsia="Arial" w:hAnsi="Arial"/>
          <w:sz w:val="13"/>
          <w:szCs w:val="13"/>
          <w:color w:val="auto"/>
        </w:rPr>
      </w:pPr>
    </w:p>
    <w:p>
      <w:pPr>
        <w:ind w:right="260" w:firstLine="162"/>
        <w:spacing w:after="0" w:line="276" w:lineRule="auto"/>
        <w:tabs>
          <w:tab w:leader="none" w:pos="422"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will disclose whether M&amp;T Bank Corporation, the board of directors of M&amp;T Bank Corporation, or the compensation committee of M&amp;T Bank Corporation has engaged during the applicable period a compensation consultant; and the services the compensation consultant or any affiliate of the compensation consultant provided during this period;</w:t>
      </w:r>
    </w:p>
    <w:p>
      <w:pPr>
        <w:spacing w:after="0" w:line="49" w:lineRule="exact"/>
        <w:rPr>
          <w:rFonts w:ascii="Arial" w:cs="Arial" w:eastAsia="Arial" w:hAnsi="Arial"/>
          <w:sz w:val="13"/>
          <w:szCs w:val="13"/>
          <w:color w:val="auto"/>
        </w:rPr>
      </w:pPr>
    </w:p>
    <w:p>
      <w:pPr>
        <w:ind w:right="620" w:firstLine="162"/>
        <w:spacing w:after="0" w:line="276" w:lineRule="auto"/>
        <w:tabs>
          <w:tab w:leader="none" w:pos="458"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has prohibited the payment of any gross-ups, as defined in the regulations and guidance established under section 111 of EESA, to the SEOs and the next twenty most highly compensated employees during the applicable period;</w:t>
      </w:r>
    </w:p>
    <w:p>
      <w:pPr>
        <w:spacing w:after="0" w:line="49" w:lineRule="exact"/>
        <w:rPr>
          <w:rFonts w:ascii="Arial" w:cs="Arial" w:eastAsia="Arial" w:hAnsi="Arial"/>
          <w:sz w:val="13"/>
          <w:szCs w:val="13"/>
          <w:color w:val="auto"/>
        </w:rPr>
      </w:pPr>
    </w:p>
    <w:p>
      <w:pPr>
        <w:ind w:right="180" w:firstLine="162"/>
        <w:spacing w:after="0" w:line="276" w:lineRule="auto"/>
        <w:tabs>
          <w:tab w:leader="none" w:pos="451"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has substantially complied with all other requirements related to employee compensation that are provided in the agreement between M&amp;T Bank Corporation and Treasury, including any amendments;</w:t>
      </w:r>
    </w:p>
    <w:p>
      <w:pPr>
        <w:spacing w:after="0" w:line="49" w:lineRule="exact"/>
        <w:rPr>
          <w:rFonts w:ascii="Arial" w:cs="Arial" w:eastAsia="Arial" w:hAnsi="Arial"/>
          <w:sz w:val="13"/>
          <w:szCs w:val="13"/>
          <w:color w:val="auto"/>
        </w:rPr>
      </w:pPr>
    </w:p>
    <w:p>
      <w:pPr>
        <w:ind w:right="260" w:firstLine="162"/>
        <w:spacing w:after="0" w:line="276" w:lineRule="auto"/>
        <w:tabs>
          <w:tab w:leader="none" w:pos="415"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M&amp;T Bank Corporation has submitted to Treasury a complete and accurate list of the SEOs and the twenty next most highly compensated employees for the current fiscal year, with the non-SEOs ranked in descending order of level of annual compensation, and with the name, title, and employer of each SEO and most highly compensated employee identified; and</w:t>
      </w:r>
    </w:p>
    <w:p>
      <w:pPr>
        <w:spacing w:after="0" w:line="49" w:lineRule="exact"/>
        <w:rPr>
          <w:rFonts w:ascii="Arial" w:cs="Arial" w:eastAsia="Arial" w:hAnsi="Arial"/>
          <w:sz w:val="13"/>
          <w:szCs w:val="13"/>
          <w:color w:val="auto"/>
        </w:rPr>
      </w:pPr>
    </w:p>
    <w:p>
      <w:pPr>
        <w:ind w:left="440" w:hanging="278"/>
        <w:spacing w:after="0"/>
        <w:tabs>
          <w:tab w:leader="none" w:pos="4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 understand that a knowing and willful false or fraudulent statement made in connection with this certification may be punished by fine, imprisonment, or both.</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February 18, 2011</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Robert G. Wilmers</w:t>
            </w:r>
          </w:p>
        </w:tc>
      </w:tr>
      <w:tr>
        <w:trPr>
          <w:trHeight w:val="155"/>
        </w:trPr>
        <w:tc>
          <w:tcPr>
            <w:tcW w:w="552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93"/>
              </w:rPr>
              <w:t>Robert G. Wilmers</w:t>
            </w:r>
          </w:p>
        </w:tc>
      </w:tr>
    </w:tbl>
    <w:p>
      <w:pPr>
        <w:sectPr>
          <w:pgSz w:w="11900" w:h="16838" w:orient="portrait"/>
          <w:cols w:equalWidth="0" w:num="1">
            <w:col w:w="11460"/>
          </w:cols>
          <w:pgMar w:left="220" w:top="721"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b w:val="1"/>
          <w:bCs w:val="1"/>
          <w:color w:val="auto"/>
        </w:rPr>
        <w:t>EXHIBIT 99.2</w:t>
      </w:r>
    </w:p>
    <w:p>
      <w:pPr>
        <w:spacing w:after="0" w:line="24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CERTIFICATION OF CHIEF FINANCIAL OFFICER UNDER EESA §111(b)(4)</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René F. Jones, Executive Vice President and Chief Financial Officer of M&amp;T Bank Corporation, certify, based on my knowledge, that:</w:t>
      </w:r>
    </w:p>
    <w:p>
      <w:pPr>
        <w:spacing w:after="0" w:line="86" w:lineRule="exact"/>
        <w:rPr>
          <w:sz w:val="20"/>
          <w:szCs w:val="20"/>
          <w:color w:val="auto"/>
        </w:rPr>
      </w:pPr>
    </w:p>
    <w:p>
      <w:pPr>
        <w:ind w:right="140" w:firstLine="162"/>
        <w:spacing w:after="0" w:line="320" w:lineRule="auto"/>
        <w:tabs>
          <w:tab w:leader="none" w:pos="318"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has discussed, reviewed, and evaluated with senior risk officers at least every six months during the period beginning on January 1, 2010, and ending on December 31, 2010 (the “applicable period”), senior executive officer (SEO) compensation plans and employee compensation plans and the risk these plans pose to M&amp;T Bank Corporation;</w:t>
      </w:r>
    </w:p>
    <w:p>
      <w:pPr>
        <w:spacing w:after="0" w:line="25" w:lineRule="exact"/>
        <w:rPr>
          <w:rFonts w:ascii="Arial" w:cs="Arial" w:eastAsia="Arial" w:hAnsi="Arial"/>
          <w:sz w:val="12"/>
          <w:szCs w:val="12"/>
          <w:color w:val="auto"/>
        </w:rPr>
      </w:pPr>
    </w:p>
    <w:p>
      <w:pPr>
        <w:ind w:right="40" w:firstLine="162"/>
        <w:spacing w:after="0" w:line="264" w:lineRule="auto"/>
        <w:tabs>
          <w:tab w:leader="none" w:pos="354"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57" w:lineRule="exact"/>
        <w:rPr>
          <w:rFonts w:ascii="Arial" w:cs="Arial" w:eastAsia="Arial" w:hAnsi="Arial"/>
          <w:sz w:val="13"/>
          <w:szCs w:val="13"/>
          <w:color w:val="auto"/>
        </w:rPr>
      </w:pPr>
    </w:p>
    <w:p>
      <w:pPr>
        <w:ind w:right="200" w:firstLine="162"/>
        <w:spacing w:after="0" w:line="276" w:lineRule="auto"/>
        <w:tabs>
          <w:tab w:leader="none" w:pos="391"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49" w:lineRule="exact"/>
        <w:rPr>
          <w:rFonts w:ascii="Arial" w:cs="Arial" w:eastAsia="Arial" w:hAnsi="Arial"/>
          <w:sz w:val="13"/>
          <w:szCs w:val="13"/>
          <w:color w:val="auto"/>
        </w:rPr>
      </w:pPr>
    </w:p>
    <w:p>
      <w:pPr>
        <w:ind w:left="380" w:hanging="218"/>
        <w:spacing w:after="0"/>
        <w:tabs>
          <w:tab w:leader="none" w:pos="3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certify to the reviews of the SEO compensation plans and employee compensation plans required under (i) and (iii) above;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provide a narrative description of how it limited, during the applicable period, the features in</w:t>
      </w:r>
    </w:p>
    <w:p>
      <w:pPr>
        <w:spacing w:after="0" w:line="86" w:lineRule="exact"/>
        <w:rPr>
          <w:sz w:val="20"/>
          <w:szCs w:val="20"/>
          <w:color w:val="auto"/>
        </w:rPr>
      </w:pPr>
    </w:p>
    <w:p>
      <w:pPr>
        <w:ind w:left="380" w:hanging="218"/>
        <w:spacing w:after="0"/>
        <w:tabs>
          <w:tab w:leader="none" w:pos="3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SEO compensation plans that could lead SEOs to take unnecessary and excessive risks that could threaten the value of M&amp;T Bank Corporation;</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Employee compensation plans that unnecessarily expose M&amp;T Bank Corporation to risks; and</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Employee compensation plans that could encourage the manipulation of reported earnings of M&amp;T Bank Corporation to enhance the compensation of an employee;</w:t>
      </w:r>
    </w:p>
    <w:p>
      <w:pPr>
        <w:spacing w:after="0" w:line="86" w:lineRule="exact"/>
        <w:rPr>
          <w:sz w:val="20"/>
          <w:szCs w:val="20"/>
          <w:color w:val="auto"/>
        </w:rPr>
      </w:pPr>
    </w:p>
    <w:p>
      <w:pPr>
        <w:ind w:left="380" w:hanging="218"/>
        <w:spacing w:after="0"/>
        <w:tabs>
          <w:tab w:leader="none" w:pos="3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M&amp;T Bank Corporation has required that bonus payments, as defined in the regulations and guidance established under section 111 of EESA (bonus payments), of the SEOs and twenty next most highly</w:t>
      </w:r>
    </w:p>
    <w:p>
      <w:pPr>
        <w:spacing w:after="0" w:line="26" w:lineRule="exact"/>
        <w:rPr>
          <w:rFonts w:ascii="Arial" w:cs="Arial" w:eastAsia="Arial" w:hAnsi="Arial"/>
          <w:sz w:val="12"/>
          <w:szCs w:val="12"/>
          <w:color w:val="auto"/>
        </w:rPr>
      </w:pPr>
    </w:p>
    <w:p>
      <w:pPr>
        <w:ind w:right="100"/>
        <w:spacing w:after="0" w:line="264" w:lineRule="auto"/>
        <w:rPr>
          <w:rFonts w:ascii="Arial" w:cs="Arial" w:eastAsia="Arial" w:hAnsi="Arial"/>
          <w:sz w:val="12"/>
          <w:szCs w:val="12"/>
          <w:color w:val="auto"/>
        </w:rPr>
      </w:pPr>
      <w:r>
        <w:rPr>
          <w:rFonts w:ascii="Arial" w:cs="Arial" w:eastAsia="Arial" w:hAnsi="Arial"/>
          <w:sz w:val="13"/>
          <w:szCs w:val="13"/>
          <w:color w:val="auto"/>
        </w:rPr>
        <w:t>compensated employees be subject to a recovery or “clawback” provision during the applicable period if the bonus payments were based on materially inaccurate financial statements or any other materially inaccurate performance metric criteria;</w:t>
      </w:r>
    </w:p>
    <w:p>
      <w:pPr>
        <w:spacing w:after="0" w:line="56" w:lineRule="exact"/>
        <w:rPr>
          <w:rFonts w:ascii="Arial" w:cs="Arial" w:eastAsia="Arial" w:hAnsi="Arial"/>
          <w:sz w:val="12"/>
          <w:szCs w:val="12"/>
          <w:color w:val="auto"/>
        </w:rPr>
      </w:pPr>
    </w:p>
    <w:p>
      <w:pPr>
        <w:ind w:right="560" w:firstLine="162"/>
        <w:spacing w:after="0" w:line="276" w:lineRule="auto"/>
        <w:tabs>
          <w:tab w:leader="none" w:pos="422" w:val="left"/>
        </w:tabs>
        <w:numPr>
          <w:ilvl w:val="0"/>
          <w:numId w:val="95"/>
        </w:numPr>
        <w:rPr>
          <w:rFonts w:ascii="Arial" w:cs="Arial" w:eastAsia="Arial" w:hAnsi="Arial"/>
          <w:sz w:val="13"/>
          <w:szCs w:val="13"/>
          <w:color w:val="auto"/>
        </w:rPr>
      </w:pPr>
      <w:r>
        <w:rPr>
          <w:rFonts w:ascii="Arial" w:cs="Arial" w:eastAsia="Arial" w:hAnsi="Arial"/>
          <w:sz w:val="13"/>
          <w:szCs w:val="13"/>
          <w:color w:val="auto"/>
        </w:rPr>
        <w:t>M&amp;T Bank Corporation has prohibited any golden parachute payment, as defined in the regulations and guidance established under section 111 of EESA, to an SEO or any of the next five most highly compensated employees during the applicable period;</w:t>
      </w:r>
    </w:p>
    <w:p>
      <w:pPr>
        <w:spacing w:after="0" w:line="49" w:lineRule="exact"/>
        <w:rPr>
          <w:rFonts w:ascii="Arial" w:cs="Arial" w:eastAsia="Arial" w:hAnsi="Arial"/>
          <w:sz w:val="13"/>
          <w:szCs w:val="13"/>
          <w:color w:val="auto"/>
        </w:rPr>
      </w:pPr>
    </w:p>
    <w:p>
      <w:pPr>
        <w:ind w:left="460" w:hanging="298"/>
        <w:spacing w:after="0"/>
        <w:tabs>
          <w:tab w:leader="none" w:pos="4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M&amp;T Bank Corporation has limited bonus payments to its applicable employees in accordance with section 111 of EESA and the regulations and guidance established thereunder during the applicable period;</w:t>
      </w:r>
    </w:p>
    <w:p>
      <w:pPr>
        <w:spacing w:after="0" w:line="97" w:lineRule="exact"/>
        <w:rPr>
          <w:rFonts w:ascii="Arial" w:cs="Arial" w:eastAsia="Arial" w:hAnsi="Arial"/>
          <w:sz w:val="12"/>
          <w:szCs w:val="12"/>
          <w:color w:val="auto"/>
        </w:rPr>
      </w:pPr>
    </w:p>
    <w:p>
      <w:pPr>
        <w:ind w:right="520" w:firstLine="162"/>
        <w:spacing w:after="0" w:line="276" w:lineRule="auto"/>
        <w:tabs>
          <w:tab w:leader="none" w:pos="386" w:val="left"/>
        </w:tabs>
        <w:numPr>
          <w:ilvl w:val="0"/>
          <w:numId w:val="95"/>
        </w:numPr>
        <w:rPr>
          <w:rFonts w:ascii="Arial" w:cs="Arial" w:eastAsia="Arial" w:hAnsi="Arial"/>
          <w:sz w:val="13"/>
          <w:szCs w:val="13"/>
          <w:color w:val="auto"/>
        </w:rPr>
      </w:pPr>
      <w:r>
        <w:rPr>
          <w:rFonts w:ascii="Arial" w:cs="Arial" w:eastAsia="Arial" w:hAnsi="Arial"/>
          <w:sz w:val="13"/>
          <w:szCs w:val="13"/>
          <w:color w:val="auto"/>
        </w:rPr>
        <w:t>M&amp;T Bank Corporation and its employees have complied with the excessive or luxury expenditures policy, as defined in the regulations and guidance established under section 111 of EESA, during the applicable period; and any expenses that, pursuant to this policy, required approval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color w:val="auto"/>
        </w:rPr>
        <w:t>board of directors, a committee of the board of directors, an SEO, or an executive officer with a similar level of responsibility were properly approved;</w:t>
      </w:r>
    </w:p>
    <w:p>
      <w:pPr>
        <w:spacing w:after="0" w:line="86" w:lineRule="exact"/>
        <w:rPr>
          <w:sz w:val="20"/>
          <w:szCs w:val="20"/>
          <w:color w:val="auto"/>
        </w:rPr>
      </w:pPr>
    </w:p>
    <w:p>
      <w:pPr>
        <w:ind w:firstLine="162"/>
        <w:spacing w:after="0" w:line="276" w:lineRule="auto"/>
        <w:tabs>
          <w:tab w:leader="none" w:pos="349"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applicable period;</w:t>
      </w:r>
    </w:p>
    <w:p>
      <w:pPr>
        <w:spacing w:after="0" w:line="49" w:lineRule="exact"/>
        <w:rPr>
          <w:rFonts w:ascii="Arial" w:cs="Arial" w:eastAsia="Arial" w:hAnsi="Arial"/>
          <w:sz w:val="13"/>
          <w:szCs w:val="13"/>
          <w:color w:val="auto"/>
        </w:rPr>
      </w:pPr>
    </w:p>
    <w:p>
      <w:pPr>
        <w:ind w:right="40" w:firstLine="162"/>
        <w:spacing w:after="0" w:line="276" w:lineRule="auto"/>
        <w:tabs>
          <w:tab w:leader="none" w:pos="386"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49" w:lineRule="exact"/>
        <w:rPr>
          <w:rFonts w:ascii="Arial" w:cs="Arial" w:eastAsia="Arial" w:hAnsi="Arial"/>
          <w:sz w:val="13"/>
          <w:szCs w:val="13"/>
          <w:color w:val="auto"/>
        </w:rPr>
      </w:pPr>
    </w:p>
    <w:p>
      <w:pPr>
        <w:ind w:right="260" w:firstLine="162"/>
        <w:spacing w:after="0" w:line="276" w:lineRule="auto"/>
        <w:tabs>
          <w:tab w:leader="none" w:pos="422"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will disclose whether M&amp;T Bank Corporation, the board of directors of M&amp;T Bank Corporation, or the compensation committee of M&amp;T Bank Corporation has engaged during the applicable period a compensation consultant; and the services the compensation consultant or any affiliate of the compensation consultant provided during this period;</w:t>
      </w:r>
    </w:p>
    <w:p>
      <w:pPr>
        <w:spacing w:after="0" w:line="49" w:lineRule="exact"/>
        <w:rPr>
          <w:rFonts w:ascii="Arial" w:cs="Arial" w:eastAsia="Arial" w:hAnsi="Arial"/>
          <w:sz w:val="13"/>
          <w:szCs w:val="13"/>
          <w:color w:val="auto"/>
        </w:rPr>
      </w:pPr>
    </w:p>
    <w:p>
      <w:pPr>
        <w:ind w:right="620" w:firstLine="162"/>
        <w:spacing w:after="0" w:line="276" w:lineRule="auto"/>
        <w:tabs>
          <w:tab w:leader="none" w:pos="458"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has prohibited the payment of any gross-ups, as defined in the regulations and guidance established under section 111 of EESA, to the SEOs and the next twenty most highly compensated employees during the applicable period;</w:t>
      </w:r>
    </w:p>
    <w:p>
      <w:pPr>
        <w:spacing w:after="0" w:line="49" w:lineRule="exact"/>
        <w:rPr>
          <w:rFonts w:ascii="Arial" w:cs="Arial" w:eastAsia="Arial" w:hAnsi="Arial"/>
          <w:sz w:val="13"/>
          <w:szCs w:val="13"/>
          <w:color w:val="auto"/>
        </w:rPr>
      </w:pPr>
    </w:p>
    <w:p>
      <w:pPr>
        <w:ind w:right="180" w:firstLine="162"/>
        <w:spacing w:after="0" w:line="276" w:lineRule="auto"/>
        <w:tabs>
          <w:tab w:leader="none" w:pos="451"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has substantially complied with all other requirements related to employee compensation that are provided in the agreement between M&amp;T Bank Corporation and Treasury, including any amendments;</w:t>
      </w:r>
    </w:p>
    <w:p>
      <w:pPr>
        <w:spacing w:after="0" w:line="49" w:lineRule="exact"/>
        <w:rPr>
          <w:rFonts w:ascii="Arial" w:cs="Arial" w:eastAsia="Arial" w:hAnsi="Arial"/>
          <w:sz w:val="13"/>
          <w:szCs w:val="13"/>
          <w:color w:val="auto"/>
        </w:rPr>
      </w:pPr>
    </w:p>
    <w:p>
      <w:pPr>
        <w:ind w:right="260" w:firstLine="162"/>
        <w:spacing w:after="0" w:line="276" w:lineRule="auto"/>
        <w:tabs>
          <w:tab w:leader="none" w:pos="415" w:val="left"/>
        </w:tabs>
        <w:numPr>
          <w:ilvl w:val="0"/>
          <w:numId w:val="96"/>
        </w:numPr>
        <w:rPr>
          <w:rFonts w:ascii="Arial" w:cs="Arial" w:eastAsia="Arial" w:hAnsi="Arial"/>
          <w:sz w:val="13"/>
          <w:szCs w:val="13"/>
          <w:color w:val="auto"/>
        </w:rPr>
      </w:pPr>
      <w:r>
        <w:rPr>
          <w:rFonts w:ascii="Arial" w:cs="Arial" w:eastAsia="Arial" w:hAnsi="Arial"/>
          <w:sz w:val="13"/>
          <w:szCs w:val="13"/>
          <w:color w:val="auto"/>
        </w:rPr>
        <w:t>M&amp;T Bank Corporation has submitted to Treasury a complete and accurate list of the SEOs and the twenty next most highly compensated employees for the current fiscal year, with the non-SEOs ranked in descending order of level of annual compensation, and with the name, title, and employer of each SEO and most highly compensated employee identified; and</w:t>
      </w:r>
    </w:p>
    <w:p>
      <w:pPr>
        <w:spacing w:after="0" w:line="49" w:lineRule="exact"/>
        <w:rPr>
          <w:rFonts w:ascii="Arial" w:cs="Arial" w:eastAsia="Arial" w:hAnsi="Arial"/>
          <w:sz w:val="13"/>
          <w:szCs w:val="13"/>
          <w:color w:val="auto"/>
        </w:rPr>
      </w:pPr>
    </w:p>
    <w:p>
      <w:pPr>
        <w:ind w:left="440" w:hanging="278"/>
        <w:spacing w:after="0"/>
        <w:tabs>
          <w:tab w:leader="none" w:pos="4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 understand that a knowing and willful false or fraudulent statement made in connection with this certification may be punished by fine, imprisonment, or both.</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February 18, 2011</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/s/ René F. Jones</w:t>
            </w:r>
          </w:p>
        </w:tc>
      </w:tr>
      <w:tr>
        <w:trPr>
          <w:trHeight w:val="155"/>
        </w:trPr>
        <w:tc>
          <w:tcPr>
            <w:tcW w:w="552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w w:val="85"/>
              </w:rPr>
              <w:t>René F. Jones</w:t>
            </w:r>
          </w:p>
        </w:tc>
      </w:tr>
    </w:tbl>
    <w:p>
      <w:pPr>
        <w:spacing w:after="0" w:line="1" w:lineRule="exact"/>
        <w:rPr>
          <w:sz w:val="20"/>
          <w:szCs w:val="20"/>
          <w:color w:val="auto"/>
        </w:rPr>
      </w:pPr>
    </w:p>
    <w:sectPr>
      <w:pgSz w:w="11900" w:h="16838" w:orient="portrait"/>
      <w:cols w:equalWidth="0" w:num="1">
        <w:col w:w="11460"/>
      </w:cols>
      <w:pgMar w:left="220" w:top="7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1."/>
      <w:numFmt w:val="upperLetter"/>
      <w:start w:val="9"/>
    </w:lvl>
  </w:abstractNum>
  <w:abstractNum w:abstractNumId="3">
    <w:nsid w:val="749ABB43"/>
    <w:multiLevelType w:val="hybridMultilevel"/>
    <w:lvl w:ilvl="0">
      <w:lvlJc w:val="left"/>
      <w:lvlText w:val="%1."/>
      <w:numFmt w:val="upperLetter"/>
      <w:start w:val="2"/>
    </w:lvl>
  </w:abstractNum>
  <w:abstractNum w:abstractNumId="4">
    <w:nsid w:val="3DC240FB"/>
    <w:multiLevelType w:val="hybridMultilevel"/>
    <w:lvl w:ilvl="0">
      <w:lvlJc w:val="left"/>
      <w:lvlText w:val="%1."/>
      <w:numFmt w:val="upperLetter"/>
      <w:start w:val="61"/>
    </w:lvl>
  </w:abstractNum>
  <w:abstractNum w:abstractNumId="5">
    <w:nsid w:val="1BA026FA"/>
    <w:multiLevelType w:val="hybridMultilevel"/>
    <w:lvl w:ilvl="0">
      <w:lvlJc w:val="left"/>
      <w:lvlText w:val="%1."/>
      <w:numFmt w:val="upperLetter"/>
      <w:start w:val="3"/>
    </w:lvl>
  </w:abstractNum>
  <w:abstractNum w:abstractNumId="6">
    <w:nsid w:val="79A1DEAA"/>
    <w:multiLevelType w:val="hybridMultilevel"/>
    <w:lvl w:ilvl="0">
      <w:lvlJc w:val="left"/>
      <w:lvlText w:val="%1."/>
      <w:numFmt w:val="upperLetter"/>
      <w:start w:val="22"/>
    </w:lvl>
  </w:abstractNum>
  <w:abstractNum w:abstractNumId="7">
    <w:nsid w:val="75C6C33A"/>
    <w:multiLevelType w:val="hybridMultilevel"/>
    <w:lvl w:ilvl="0">
      <w:lvlJc w:val="left"/>
      <w:lvlText w:val="•"/>
      <w:numFmt w:val="bullet"/>
      <w:start w:val="1"/>
    </w:lvl>
    <w:lvl w:ilvl="1">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1)"/>
      <w:numFmt w:val="lowerLetter"/>
      <w:start w:val="1"/>
    </w:lvl>
    <w:lvl w:ilvl="1">
      <w:lvlJc w:val="left"/>
      <w:lvlText w:val="(%2)"/>
      <w:numFmt w:val="lowerLetter"/>
      <w:start w:val="2"/>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Roman"/>
      <w:start w:val="3"/>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1."/>
      <w:numFmt w:val="decimal"/>
      <w:start w:val="4"/>
    </w:lvl>
  </w:abstractNum>
  <w:abstractNum w:abstractNumId="36">
    <w:nsid w:val="4AD084E9"/>
    <w:multiLevelType w:val="hybridMultilevel"/>
    <w:lvl w:ilvl="0">
      <w:lvlJc w:val="left"/>
      <w:lvlText w:val="%1."/>
      <w:numFmt w:val="decimal"/>
      <w:start w:val="5"/>
    </w:lvl>
  </w:abstractNum>
  <w:abstractNum w:abstractNumId="37">
    <w:nsid w:val="1F48EAA1"/>
    <w:multiLevelType w:val="hybridMultilevel"/>
    <w:lvl w:ilvl="0">
      <w:lvlJc w:val="left"/>
      <w:lvlText w:val="%1."/>
      <w:numFmt w:val="decimal"/>
      <w:start w:val="6"/>
    </w:lvl>
  </w:abstractNum>
  <w:abstractNum w:abstractNumId="38">
    <w:nsid w:val="1381823A"/>
    <w:multiLevelType w:val="hybridMultilevel"/>
    <w:lvl w:ilvl="0">
      <w:lvlJc w:val="left"/>
      <w:lvlText w:val="%1."/>
      <w:numFmt w:val="decimal"/>
      <w:start w:val="7"/>
    </w:lvl>
  </w:abstractNum>
  <w:abstractNum w:abstractNumId="39">
    <w:nsid w:val="5DB70AE5"/>
    <w:multiLevelType w:val="hybridMultilevel"/>
    <w:lvl w:ilvl="0">
      <w:lvlJc w:val="left"/>
      <w:lvlText w:val="%1."/>
      <w:numFmt w:val="decimal"/>
      <w:start w:val="8"/>
    </w:lvl>
  </w:abstractNum>
  <w:abstractNum w:abstractNumId="40">
    <w:nsid w:val="100F8FCA"/>
    <w:multiLevelType w:val="hybridMultilevel"/>
    <w:lvl w:ilvl="0">
      <w:lvlJc w:val="left"/>
      <w:lvlText w:val="%1."/>
      <w:numFmt w:val="decimal"/>
      <w:start w:val="9"/>
    </w:lvl>
  </w:abstractNum>
  <w:abstractNum w:abstractNumId="41">
    <w:nsid w:val="6590700B"/>
    <w:multiLevelType w:val="hybridMultilevel"/>
    <w:lvl w:ilvl="0">
      <w:lvlJc w:val="left"/>
      <w:lvlText w:val="%1."/>
      <w:numFmt w:val="decimal"/>
      <w:start w:val="10"/>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decimal"/>
      <w:start w:val="11"/>
    </w:lvl>
  </w:abstractNum>
  <w:abstractNum w:abstractNumId="44">
    <w:nsid w:val="98A3148"/>
    <w:multiLevelType w:val="hybridMultilevel"/>
    <w:lvl w:ilvl="0">
      <w:lvlJc w:val="left"/>
      <w:lvlText w:val="%1."/>
      <w:numFmt w:val="decimal"/>
      <w:start w:val="12"/>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decimal"/>
      <w:start w:val="13"/>
    </w:lvl>
  </w:abstractNum>
  <w:abstractNum w:abstractNumId="47">
    <w:nsid w:val="42C296BD"/>
    <w:multiLevelType w:val="hybridMultilevel"/>
    <w:lvl w:ilvl="0">
      <w:lvlJc w:val="left"/>
      <w:lvlText w:val="%1."/>
      <w:numFmt w:val="decimal"/>
      <w:start w:val="14"/>
    </w:lvl>
  </w:abstractNum>
  <w:abstractNum w:abstractNumId="48">
    <w:nsid w:val="168E121F"/>
    <w:multiLevelType w:val="hybridMultilevel"/>
    <w:lvl w:ilvl="0">
      <w:lvlJc w:val="left"/>
      <w:lvlText w:val="%1."/>
      <w:numFmt w:val="decimal"/>
      <w:start w:val="15"/>
    </w:lvl>
  </w:abstractNum>
  <w:abstractNum w:abstractNumId="49">
    <w:nsid w:val="1EBA5D23"/>
    <w:multiLevelType w:val="hybridMultilevel"/>
    <w:lvl w:ilvl="0">
      <w:lvlJc w:val="left"/>
      <w:lvlText w:val="%1."/>
      <w:numFmt w:val="decimal"/>
      <w:start w:val="16"/>
    </w:lvl>
  </w:abstractNum>
  <w:abstractNum w:abstractNumId="50">
    <w:nsid w:val="661E3F1E"/>
    <w:multiLevelType w:val="hybridMultilevel"/>
    <w:lvl w:ilvl="0">
      <w:lvlJc w:val="left"/>
      <w:lvlText w:val="%1."/>
      <w:numFmt w:val="decimal"/>
      <w:start w:val="17"/>
    </w:lvl>
  </w:abstractNum>
  <w:abstractNum w:abstractNumId="51">
    <w:nsid w:val="5DC79EA8"/>
    <w:multiLevelType w:val="hybridMultilevel"/>
    <w:lvl w:ilvl="0">
      <w:lvlJc w:val="left"/>
      <w:lvlText w:val="%1."/>
      <w:numFmt w:val="decimal"/>
      <w:start w:val="18"/>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decimal"/>
      <w:start w:val="19"/>
    </w:lvl>
  </w:abstractNum>
  <w:abstractNum w:abstractNumId="55">
    <w:nsid w:val="613EFDC5"/>
    <w:multiLevelType w:val="hybridMultilevel"/>
    <w:lvl w:ilvl="0">
      <w:lvlJc w:val="left"/>
      <w:lvlText w:val="%1."/>
      <w:numFmt w:val="decimal"/>
      <w:start w:val="20"/>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decimal"/>
      <w:start w:val="21"/>
    </w:lvl>
  </w:abstractNum>
  <w:abstractNum w:abstractNumId="61">
    <w:nsid w:val="1A32234B"/>
    <w:multiLevelType w:val="hybridMultilevel"/>
    <w:lvl w:ilvl="0">
      <w:lvlJc w:val="left"/>
      <w:lvlText w:val="%1."/>
      <w:numFmt w:val="decimal"/>
      <w:start w:val="22"/>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decimal"/>
      <w:start w:val="23"/>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decimal"/>
      <w:start w:val="24"/>
    </w:lvl>
  </w:abstractNum>
  <w:abstractNum w:abstractNumId="66">
    <w:nsid w:val="6A5EE64"/>
    <w:multiLevelType w:val="hybridMultilevel"/>
    <w:lvl w:ilvl="0">
      <w:lvlJc w:val="left"/>
      <w:lvlText w:val="%1."/>
      <w:numFmt w:val="decimal"/>
      <w:start w:val="25"/>
    </w:lvl>
  </w:abstractNum>
  <w:abstractNum w:abstractNumId="67">
    <w:nsid w:val="14330624"/>
    <w:multiLevelType w:val="hybridMultilevel"/>
    <w:lvl w:ilvl="0">
      <w:lvlJc w:val="left"/>
      <w:lvlText w:val="%1."/>
      <w:numFmt w:val="decimal"/>
      <w:start w:val="26"/>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4"/>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5"/>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decimal"/>
      <w:start w:val="5"/>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1)"/>
      <w:numFmt w:val="upperLetter"/>
      <w:start w:val="1"/>
    </w:lvl>
  </w:abstractNum>
  <w:abstractNum w:abstractNumId="90">
    <w:nsid w:val="43F18422"/>
    <w:multiLevelType w:val="hybridMultilevel"/>
    <w:lvl w:ilvl="0">
      <w:lvlJc w:val="left"/>
      <w:lvlText w:val="(%1)"/>
      <w:numFmt w:val="lowerRoman"/>
      <w:start w:val="6"/>
    </w:lvl>
  </w:abstractNum>
  <w:abstractNum w:abstractNumId="91">
    <w:nsid w:val="60EF0119"/>
    <w:multiLevelType w:val="hybridMultilevel"/>
    <w:lvl w:ilvl="0">
      <w:lvlJc w:val="left"/>
      <w:lvlText w:val="(%1)"/>
      <w:numFmt w:val="lowerRoman"/>
      <w:start w:val="10"/>
    </w:lvl>
  </w:abstractNum>
  <w:abstractNum w:abstractNumId="92">
    <w:nsid w:val="26F324BA"/>
    <w:multiLevelType w:val="hybridMultilevel"/>
    <w:lvl w:ilvl="0">
      <w:lvlJc w:val="left"/>
      <w:lvlText w:val="(%1)"/>
      <w:numFmt w:val="lowerRoman"/>
      <w:start w:val="1"/>
    </w:lvl>
  </w:abstractNum>
  <w:abstractNum w:abstractNumId="93">
    <w:nsid w:val="7F01579B"/>
    <w:multiLevelType w:val="hybridMultilevel"/>
    <w:lvl w:ilvl="0">
      <w:lvlJc w:val="left"/>
      <w:lvlText w:val="(%1)"/>
      <w:numFmt w:val="upperLetter"/>
      <w:start w:val="1"/>
    </w:lvl>
  </w:abstractNum>
  <w:abstractNum w:abstractNumId="94">
    <w:nsid w:val="49DA307D"/>
    <w:multiLevelType w:val="hybridMultilevel"/>
    <w:lvl w:ilvl="0">
      <w:lvlJc w:val="left"/>
      <w:lvlText w:val="(%1)"/>
      <w:numFmt w:val="lowerRoman"/>
      <w:start w:val="6"/>
    </w:lvl>
  </w:abstractNum>
  <w:abstractNum w:abstractNumId="95">
    <w:nsid w:val="7055A5F5"/>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2019-12-10T00:49:51Z</dcterms:created>
  <dcterms:modified xsi:type="dcterms:W3CDTF">2019-12-10T00:49:51Z</dcterms:modified>
</cp:coreProperties>
</file>